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4B317" w14:textId="3D31429E" w:rsidR="00CD1E00" w:rsidRPr="00D32D7A" w:rsidRDefault="006B2286" w:rsidP="00FE5657">
      <w:pPr>
        <w:spacing w:after="0" w:line="480" w:lineRule="auto"/>
        <w:jc w:val="center"/>
        <w:rPr>
          <w:rFonts w:ascii="Times New Roman" w:hAnsi="Times New Roman" w:cs="Times New Roman"/>
          <w:b/>
          <w:bCs/>
          <w:sz w:val="20"/>
          <w:szCs w:val="20"/>
        </w:rPr>
      </w:pPr>
      <w:r w:rsidRPr="00D32D7A">
        <w:rPr>
          <w:rFonts w:ascii="Times New Roman" w:hAnsi="Times New Roman" w:cs="Times New Roman"/>
          <w:b/>
          <w:bCs/>
          <w:sz w:val="20"/>
          <w:szCs w:val="20"/>
        </w:rPr>
        <w:t>Supplemental Materials</w:t>
      </w:r>
    </w:p>
    <w:p w14:paraId="6C80F3C3" w14:textId="7AFF8BC1" w:rsidR="00AA5828" w:rsidRPr="003174A6" w:rsidRDefault="00347E9A" w:rsidP="003174A6">
      <w:pPr>
        <w:spacing w:after="0" w:line="480" w:lineRule="auto"/>
        <w:jc w:val="center"/>
        <w:rPr>
          <w:rFonts w:ascii="Times New Roman" w:eastAsia="Times New Roman" w:hAnsi="Times New Roman" w:cs="Times New Roman"/>
          <w:b/>
          <w:bCs/>
          <w:sz w:val="20"/>
          <w:szCs w:val="20"/>
        </w:rPr>
      </w:pPr>
      <w:r w:rsidRPr="00FE5657">
        <w:rPr>
          <w:rFonts w:ascii="Times New Roman" w:eastAsia="Times New Roman" w:hAnsi="Times New Roman" w:cs="Times New Roman"/>
          <w:b/>
          <w:bCs/>
          <w:sz w:val="20"/>
          <w:szCs w:val="20"/>
        </w:rPr>
        <w:t>Traumatic birth experiences and maternal caregiving behaviors and attitudes in Black and White women</w:t>
      </w:r>
    </w:p>
    <w:p w14:paraId="48B7ED96" w14:textId="5BD7ED52" w:rsidR="00051C7B" w:rsidRDefault="00051C7B">
      <w:pPr>
        <w:rPr>
          <w:rFonts w:ascii="Times New Roman" w:hAnsi="Times New Roman" w:cs="Times New Roman"/>
          <w:sz w:val="20"/>
          <w:szCs w:val="20"/>
        </w:rPr>
      </w:pPr>
      <w:r>
        <w:rPr>
          <w:rFonts w:ascii="Times New Roman" w:hAnsi="Times New Roman" w:cs="Times New Roman"/>
          <w:sz w:val="20"/>
          <w:szCs w:val="20"/>
        </w:rPr>
        <w:br w:type="page"/>
      </w:r>
    </w:p>
    <w:p w14:paraId="05DF46DC" w14:textId="77777777" w:rsidR="00BE4E97" w:rsidRDefault="00BE4E97" w:rsidP="005028B1">
      <w:pPr>
        <w:spacing w:after="0" w:line="240" w:lineRule="auto"/>
        <w:rPr>
          <w:b/>
          <w:bCs/>
          <w:sz w:val="20"/>
          <w:szCs w:val="20"/>
        </w:rPr>
        <w:sectPr w:rsidR="00BE4E97" w:rsidSect="00051C7B">
          <w:headerReference w:type="default" r:id="rId7"/>
          <w:pgSz w:w="12240" w:h="15840" w:code="1"/>
          <w:pgMar w:top="1440" w:right="1440" w:bottom="1440" w:left="1440" w:header="720" w:footer="720" w:gutter="0"/>
          <w:cols w:space="720"/>
          <w:vAlign w:val="center"/>
          <w:docGrid w:linePitch="360"/>
        </w:sectPr>
      </w:pPr>
    </w:p>
    <w:tbl>
      <w:tblPr>
        <w:tblW w:w="9360" w:type="dxa"/>
        <w:tblCellMar>
          <w:left w:w="0" w:type="dxa"/>
          <w:right w:w="0" w:type="dxa"/>
        </w:tblCellMar>
        <w:tblLook w:val="04A0" w:firstRow="1" w:lastRow="0" w:firstColumn="1" w:lastColumn="0" w:noHBand="0" w:noVBand="1"/>
      </w:tblPr>
      <w:tblGrid>
        <w:gridCol w:w="1438"/>
        <w:gridCol w:w="1347"/>
        <w:gridCol w:w="1639"/>
        <w:gridCol w:w="3410"/>
        <w:gridCol w:w="1526"/>
      </w:tblGrid>
      <w:tr w:rsidR="00BE4E97" w:rsidRPr="00555735" w14:paraId="3C7F6F19" w14:textId="77777777" w:rsidTr="005028B1">
        <w:trPr>
          <w:trHeight w:val="300"/>
          <w:tblHeader/>
        </w:trPr>
        <w:tc>
          <w:tcPr>
            <w:tcW w:w="9360" w:type="dxa"/>
            <w:gridSpan w:val="5"/>
            <w:tcBorders>
              <w:bottom w:val="single" w:sz="4" w:space="0" w:color="auto"/>
            </w:tcBorders>
            <w:hideMark/>
          </w:tcPr>
          <w:p w14:paraId="5A6FEEBA"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lastRenderedPageBreak/>
              <w:t>Table S1 </w:t>
            </w:r>
          </w:p>
          <w:p w14:paraId="132639AD"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i/>
                <w:iCs/>
                <w:sz w:val="20"/>
                <w:szCs w:val="20"/>
              </w:rPr>
              <w:t>Description of study variables</w:t>
            </w:r>
            <w:r w:rsidRPr="00555735">
              <w:rPr>
                <w:rFonts w:ascii="Times New Roman" w:hAnsi="Times New Roman" w:cs="Times New Roman"/>
                <w:b/>
                <w:bCs/>
                <w:sz w:val="20"/>
                <w:szCs w:val="20"/>
              </w:rPr>
              <w:t> </w:t>
            </w:r>
          </w:p>
        </w:tc>
      </w:tr>
      <w:tr w:rsidR="00BE4E97" w:rsidRPr="00555735" w14:paraId="68E352AF" w14:textId="77777777" w:rsidTr="005028B1">
        <w:trPr>
          <w:trHeight w:val="300"/>
          <w:tblHeader/>
        </w:trPr>
        <w:tc>
          <w:tcPr>
            <w:tcW w:w="1440" w:type="dxa"/>
            <w:tcBorders>
              <w:top w:val="single" w:sz="4" w:space="0" w:color="auto"/>
              <w:bottom w:val="single" w:sz="4" w:space="0" w:color="auto"/>
            </w:tcBorders>
            <w:hideMark/>
          </w:tcPr>
          <w:p w14:paraId="7FD5F655"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Variable </w:t>
            </w:r>
          </w:p>
        </w:tc>
        <w:tc>
          <w:tcPr>
            <w:tcW w:w="1350" w:type="dxa"/>
            <w:tcBorders>
              <w:top w:val="single" w:sz="4" w:space="0" w:color="auto"/>
              <w:bottom w:val="single" w:sz="4" w:space="0" w:color="auto"/>
            </w:tcBorders>
            <w:hideMark/>
          </w:tcPr>
          <w:p w14:paraId="4E581C6E"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Timepoint </w:t>
            </w:r>
          </w:p>
        </w:tc>
        <w:tc>
          <w:tcPr>
            <w:tcW w:w="1620" w:type="dxa"/>
            <w:tcBorders>
              <w:top w:val="single" w:sz="4" w:space="0" w:color="auto"/>
              <w:bottom w:val="single" w:sz="4" w:space="0" w:color="auto"/>
            </w:tcBorders>
            <w:hideMark/>
          </w:tcPr>
          <w:p w14:paraId="2547840D"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Measure </w:t>
            </w:r>
          </w:p>
        </w:tc>
        <w:tc>
          <w:tcPr>
            <w:tcW w:w="3420" w:type="dxa"/>
            <w:tcBorders>
              <w:top w:val="single" w:sz="4" w:space="0" w:color="auto"/>
              <w:bottom w:val="single" w:sz="4" w:space="0" w:color="auto"/>
            </w:tcBorders>
            <w:hideMark/>
          </w:tcPr>
          <w:p w14:paraId="43A1A344"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Description </w:t>
            </w:r>
          </w:p>
        </w:tc>
        <w:tc>
          <w:tcPr>
            <w:tcW w:w="1530" w:type="dxa"/>
            <w:tcBorders>
              <w:top w:val="single" w:sz="4" w:space="0" w:color="auto"/>
              <w:bottom w:val="single" w:sz="4" w:space="0" w:color="auto"/>
            </w:tcBorders>
            <w:hideMark/>
          </w:tcPr>
          <w:p w14:paraId="2B01388D"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Valid data (</w:t>
            </w:r>
            <w:r w:rsidRPr="00555735">
              <w:rPr>
                <w:rFonts w:ascii="Times New Roman" w:hAnsi="Times New Roman" w:cs="Times New Roman"/>
                <w:i/>
                <w:iCs/>
                <w:sz w:val="20"/>
                <w:szCs w:val="20"/>
              </w:rPr>
              <w:t>n</w:t>
            </w:r>
            <w:r w:rsidRPr="00555735">
              <w:rPr>
                <w:rFonts w:ascii="Times New Roman" w:hAnsi="Times New Roman" w:cs="Times New Roman"/>
                <w:sz w:val="20"/>
                <w:szCs w:val="20"/>
              </w:rPr>
              <w:t>) </w:t>
            </w:r>
          </w:p>
        </w:tc>
      </w:tr>
      <w:tr w:rsidR="00BE4E97" w:rsidRPr="00555735" w14:paraId="1D6B640A" w14:textId="77777777" w:rsidTr="005028B1">
        <w:trPr>
          <w:trHeight w:val="300"/>
        </w:trPr>
        <w:tc>
          <w:tcPr>
            <w:tcW w:w="1440" w:type="dxa"/>
            <w:tcBorders>
              <w:top w:val="single" w:sz="4" w:space="0" w:color="auto"/>
            </w:tcBorders>
            <w:hideMark/>
          </w:tcPr>
          <w:p w14:paraId="73E7FF21" w14:textId="77777777" w:rsidR="00BE4E97" w:rsidRPr="00555735" w:rsidRDefault="00BE4E97" w:rsidP="005028B1">
            <w:pPr>
              <w:spacing w:after="0" w:line="240" w:lineRule="auto"/>
              <w:rPr>
                <w:rFonts w:ascii="Times New Roman" w:hAnsi="Times New Roman" w:cs="Times New Roman"/>
                <w:b/>
                <w:bCs/>
                <w:sz w:val="20"/>
                <w:szCs w:val="20"/>
              </w:rPr>
            </w:pPr>
            <w:bookmarkStart w:id="0" w:name="_Hlk210310967"/>
            <w:r w:rsidRPr="00555735">
              <w:rPr>
                <w:rFonts w:ascii="Times New Roman" w:hAnsi="Times New Roman" w:cs="Times New Roman"/>
                <w:b/>
                <w:bCs/>
                <w:sz w:val="20"/>
                <w:szCs w:val="20"/>
              </w:rPr>
              <w:t>Race </w:t>
            </w:r>
          </w:p>
        </w:tc>
        <w:tc>
          <w:tcPr>
            <w:tcW w:w="1350" w:type="dxa"/>
            <w:tcBorders>
              <w:top w:val="single" w:sz="4" w:space="0" w:color="auto"/>
            </w:tcBorders>
            <w:hideMark/>
          </w:tcPr>
          <w:p w14:paraId="263382FC"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Pregnancy, T1, or T2 </w:t>
            </w:r>
          </w:p>
        </w:tc>
        <w:tc>
          <w:tcPr>
            <w:tcW w:w="1620" w:type="dxa"/>
            <w:tcBorders>
              <w:top w:val="single" w:sz="4" w:space="0" w:color="auto"/>
            </w:tcBorders>
            <w:hideMark/>
          </w:tcPr>
          <w:p w14:paraId="2134C9E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Demographic survey/EHR </w:t>
            </w:r>
          </w:p>
        </w:tc>
        <w:tc>
          <w:tcPr>
            <w:tcW w:w="3420" w:type="dxa"/>
            <w:tcBorders>
              <w:top w:val="single" w:sz="4" w:space="0" w:color="auto"/>
            </w:tcBorders>
            <w:hideMark/>
          </w:tcPr>
          <w:p w14:paraId="013259EB" w14:textId="5BB90131"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 xml:space="preserve">At T1 and T2, mothers reported their racial identity. A total of 44 participants did not report their race in the T1 and/or T2 survey. For these participants, race was identified from EHR.  One caveat with using EHR for racial identification is that there is not always a standardized method of obtaining this information </w:t>
            </w:r>
            <w:r w:rsidR="00CA33E9" w:rsidRPr="00CA33E9">
              <w:rPr>
                <w:rFonts w:ascii="Times New Roman" w:hAnsi="Times New Roman" w:cs="Times New Roman"/>
                <w:sz w:val="20"/>
              </w:rPr>
              <w:t>(Kim et al., 2022)</w:t>
            </w:r>
            <w:r w:rsidRPr="00555735">
              <w:rPr>
                <w:rFonts w:ascii="Times New Roman" w:hAnsi="Times New Roman" w:cs="Times New Roman"/>
                <w:sz w:val="20"/>
                <w:szCs w:val="20"/>
              </w:rPr>
              <w:t>. Health professionals may assume someone’s race, which may not reflect one’s self-reported identity.  </w:t>
            </w:r>
          </w:p>
        </w:tc>
        <w:tc>
          <w:tcPr>
            <w:tcW w:w="1530" w:type="dxa"/>
            <w:tcBorders>
              <w:top w:val="single" w:sz="4" w:space="0" w:color="auto"/>
            </w:tcBorders>
            <w:hideMark/>
          </w:tcPr>
          <w:p w14:paraId="03B04C4A"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bookmarkEnd w:id="0"/>
      <w:tr w:rsidR="00BE4E97" w:rsidRPr="00555735" w14:paraId="26A9EBEB" w14:textId="77777777" w:rsidTr="005028B1">
        <w:trPr>
          <w:trHeight w:val="300"/>
        </w:trPr>
        <w:tc>
          <w:tcPr>
            <w:tcW w:w="1440" w:type="dxa"/>
            <w:hideMark/>
          </w:tcPr>
          <w:p w14:paraId="3BE9989A"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Self-reported birth trauma </w:t>
            </w:r>
          </w:p>
        </w:tc>
        <w:tc>
          <w:tcPr>
            <w:tcW w:w="1350" w:type="dxa"/>
            <w:hideMark/>
          </w:tcPr>
          <w:p w14:paraId="0B9012A5"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T1 </w:t>
            </w:r>
          </w:p>
        </w:tc>
        <w:tc>
          <w:tcPr>
            <w:tcW w:w="1620" w:type="dxa"/>
            <w:hideMark/>
          </w:tcPr>
          <w:p w14:paraId="3127F2B3"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3-item survey (created by study authors) </w:t>
            </w:r>
          </w:p>
        </w:tc>
        <w:tc>
          <w:tcPr>
            <w:tcW w:w="3420" w:type="dxa"/>
            <w:hideMark/>
          </w:tcPr>
          <w:p w14:paraId="64967DB0" w14:textId="0380CDB7" w:rsidR="00BE4E97" w:rsidRPr="00555735" w:rsidRDefault="00BE4E97" w:rsidP="005028B1">
            <w:pPr>
              <w:spacing w:after="0" w:line="240" w:lineRule="auto"/>
              <w:rPr>
                <w:rFonts w:ascii="Times New Roman" w:hAnsi="Times New Roman" w:cs="Times New Roman"/>
                <w:sz w:val="20"/>
                <w:szCs w:val="20"/>
              </w:rPr>
            </w:pPr>
            <w:bookmarkStart w:id="1" w:name="_Hlk210311042"/>
            <w:r w:rsidRPr="00555735">
              <w:rPr>
                <w:rFonts w:ascii="Times New Roman" w:hAnsi="Times New Roman" w:cs="Times New Roman"/>
                <w:sz w:val="20"/>
                <w:szCs w:val="20"/>
              </w:rPr>
              <w:t>Self-reported birth trauma was reported from three questions on a scale of 1 (</w:t>
            </w:r>
            <w:r w:rsidRPr="00555735">
              <w:rPr>
                <w:rFonts w:ascii="Times New Roman" w:hAnsi="Times New Roman" w:cs="Times New Roman"/>
                <w:i/>
                <w:iCs/>
                <w:sz w:val="20"/>
                <w:szCs w:val="20"/>
              </w:rPr>
              <w:t>Not at all</w:t>
            </w:r>
            <w:r w:rsidRPr="00555735">
              <w:rPr>
                <w:rFonts w:ascii="Times New Roman" w:hAnsi="Times New Roman" w:cs="Times New Roman"/>
                <w:sz w:val="20"/>
                <w:szCs w:val="20"/>
              </w:rPr>
              <w:t>) to 4 (</w:t>
            </w:r>
            <w:r w:rsidRPr="00555735">
              <w:rPr>
                <w:rFonts w:ascii="Times New Roman" w:hAnsi="Times New Roman" w:cs="Times New Roman"/>
                <w:i/>
                <w:iCs/>
                <w:sz w:val="20"/>
                <w:szCs w:val="20"/>
              </w:rPr>
              <w:t>Extremely/a lot</w:t>
            </w:r>
            <w:r w:rsidRPr="00555735">
              <w:rPr>
                <w:rFonts w:ascii="Times New Roman" w:hAnsi="Times New Roman" w:cs="Times New Roman"/>
                <w:sz w:val="20"/>
                <w:szCs w:val="20"/>
              </w:rPr>
              <w:t xml:space="preserve">): (1) “During your delivery or immediately after delivery, how much did you fear for your own life?”, (2) “During your delivery or immediately after delivery, how much did you fear for your baby's life?”, and (3) “How traumatic did you find your birth experience?”. These questions </w:t>
            </w:r>
            <w:r w:rsidR="00F72559">
              <w:rPr>
                <w:rFonts w:ascii="Times New Roman" w:hAnsi="Times New Roman" w:cs="Times New Roman"/>
                <w:sz w:val="20"/>
                <w:szCs w:val="20"/>
              </w:rPr>
              <w:t xml:space="preserve">developed by a team of psychologists and psychiatrist and </w:t>
            </w:r>
            <w:r w:rsidRPr="00555735">
              <w:rPr>
                <w:rFonts w:ascii="Times New Roman" w:hAnsi="Times New Roman" w:cs="Times New Roman"/>
                <w:sz w:val="20"/>
                <w:szCs w:val="20"/>
              </w:rPr>
              <w:t xml:space="preserve">were based on Criterion A from the DSM-5 diagnostic criteria for posttraumatic stress disorder </w:t>
            </w:r>
            <w:r w:rsidR="00CA33E9" w:rsidRPr="00CA33E9">
              <w:rPr>
                <w:rFonts w:ascii="Times New Roman" w:hAnsi="Times New Roman" w:cs="Times New Roman"/>
                <w:sz w:val="20"/>
              </w:rPr>
              <w:t>(Hyland et al., 2018)</w:t>
            </w:r>
            <w:r w:rsidRPr="00555735">
              <w:rPr>
                <w:rFonts w:ascii="Times New Roman" w:hAnsi="Times New Roman" w:cs="Times New Roman"/>
                <w:sz w:val="20"/>
                <w:szCs w:val="20"/>
              </w:rPr>
              <w:t>. The sum of the three items calculates birth trauma. Higher scores indicate more traumatic birth experiences. Internal validity was good (Cronbach’s alpha = .76), the measure was significantly correlated to several clinical-reported adverse birth events, such as having a preterm birth or not or caesarean-section (See Table S1). See</w:t>
            </w:r>
            <w:r w:rsidR="000D2167">
              <w:rPr>
                <w:rFonts w:ascii="Times New Roman" w:hAnsi="Times New Roman" w:cs="Times New Roman"/>
                <w:sz w:val="20"/>
                <w:szCs w:val="20"/>
              </w:rPr>
              <w:t xml:space="preserve"> </w:t>
            </w:r>
            <w:r w:rsidR="00617EF9">
              <w:rPr>
                <w:rFonts w:ascii="Times New Roman" w:hAnsi="Times New Roman" w:cs="Times New Roman"/>
                <w:sz w:val="20"/>
              </w:rPr>
              <w:t>[BLINDED FOR REVIEW]</w:t>
            </w:r>
            <w:r w:rsidRPr="00555735">
              <w:rPr>
                <w:rFonts w:ascii="Times New Roman" w:hAnsi="Times New Roman" w:cs="Times New Roman"/>
                <w:sz w:val="20"/>
                <w:szCs w:val="20"/>
              </w:rPr>
              <w:t xml:space="preserve"> for additional details of self-reported birth trauma.  </w:t>
            </w:r>
            <w:bookmarkEnd w:id="1"/>
            <w:r w:rsidRPr="00555735">
              <w:rPr>
                <w:rFonts w:ascii="Times New Roman" w:hAnsi="Times New Roman" w:cs="Times New Roman"/>
                <w:sz w:val="20"/>
                <w:szCs w:val="20"/>
              </w:rPr>
              <w:t> </w:t>
            </w:r>
          </w:p>
        </w:tc>
        <w:tc>
          <w:tcPr>
            <w:tcW w:w="1530" w:type="dxa"/>
            <w:hideMark/>
          </w:tcPr>
          <w:p w14:paraId="7C60BFC5"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tr w:rsidR="00BE4E97" w:rsidRPr="00555735" w14:paraId="3DA0FFD4" w14:textId="77777777" w:rsidTr="005028B1">
        <w:trPr>
          <w:trHeight w:val="300"/>
        </w:trPr>
        <w:tc>
          <w:tcPr>
            <w:tcW w:w="9360" w:type="dxa"/>
            <w:gridSpan w:val="5"/>
            <w:hideMark/>
          </w:tcPr>
          <w:p w14:paraId="5FCC59E1"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Caregiving behaviors and attitudes </w:t>
            </w:r>
          </w:p>
        </w:tc>
      </w:tr>
      <w:tr w:rsidR="00BE4E97" w:rsidRPr="00555735" w14:paraId="2D16C0C1" w14:textId="77777777" w:rsidTr="005028B1">
        <w:trPr>
          <w:trHeight w:val="300"/>
        </w:trPr>
        <w:tc>
          <w:tcPr>
            <w:tcW w:w="1440" w:type="dxa"/>
            <w:hideMark/>
          </w:tcPr>
          <w:p w14:paraId="648341DA"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Self-reported mother-infant bonding </w:t>
            </w:r>
          </w:p>
        </w:tc>
        <w:tc>
          <w:tcPr>
            <w:tcW w:w="1350" w:type="dxa"/>
            <w:hideMark/>
          </w:tcPr>
          <w:p w14:paraId="1A82403C"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T1 </w:t>
            </w:r>
          </w:p>
        </w:tc>
        <w:tc>
          <w:tcPr>
            <w:tcW w:w="1620" w:type="dxa"/>
            <w:hideMark/>
          </w:tcPr>
          <w:p w14:paraId="11E6F0D4" w14:textId="2560446E"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 xml:space="preserve">“General impairment” subscale from </w:t>
            </w:r>
            <w:bookmarkStart w:id="2" w:name="_Hlk210312020"/>
            <w:r w:rsidRPr="00555735">
              <w:rPr>
                <w:rFonts w:ascii="Times New Roman" w:hAnsi="Times New Roman" w:cs="Times New Roman"/>
                <w:sz w:val="20"/>
                <w:szCs w:val="20"/>
              </w:rPr>
              <w:t>Postpartum Bonding Questionnaire (PBQ) </w:t>
            </w:r>
            <w:bookmarkEnd w:id="2"/>
            <w:r w:rsidR="00CA33E9" w:rsidRPr="00CA33E9">
              <w:rPr>
                <w:rFonts w:ascii="Times New Roman" w:hAnsi="Times New Roman" w:cs="Times New Roman"/>
                <w:sz w:val="20"/>
              </w:rPr>
              <w:t>(Brockington et al., 2006)</w:t>
            </w:r>
          </w:p>
        </w:tc>
        <w:tc>
          <w:tcPr>
            <w:tcW w:w="3420" w:type="dxa"/>
            <w:hideMark/>
          </w:tcPr>
          <w:p w14:paraId="63B19CE0" w14:textId="77777777" w:rsidR="00BE4E97" w:rsidRPr="00555735" w:rsidRDefault="00BE4E97" w:rsidP="005028B1">
            <w:pPr>
              <w:spacing w:after="0" w:line="240" w:lineRule="auto"/>
              <w:rPr>
                <w:rFonts w:ascii="Times New Roman" w:hAnsi="Times New Roman" w:cs="Times New Roman"/>
                <w:sz w:val="20"/>
                <w:szCs w:val="20"/>
              </w:rPr>
            </w:pPr>
            <w:bookmarkStart w:id="3" w:name="_Hlk210311776"/>
            <w:r w:rsidRPr="00555735">
              <w:rPr>
                <w:rFonts w:ascii="Times New Roman" w:hAnsi="Times New Roman" w:cs="Times New Roman"/>
                <w:sz w:val="20"/>
                <w:szCs w:val="20"/>
              </w:rPr>
              <w:t>The PBQ “general impairment” subscale consists of 12 questions that can be scored from 1 (</w:t>
            </w:r>
            <w:r w:rsidRPr="00555735">
              <w:rPr>
                <w:rFonts w:ascii="Times New Roman" w:hAnsi="Times New Roman" w:cs="Times New Roman"/>
                <w:i/>
                <w:iCs/>
                <w:sz w:val="20"/>
                <w:szCs w:val="20"/>
              </w:rPr>
              <w:t>Always</w:t>
            </w:r>
            <w:r w:rsidRPr="00555735">
              <w:rPr>
                <w:rFonts w:ascii="Times New Roman" w:hAnsi="Times New Roman" w:cs="Times New Roman"/>
                <w:sz w:val="20"/>
                <w:szCs w:val="20"/>
              </w:rPr>
              <w:t>) to 6 (</w:t>
            </w:r>
            <w:r w:rsidRPr="00555735">
              <w:rPr>
                <w:rFonts w:ascii="Times New Roman" w:hAnsi="Times New Roman" w:cs="Times New Roman"/>
                <w:i/>
                <w:iCs/>
                <w:sz w:val="20"/>
                <w:szCs w:val="20"/>
              </w:rPr>
              <w:t>Never</w:t>
            </w:r>
            <w:r w:rsidRPr="00555735">
              <w:rPr>
                <w:rFonts w:ascii="Times New Roman" w:hAnsi="Times New Roman" w:cs="Times New Roman"/>
                <w:sz w:val="20"/>
                <w:szCs w:val="20"/>
              </w:rPr>
              <w:t xml:space="preserve">) and was assessed at T1. </w:t>
            </w:r>
            <w:bookmarkStart w:id="4" w:name="_Hlk210311791"/>
            <w:bookmarkEnd w:id="3"/>
            <w:r w:rsidRPr="00555735">
              <w:rPr>
                <w:rFonts w:ascii="Times New Roman" w:hAnsi="Times New Roman" w:cs="Times New Roman"/>
                <w:sz w:val="20"/>
                <w:szCs w:val="20"/>
              </w:rPr>
              <w:t>Participants were asked questions about feelings towards their baby (e.g., “I feel close to my baby”) and attitudes about being a mother (e.g., “I feel trapped as a mother”). Internal validity was good (Cronbach’s alpha = .80). </w:t>
            </w:r>
            <w:bookmarkEnd w:id="4"/>
          </w:p>
        </w:tc>
        <w:tc>
          <w:tcPr>
            <w:tcW w:w="1530" w:type="dxa"/>
            <w:hideMark/>
          </w:tcPr>
          <w:p w14:paraId="2FDC2F7E"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251 </w:t>
            </w:r>
          </w:p>
        </w:tc>
      </w:tr>
      <w:tr w:rsidR="00BE4E97" w:rsidRPr="00555735" w14:paraId="1C7EE901" w14:textId="77777777" w:rsidTr="005028B1">
        <w:trPr>
          <w:trHeight w:val="300"/>
        </w:trPr>
        <w:tc>
          <w:tcPr>
            <w:tcW w:w="1440" w:type="dxa"/>
            <w:hideMark/>
          </w:tcPr>
          <w:p w14:paraId="5CED66A1"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Observed mother-infant interactions </w:t>
            </w:r>
          </w:p>
        </w:tc>
        <w:tc>
          <w:tcPr>
            <w:tcW w:w="1350" w:type="dxa"/>
            <w:hideMark/>
          </w:tcPr>
          <w:p w14:paraId="1A872960"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T2 </w:t>
            </w:r>
          </w:p>
        </w:tc>
        <w:tc>
          <w:tcPr>
            <w:tcW w:w="1620" w:type="dxa"/>
            <w:hideMark/>
          </w:tcPr>
          <w:p w14:paraId="4E4AF72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Observational ratings </w:t>
            </w:r>
          </w:p>
        </w:tc>
        <w:tc>
          <w:tcPr>
            <w:tcW w:w="3420" w:type="dxa"/>
            <w:hideMark/>
          </w:tcPr>
          <w:p w14:paraId="2CF8849C" w14:textId="77777777" w:rsidR="00BE4E97" w:rsidRPr="00555735" w:rsidRDefault="00BE4E97" w:rsidP="005028B1">
            <w:pPr>
              <w:spacing w:after="0" w:line="240" w:lineRule="auto"/>
              <w:rPr>
                <w:rFonts w:ascii="Times New Roman" w:hAnsi="Times New Roman" w:cs="Times New Roman"/>
                <w:sz w:val="20"/>
                <w:szCs w:val="20"/>
              </w:rPr>
            </w:pPr>
            <w:bookmarkStart w:id="5" w:name="_Hlk210311866"/>
            <w:r w:rsidRPr="00555735">
              <w:rPr>
                <w:rFonts w:ascii="Times New Roman" w:hAnsi="Times New Roman" w:cs="Times New Roman"/>
                <w:sz w:val="20"/>
                <w:szCs w:val="20"/>
              </w:rPr>
              <w:t xml:space="preserve">Coders assessed mother-infant interactions from video recordings of birthing individuals and their children engaging in various tasks (i.e., storybook, </w:t>
            </w:r>
            <w:r w:rsidRPr="00555735">
              <w:rPr>
                <w:rFonts w:ascii="Times New Roman" w:hAnsi="Times New Roman" w:cs="Times New Roman"/>
                <w:sz w:val="20"/>
                <w:szCs w:val="20"/>
              </w:rPr>
              <w:lastRenderedPageBreak/>
              <w:t>teaching, free play). Interactions were assessed at T2, and this construct measures the level of synchrony, comfort, and mutual pleasure between parent and child while participating in the three tasks. Low scores indicate that a dyad operates as two separate entities, while high scores indicate a high degree of synchrony and comfort. </w:t>
            </w:r>
            <w:bookmarkEnd w:id="5"/>
          </w:p>
        </w:tc>
        <w:tc>
          <w:tcPr>
            <w:tcW w:w="1530" w:type="dxa"/>
            <w:hideMark/>
          </w:tcPr>
          <w:p w14:paraId="55042EA9"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lastRenderedPageBreak/>
              <w:t>163 </w:t>
            </w:r>
          </w:p>
        </w:tc>
      </w:tr>
      <w:tr w:rsidR="00BE4E97" w:rsidRPr="00555735" w14:paraId="7041C4FF" w14:textId="77777777" w:rsidTr="005028B1">
        <w:trPr>
          <w:trHeight w:val="300"/>
        </w:trPr>
        <w:tc>
          <w:tcPr>
            <w:tcW w:w="1440" w:type="dxa"/>
            <w:hideMark/>
          </w:tcPr>
          <w:p w14:paraId="4BBD9C83" w14:textId="77777777" w:rsidR="00BE4E97" w:rsidRPr="00555735" w:rsidRDefault="00BE4E97" w:rsidP="005028B1">
            <w:pPr>
              <w:spacing w:after="0" w:line="240" w:lineRule="auto"/>
              <w:rPr>
                <w:rFonts w:ascii="Times New Roman" w:hAnsi="Times New Roman" w:cs="Times New Roman"/>
                <w:b/>
                <w:bCs/>
                <w:sz w:val="20"/>
                <w:szCs w:val="20"/>
              </w:rPr>
            </w:pPr>
            <w:bookmarkStart w:id="6" w:name="_Hlk210311888"/>
            <w:r w:rsidRPr="00555735">
              <w:rPr>
                <w:rFonts w:ascii="Times New Roman" w:hAnsi="Times New Roman" w:cs="Times New Roman"/>
                <w:b/>
                <w:bCs/>
                <w:sz w:val="20"/>
                <w:szCs w:val="20"/>
              </w:rPr>
              <w:t>Observed positive parenting </w:t>
            </w:r>
          </w:p>
        </w:tc>
        <w:tc>
          <w:tcPr>
            <w:tcW w:w="1350" w:type="dxa"/>
            <w:hideMark/>
          </w:tcPr>
          <w:p w14:paraId="442A1C90"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T2</w:t>
            </w:r>
          </w:p>
        </w:tc>
        <w:tc>
          <w:tcPr>
            <w:tcW w:w="1620" w:type="dxa"/>
            <w:hideMark/>
          </w:tcPr>
          <w:p w14:paraId="1E96AB63"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Observational ratings  </w:t>
            </w:r>
          </w:p>
        </w:tc>
        <w:tc>
          <w:tcPr>
            <w:tcW w:w="3420" w:type="dxa"/>
            <w:hideMark/>
          </w:tcPr>
          <w:p w14:paraId="1539BE19" w14:textId="57D0659C"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Positive parenting was measured at T2 and T3 via the video recordings and was assessed using ratings from the three tasks (i.e., storybook, teaching, and free play tasks). The three facets of positive parenting include maternal sensitivity (i.e., the parent ability to appropriately respond to child’s cues during times of distress and non-distress), positive regard (i.e., the parent’s praise and love/admiration for their child), and stimulation of cognitive development (i.e., the parent’s effortful teaching to enhance perceptual, cognitive, and linguistic development). Higher scores indicate high levels of positive parenting. See</w:t>
            </w:r>
            <w:r w:rsidR="00FE175D">
              <w:rPr>
                <w:rFonts w:ascii="Times New Roman" w:hAnsi="Times New Roman" w:cs="Times New Roman"/>
                <w:sz w:val="20"/>
                <w:szCs w:val="20"/>
              </w:rPr>
              <w:t xml:space="preserve"> </w:t>
            </w:r>
            <w:r w:rsidR="00617EF9">
              <w:rPr>
                <w:rFonts w:ascii="Times New Roman" w:hAnsi="Times New Roman" w:cs="Times New Roman"/>
                <w:sz w:val="20"/>
              </w:rPr>
              <w:t xml:space="preserve">[BLINDED FOR REVIEW] </w:t>
            </w:r>
            <w:r w:rsidRPr="00555735">
              <w:rPr>
                <w:rFonts w:ascii="Times New Roman" w:hAnsi="Times New Roman" w:cs="Times New Roman"/>
                <w:sz w:val="20"/>
                <w:szCs w:val="20"/>
              </w:rPr>
              <w:t>for additional psychometric details. </w:t>
            </w:r>
          </w:p>
        </w:tc>
        <w:tc>
          <w:tcPr>
            <w:tcW w:w="1530" w:type="dxa"/>
            <w:hideMark/>
          </w:tcPr>
          <w:p w14:paraId="633E8358"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172 </w:t>
            </w:r>
          </w:p>
        </w:tc>
      </w:tr>
      <w:tr w:rsidR="00BE4E97" w:rsidRPr="00555735" w14:paraId="34EE1AA5" w14:textId="77777777" w:rsidTr="005028B1">
        <w:trPr>
          <w:trHeight w:val="300"/>
        </w:trPr>
        <w:tc>
          <w:tcPr>
            <w:tcW w:w="1440" w:type="dxa"/>
            <w:hideMark/>
          </w:tcPr>
          <w:p w14:paraId="262F5869" w14:textId="77777777" w:rsidR="00BE4E97" w:rsidRPr="00555735" w:rsidRDefault="00BE4E97" w:rsidP="005028B1">
            <w:pPr>
              <w:spacing w:after="0" w:line="240" w:lineRule="auto"/>
              <w:rPr>
                <w:rFonts w:ascii="Times New Roman" w:hAnsi="Times New Roman" w:cs="Times New Roman"/>
                <w:b/>
                <w:bCs/>
                <w:sz w:val="20"/>
                <w:szCs w:val="20"/>
              </w:rPr>
            </w:pPr>
            <w:bookmarkStart w:id="7" w:name="_Hlk210311989"/>
            <w:bookmarkEnd w:id="6"/>
            <w:r w:rsidRPr="00555735">
              <w:rPr>
                <w:rFonts w:ascii="Times New Roman" w:hAnsi="Times New Roman" w:cs="Times New Roman"/>
                <w:b/>
                <w:bCs/>
                <w:sz w:val="20"/>
                <w:szCs w:val="20"/>
              </w:rPr>
              <w:t>Self-reported parenting stress </w:t>
            </w:r>
          </w:p>
        </w:tc>
        <w:tc>
          <w:tcPr>
            <w:tcW w:w="1350" w:type="dxa"/>
            <w:hideMark/>
          </w:tcPr>
          <w:p w14:paraId="015F6BAC"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T3 </w:t>
            </w:r>
          </w:p>
        </w:tc>
        <w:tc>
          <w:tcPr>
            <w:tcW w:w="1620" w:type="dxa"/>
            <w:hideMark/>
          </w:tcPr>
          <w:p w14:paraId="44B24973" w14:textId="37BF8641"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Parenting Stress Index, fourth edition, short form (PSI-4-SF) </w:t>
            </w:r>
            <w:r w:rsidR="00CA33E9" w:rsidRPr="00CA33E9">
              <w:rPr>
                <w:rFonts w:ascii="Times New Roman" w:hAnsi="Times New Roman" w:cs="Times New Roman"/>
                <w:sz w:val="20"/>
              </w:rPr>
              <w:t>(Barroso et al., 2016)</w:t>
            </w:r>
          </w:p>
        </w:tc>
        <w:tc>
          <w:tcPr>
            <w:tcW w:w="3420" w:type="dxa"/>
            <w:hideMark/>
          </w:tcPr>
          <w:p w14:paraId="06B8A1D1" w14:textId="77777777" w:rsidR="00BE4E97" w:rsidRPr="00555735" w:rsidRDefault="00BE4E97" w:rsidP="005028B1">
            <w:pPr>
              <w:spacing w:after="0" w:line="240" w:lineRule="auto"/>
              <w:rPr>
                <w:rFonts w:ascii="Times New Roman" w:hAnsi="Times New Roman" w:cs="Times New Roman"/>
                <w:sz w:val="20"/>
                <w:szCs w:val="20"/>
              </w:rPr>
            </w:pPr>
            <w:bookmarkStart w:id="8" w:name="_Hlk210311945"/>
            <w:r w:rsidRPr="00555735">
              <w:rPr>
                <w:rFonts w:ascii="Times New Roman" w:hAnsi="Times New Roman" w:cs="Times New Roman"/>
                <w:sz w:val="20"/>
                <w:szCs w:val="20"/>
              </w:rPr>
              <w:t>The PSI-4-SF measures the amount of stress present in parent-child relationships. This short form uses 36 items from the original version of the PSI (Barroso et al., 2016). Internal validity was excellent (Cronbach’s alpha = .92). </w:t>
            </w:r>
            <w:bookmarkEnd w:id="8"/>
          </w:p>
        </w:tc>
        <w:tc>
          <w:tcPr>
            <w:tcW w:w="1530" w:type="dxa"/>
            <w:hideMark/>
          </w:tcPr>
          <w:p w14:paraId="7424701E"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208 </w:t>
            </w:r>
          </w:p>
        </w:tc>
      </w:tr>
      <w:bookmarkEnd w:id="7"/>
      <w:tr w:rsidR="00BE4E97" w:rsidRPr="00555735" w14:paraId="4AF28DE1" w14:textId="77777777" w:rsidTr="005028B1">
        <w:trPr>
          <w:trHeight w:val="300"/>
        </w:trPr>
        <w:tc>
          <w:tcPr>
            <w:tcW w:w="9360" w:type="dxa"/>
            <w:gridSpan w:val="5"/>
            <w:hideMark/>
          </w:tcPr>
          <w:p w14:paraId="2D810D93"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Baseline sociodemographic and delivery information </w:t>
            </w:r>
          </w:p>
        </w:tc>
      </w:tr>
      <w:tr w:rsidR="00BE4E97" w:rsidRPr="00555735" w14:paraId="52646B07" w14:textId="77777777" w:rsidTr="005028B1">
        <w:trPr>
          <w:trHeight w:val="300"/>
        </w:trPr>
        <w:tc>
          <w:tcPr>
            <w:tcW w:w="1440" w:type="dxa"/>
            <w:hideMark/>
          </w:tcPr>
          <w:p w14:paraId="5639C388"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Internalizing symptoms </w:t>
            </w:r>
          </w:p>
        </w:tc>
        <w:tc>
          <w:tcPr>
            <w:tcW w:w="1350" w:type="dxa"/>
            <w:hideMark/>
          </w:tcPr>
          <w:p w14:paraId="010F2D99"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T1 </w:t>
            </w:r>
          </w:p>
        </w:tc>
        <w:tc>
          <w:tcPr>
            <w:tcW w:w="1620" w:type="dxa"/>
            <w:hideMark/>
          </w:tcPr>
          <w:p w14:paraId="3E54FD5B" w14:textId="148836C5"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 xml:space="preserve">Edinburgh Postnatal Depression (EPDS) </w:t>
            </w:r>
            <w:r w:rsidR="00CA33E9" w:rsidRPr="00CA33E9">
              <w:rPr>
                <w:rFonts w:ascii="Times New Roman" w:hAnsi="Times New Roman" w:cs="Times New Roman"/>
                <w:sz w:val="20"/>
              </w:rPr>
              <w:t>(J. Cox, 2017; J. L. Cox et al., 1987)</w:t>
            </w:r>
            <w:r w:rsidRPr="00555735">
              <w:rPr>
                <w:rFonts w:ascii="Times New Roman" w:hAnsi="Times New Roman" w:cs="Times New Roman"/>
                <w:sz w:val="20"/>
                <w:szCs w:val="20"/>
              </w:rPr>
              <w:t>, Generalized Anxiety Disorder 7-item Scale (GAD-7) </w:t>
            </w:r>
            <w:r w:rsidR="00CA33E9" w:rsidRPr="00CA33E9">
              <w:rPr>
                <w:rFonts w:ascii="Times New Roman" w:hAnsi="Times New Roman" w:cs="Times New Roman"/>
                <w:sz w:val="20"/>
              </w:rPr>
              <w:t>(Spitzer et al., 2006)</w:t>
            </w:r>
            <w:r w:rsidRPr="00555735">
              <w:rPr>
                <w:rFonts w:ascii="Times New Roman" w:hAnsi="Times New Roman" w:cs="Times New Roman"/>
                <w:sz w:val="20"/>
                <w:szCs w:val="20"/>
              </w:rPr>
              <w:t>  </w:t>
            </w:r>
          </w:p>
        </w:tc>
        <w:tc>
          <w:tcPr>
            <w:tcW w:w="3420" w:type="dxa"/>
            <w:hideMark/>
          </w:tcPr>
          <w:p w14:paraId="5D885D6E" w14:textId="77777777" w:rsidR="00BE4E97" w:rsidRPr="00555735" w:rsidRDefault="00BE4E97" w:rsidP="005028B1">
            <w:pPr>
              <w:spacing w:after="0" w:line="240" w:lineRule="auto"/>
              <w:rPr>
                <w:rFonts w:ascii="Times New Roman" w:hAnsi="Times New Roman" w:cs="Times New Roman"/>
                <w:sz w:val="20"/>
                <w:szCs w:val="20"/>
              </w:rPr>
            </w:pPr>
            <w:bookmarkStart w:id="9" w:name="_Hlk210311088"/>
            <w:r w:rsidRPr="00555735">
              <w:rPr>
                <w:rFonts w:ascii="Times New Roman" w:hAnsi="Times New Roman" w:cs="Times New Roman"/>
                <w:sz w:val="20"/>
                <w:szCs w:val="20"/>
              </w:rPr>
              <w:t>Depression was measured via the EPDS, which is a 10-item screener that assesses depression symptoms in postpartum parents. Internal validity was good (Cronbach’s alpha = .87). Anxiety was measured via the GAD-7, which measures the frequency of one’s anxiety symptoms over the past two weeks. Internal validity was excellent (Cronbach’s alpha = .91). The EPDS and GAD-7 were standardized, and the average of the two were taken to create a composite internalizing symptoms score. </w:t>
            </w:r>
            <w:bookmarkEnd w:id="9"/>
          </w:p>
        </w:tc>
        <w:tc>
          <w:tcPr>
            <w:tcW w:w="1530" w:type="dxa"/>
            <w:hideMark/>
          </w:tcPr>
          <w:p w14:paraId="5375344E"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tr w:rsidR="00BE4E97" w:rsidRPr="00555735" w14:paraId="3C6C245B" w14:textId="77777777" w:rsidTr="005028B1">
        <w:trPr>
          <w:trHeight w:val="300"/>
        </w:trPr>
        <w:tc>
          <w:tcPr>
            <w:tcW w:w="1440" w:type="dxa"/>
            <w:hideMark/>
          </w:tcPr>
          <w:p w14:paraId="716ACB73"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Relationship status </w:t>
            </w:r>
          </w:p>
        </w:tc>
        <w:tc>
          <w:tcPr>
            <w:tcW w:w="1350" w:type="dxa"/>
            <w:hideMark/>
          </w:tcPr>
          <w:p w14:paraId="290BE7CD"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T1 </w:t>
            </w:r>
          </w:p>
        </w:tc>
        <w:tc>
          <w:tcPr>
            <w:tcW w:w="1620" w:type="dxa"/>
            <w:hideMark/>
          </w:tcPr>
          <w:p w14:paraId="48C8620A"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Demographics survey </w:t>
            </w:r>
          </w:p>
        </w:tc>
        <w:tc>
          <w:tcPr>
            <w:tcW w:w="3420" w:type="dxa"/>
            <w:hideMark/>
          </w:tcPr>
          <w:p w14:paraId="4A65E6CF"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Participants indicated their current relationship status as partnered/married, divorced/separated, widowed, single, or other. </w:t>
            </w:r>
          </w:p>
        </w:tc>
        <w:tc>
          <w:tcPr>
            <w:tcW w:w="1530" w:type="dxa"/>
            <w:hideMark/>
          </w:tcPr>
          <w:p w14:paraId="4254707C"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251 </w:t>
            </w:r>
          </w:p>
        </w:tc>
      </w:tr>
      <w:tr w:rsidR="00BE4E97" w:rsidRPr="00555735" w14:paraId="745447C3" w14:textId="77777777" w:rsidTr="005028B1">
        <w:trPr>
          <w:trHeight w:val="300"/>
        </w:trPr>
        <w:tc>
          <w:tcPr>
            <w:tcW w:w="1440" w:type="dxa"/>
            <w:hideMark/>
          </w:tcPr>
          <w:p w14:paraId="1BBB92B3"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 xml:space="preserve">Delivery </w:t>
            </w:r>
            <w:r w:rsidRPr="00555735">
              <w:rPr>
                <w:rFonts w:ascii="Times New Roman" w:hAnsi="Times New Roman" w:cs="Times New Roman"/>
                <w:b/>
                <w:bCs/>
                <w:sz w:val="20"/>
                <w:szCs w:val="20"/>
              </w:rPr>
              <w:lastRenderedPageBreak/>
              <w:t>method </w:t>
            </w:r>
          </w:p>
        </w:tc>
        <w:tc>
          <w:tcPr>
            <w:tcW w:w="1350" w:type="dxa"/>
            <w:hideMark/>
          </w:tcPr>
          <w:p w14:paraId="05F79620"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lastRenderedPageBreak/>
              <w:t>Birth </w:t>
            </w:r>
          </w:p>
        </w:tc>
        <w:tc>
          <w:tcPr>
            <w:tcW w:w="1620" w:type="dxa"/>
            <w:hideMark/>
          </w:tcPr>
          <w:p w14:paraId="06470CD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EHR </w:t>
            </w:r>
          </w:p>
        </w:tc>
        <w:tc>
          <w:tcPr>
            <w:tcW w:w="3420" w:type="dxa"/>
            <w:hideMark/>
          </w:tcPr>
          <w:p w14:paraId="6EC444F5"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 xml:space="preserve">Participants were categorized as either </w:t>
            </w:r>
            <w:r w:rsidRPr="00555735">
              <w:rPr>
                <w:rFonts w:ascii="Times New Roman" w:hAnsi="Times New Roman" w:cs="Times New Roman"/>
                <w:sz w:val="20"/>
                <w:szCs w:val="20"/>
              </w:rPr>
              <w:lastRenderedPageBreak/>
              <w:t>having a vaginal or cesarean-section delivery. </w:t>
            </w:r>
          </w:p>
        </w:tc>
        <w:tc>
          <w:tcPr>
            <w:tcW w:w="1530" w:type="dxa"/>
            <w:hideMark/>
          </w:tcPr>
          <w:p w14:paraId="7A965553"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lastRenderedPageBreak/>
              <w:t>All participants </w:t>
            </w:r>
          </w:p>
        </w:tc>
      </w:tr>
      <w:tr w:rsidR="00BE4E97" w:rsidRPr="00555735" w14:paraId="1716F0A4" w14:textId="77777777" w:rsidTr="005028B1">
        <w:trPr>
          <w:trHeight w:val="300"/>
        </w:trPr>
        <w:tc>
          <w:tcPr>
            <w:tcW w:w="1440" w:type="dxa"/>
            <w:hideMark/>
          </w:tcPr>
          <w:p w14:paraId="6051F25C"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Preterm birth </w:t>
            </w:r>
          </w:p>
        </w:tc>
        <w:tc>
          <w:tcPr>
            <w:tcW w:w="1350" w:type="dxa"/>
            <w:hideMark/>
          </w:tcPr>
          <w:p w14:paraId="42CB8A44"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Birth  </w:t>
            </w:r>
          </w:p>
        </w:tc>
        <w:tc>
          <w:tcPr>
            <w:tcW w:w="1620" w:type="dxa"/>
            <w:hideMark/>
          </w:tcPr>
          <w:p w14:paraId="15841A30"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EHR </w:t>
            </w:r>
          </w:p>
        </w:tc>
        <w:tc>
          <w:tcPr>
            <w:tcW w:w="3420" w:type="dxa"/>
            <w:hideMark/>
          </w:tcPr>
          <w:p w14:paraId="07ED61DB"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Participants were characterized as a having a preterm birth if they delivered at 37 gestational weeks or less. </w:t>
            </w:r>
          </w:p>
        </w:tc>
        <w:tc>
          <w:tcPr>
            <w:tcW w:w="1530" w:type="dxa"/>
            <w:hideMark/>
          </w:tcPr>
          <w:p w14:paraId="38CFCDCD"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tr w:rsidR="00BE4E97" w:rsidRPr="00555735" w14:paraId="1DF8EC13" w14:textId="77777777" w:rsidTr="005028B1">
        <w:trPr>
          <w:trHeight w:val="300"/>
        </w:trPr>
        <w:tc>
          <w:tcPr>
            <w:tcW w:w="1440" w:type="dxa"/>
            <w:hideMark/>
          </w:tcPr>
          <w:p w14:paraId="661A7BC6"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Placenta removal method </w:t>
            </w:r>
          </w:p>
        </w:tc>
        <w:tc>
          <w:tcPr>
            <w:tcW w:w="1350" w:type="dxa"/>
            <w:hideMark/>
          </w:tcPr>
          <w:p w14:paraId="210B3D9D"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Birth </w:t>
            </w:r>
          </w:p>
        </w:tc>
        <w:tc>
          <w:tcPr>
            <w:tcW w:w="1620" w:type="dxa"/>
            <w:hideMark/>
          </w:tcPr>
          <w:p w14:paraId="47476BFA"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EHR </w:t>
            </w:r>
          </w:p>
        </w:tc>
        <w:tc>
          <w:tcPr>
            <w:tcW w:w="3420" w:type="dxa"/>
            <w:hideMark/>
          </w:tcPr>
          <w:p w14:paraId="1A063BA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Placental removal method was categorized as having a manual removal or spontaneous/expressed removal. </w:t>
            </w:r>
          </w:p>
        </w:tc>
        <w:tc>
          <w:tcPr>
            <w:tcW w:w="1530" w:type="dxa"/>
            <w:hideMark/>
          </w:tcPr>
          <w:p w14:paraId="7C2B235F"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tr w:rsidR="00BE4E97" w:rsidRPr="00555735" w14:paraId="0F61F803" w14:textId="77777777" w:rsidTr="005028B1">
        <w:trPr>
          <w:trHeight w:val="300"/>
        </w:trPr>
        <w:tc>
          <w:tcPr>
            <w:tcW w:w="1440" w:type="dxa"/>
            <w:hideMark/>
          </w:tcPr>
          <w:p w14:paraId="7185526A"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Blood loss (mL) </w:t>
            </w:r>
          </w:p>
        </w:tc>
        <w:tc>
          <w:tcPr>
            <w:tcW w:w="1350" w:type="dxa"/>
            <w:hideMark/>
          </w:tcPr>
          <w:p w14:paraId="22B7B195"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Birth   </w:t>
            </w:r>
          </w:p>
        </w:tc>
        <w:tc>
          <w:tcPr>
            <w:tcW w:w="1620" w:type="dxa"/>
            <w:hideMark/>
          </w:tcPr>
          <w:p w14:paraId="7C246B61"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EHR </w:t>
            </w:r>
          </w:p>
        </w:tc>
        <w:tc>
          <w:tcPr>
            <w:tcW w:w="3420" w:type="dxa"/>
            <w:hideMark/>
          </w:tcPr>
          <w:p w14:paraId="1C3868AB"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Blood loss refers to the estimated amount of blood a birthing individual lost during delivery and is measured in milliliters.  </w:t>
            </w:r>
          </w:p>
        </w:tc>
        <w:tc>
          <w:tcPr>
            <w:tcW w:w="1530" w:type="dxa"/>
            <w:hideMark/>
          </w:tcPr>
          <w:p w14:paraId="3B14287C"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168 </w:t>
            </w:r>
          </w:p>
        </w:tc>
      </w:tr>
      <w:tr w:rsidR="00BE4E97" w:rsidRPr="00555735" w14:paraId="23289679" w14:textId="77777777" w:rsidTr="005028B1">
        <w:trPr>
          <w:trHeight w:val="300"/>
        </w:trPr>
        <w:tc>
          <w:tcPr>
            <w:tcW w:w="1440" w:type="dxa"/>
            <w:tcBorders>
              <w:bottom w:val="single" w:sz="4" w:space="0" w:color="auto"/>
            </w:tcBorders>
            <w:hideMark/>
          </w:tcPr>
          <w:p w14:paraId="3C745233" w14:textId="77777777" w:rsidR="00BE4E97" w:rsidRPr="00555735" w:rsidRDefault="00BE4E97" w:rsidP="005028B1">
            <w:pPr>
              <w:spacing w:after="0" w:line="240" w:lineRule="auto"/>
              <w:rPr>
                <w:rFonts w:ascii="Times New Roman" w:hAnsi="Times New Roman" w:cs="Times New Roman"/>
                <w:b/>
                <w:bCs/>
                <w:sz w:val="20"/>
                <w:szCs w:val="20"/>
              </w:rPr>
            </w:pPr>
            <w:r w:rsidRPr="00555735">
              <w:rPr>
                <w:rFonts w:ascii="Times New Roman" w:hAnsi="Times New Roman" w:cs="Times New Roman"/>
                <w:b/>
                <w:bCs/>
                <w:sz w:val="20"/>
                <w:szCs w:val="20"/>
              </w:rPr>
              <w:t>Cumulative score of clinician-reported adverse childbirth events </w:t>
            </w:r>
          </w:p>
        </w:tc>
        <w:tc>
          <w:tcPr>
            <w:tcW w:w="1350" w:type="dxa"/>
            <w:tcBorders>
              <w:bottom w:val="single" w:sz="4" w:space="0" w:color="auto"/>
            </w:tcBorders>
            <w:hideMark/>
          </w:tcPr>
          <w:p w14:paraId="5582307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Birth </w:t>
            </w:r>
          </w:p>
        </w:tc>
        <w:tc>
          <w:tcPr>
            <w:tcW w:w="1620" w:type="dxa"/>
            <w:tcBorders>
              <w:bottom w:val="single" w:sz="4" w:space="0" w:color="auto"/>
            </w:tcBorders>
            <w:hideMark/>
          </w:tcPr>
          <w:p w14:paraId="7E8A1912"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EHR </w:t>
            </w:r>
          </w:p>
        </w:tc>
        <w:tc>
          <w:tcPr>
            <w:tcW w:w="3420" w:type="dxa"/>
            <w:tcBorders>
              <w:bottom w:val="single" w:sz="4" w:space="0" w:color="auto"/>
            </w:tcBorders>
            <w:hideMark/>
          </w:tcPr>
          <w:p w14:paraId="12F0D18F" w14:textId="77777777" w:rsidR="00BE4E97" w:rsidRPr="00555735" w:rsidRDefault="00BE4E97" w:rsidP="005028B1">
            <w:pPr>
              <w:spacing w:after="0" w:line="240" w:lineRule="auto"/>
              <w:rPr>
                <w:rFonts w:ascii="Times New Roman" w:hAnsi="Times New Roman" w:cs="Times New Roman"/>
                <w:sz w:val="20"/>
                <w:szCs w:val="20"/>
              </w:rPr>
            </w:pPr>
            <w:bookmarkStart w:id="10" w:name="_Hlk210386359"/>
            <w:r w:rsidRPr="00555735">
              <w:rPr>
                <w:rFonts w:ascii="Times New Roman" w:hAnsi="Times New Roman" w:cs="Times New Roman"/>
                <w:sz w:val="20"/>
                <w:szCs w:val="20"/>
              </w:rPr>
              <w:t>A cumulative score of clinician-reported adverse childbirth events was derived based on the number of objective traumatic birth events recorded in the medical chart (i.e., caesarean-section, preterm-birth, significant blood loss, manual placental removal method, and an Apgar score of less than 8). A higher score indicates that a participant experienced more clinician-reported adverse childbirth events. </w:t>
            </w:r>
            <w:bookmarkEnd w:id="10"/>
          </w:p>
        </w:tc>
        <w:tc>
          <w:tcPr>
            <w:tcW w:w="1530" w:type="dxa"/>
            <w:tcBorders>
              <w:bottom w:val="single" w:sz="4" w:space="0" w:color="auto"/>
            </w:tcBorders>
            <w:hideMark/>
          </w:tcPr>
          <w:p w14:paraId="3BA424E7" w14:textId="77777777" w:rsidR="00BE4E97" w:rsidRPr="00555735" w:rsidRDefault="00BE4E97" w:rsidP="005028B1">
            <w:pPr>
              <w:spacing w:after="0" w:line="240" w:lineRule="auto"/>
              <w:rPr>
                <w:rFonts w:ascii="Times New Roman" w:hAnsi="Times New Roman" w:cs="Times New Roman"/>
                <w:sz w:val="20"/>
                <w:szCs w:val="20"/>
              </w:rPr>
            </w:pPr>
            <w:r w:rsidRPr="00555735">
              <w:rPr>
                <w:rFonts w:ascii="Times New Roman" w:hAnsi="Times New Roman" w:cs="Times New Roman"/>
                <w:sz w:val="20"/>
                <w:szCs w:val="20"/>
              </w:rPr>
              <w:t>All participants </w:t>
            </w:r>
          </w:p>
        </w:tc>
      </w:tr>
    </w:tbl>
    <w:p w14:paraId="61AE26F5" w14:textId="77777777" w:rsidR="00BE4E97" w:rsidRDefault="00BE4E97">
      <w:pPr>
        <w:rPr>
          <w:rFonts w:ascii="Times New Roman" w:hAnsi="Times New Roman" w:cs="Times New Roman"/>
          <w:sz w:val="20"/>
          <w:szCs w:val="20"/>
        </w:rPr>
        <w:sectPr w:rsidR="00BE4E97" w:rsidSect="00BE4E97">
          <w:pgSz w:w="12240" w:h="15840" w:code="1"/>
          <w:pgMar w:top="1440" w:right="1440" w:bottom="1440" w:left="1440" w:header="720" w:footer="720" w:gutter="0"/>
          <w:cols w:space="720"/>
          <w:docGrid w:linePitch="360"/>
        </w:sectPr>
      </w:pPr>
    </w:p>
    <w:tbl>
      <w:tblPr>
        <w:tblpPr w:leftFromText="180" w:rightFromText="180" w:horzAnchor="margin" w:tblpXSpec="center" w:tblpY="-240"/>
        <w:tblW w:w="14586" w:type="dxa"/>
        <w:tblLayout w:type="fixed"/>
        <w:tblCellMar>
          <w:left w:w="0" w:type="dxa"/>
          <w:right w:w="0" w:type="dxa"/>
        </w:tblCellMar>
        <w:tblLook w:val="04A0" w:firstRow="1" w:lastRow="0" w:firstColumn="1" w:lastColumn="0" w:noHBand="0" w:noVBand="1"/>
      </w:tblPr>
      <w:tblGrid>
        <w:gridCol w:w="2164"/>
        <w:gridCol w:w="688"/>
        <w:gridCol w:w="690"/>
        <w:gridCol w:w="690"/>
        <w:gridCol w:w="688"/>
        <w:gridCol w:w="690"/>
        <w:gridCol w:w="690"/>
        <w:gridCol w:w="690"/>
        <w:gridCol w:w="688"/>
        <w:gridCol w:w="690"/>
        <w:gridCol w:w="690"/>
        <w:gridCol w:w="688"/>
        <w:gridCol w:w="690"/>
        <w:gridCol w:w="690"/>
        <w:gridCol w:w="690"/>
        <w:gridCol w:w="688"/>
        <w:gridCol w:w="690"/>
        <w:gridCol w:w="690"/>
        <w:gridCol w:w="695"/>
        <w:gridCol w:w="7"/>
      </w:tblGrid>
      <w:tr w:rsidR="00B95206" w:rsidRPr="00910608" w14:paraId="5C422BF5" w14:textId="77777777" w:rsidTr="00460BE0">
        <w:trPr>
          <w:trHeight w:val="346"/>
        </w:trPr>
        <w:tc>
          <w:tcPr>
            <w:tcW w:w="14586" w:type="dxa"/>
            <w:gridSpan w:val="20"/>
            <w:tcBorders>
              <w:bottom w:val="single" w:sz="4" w:space="0" w:color="auto"/>
            </w:tcBorders>
          </w:tcPr>
          <w:p w14:paraId="6BE0CF97" w14:textId="77777777" w:rsidR="00B95206" w:rsidRPr="00910608" w:rsidRDefault="00B95206" w:rsidP="005028B1">
            <w:pPr>
              <w:spacing w:after="0" w:line="240" w:lineRule="auto"/>
              <w:rPr>
                <w:rFonts w:ascii="Times New Roman" w:hAnsi="Times New Roman" w:cs="Times New Roman"/>
                <w:sz w:val="20"/>
                <w:szCs w:val="20"/>
              </w:rPr>
            </w:pPr>
            <w:r w:rsidRPr="00910608">
              <w:rPr>
                <w:rFonts w:ascii="Times New Roman" w:hAnsi="Times New Roman" w:cs="Times New Roman"/>
                <w:b/>
                <w:bCs/>
                <w:sz w:val="20"/>
                <w:szCs w:val="20"/>
              </w:rPr>
              <w:lastRenderedPageBreak/>
              <w:t>Table S2 </w:t>
            </w:r>
            <w:r w:rsidRPr="00910608">
              <w:rPr>
                <w:rFonts w:ascii="Times New Roman" w:hAnsi="Times New Roman" w:cs="Times New Roman"/>
                <w:sz w:val="20"/>
                <w:szCs w:val="20"/>
              </w:rPr>
              <w:t> </w:t>
            </w:r>
          </w:p>
          <w:p w14:paraId="2A88C6DF" w14:textId="77777777" w:rsidR="00B95206" w:rsidRPr="00910608" w:rsidRDefault="00B95206" w:rsidP="005028B1">
            <w:pPr>
              <w:spacing w:after="0" w:line="240" w:lineRule="auto"/>
              <w:rPr>
                <w:rFonts w:ascii="Times New Roman" w:hAnsi="Times New Roman" w:cs="Times New Roman"/>
                <w:sz w:val="16"/>
                <w:szCs w:val="16"/>
              </w:rPr>
            </w:pPr>
            <w:r w:rsidRPr="00910608">
              <w:rPr>
                <w:rFonts w:ascii="Times New Roman" w:hAnsi="Times New Roman" w:cs="Times New Roman"/>
                <w:i/>
                <w:iCs/>
                <w:sz w:val="20"/>
                <w:szCs w:val="20"/>
              </w:rPr>
              <w:t>Correlation matrix of all study variables</w:t>
            </w:r>
            <w:r w:rsidRPr="00910608">
              <w:rPr>
                <w:rFonts w:ascii="Times New Roman" w:hAnsi="Times New Roman" w:cs="Times New Roman"/>
                <w:sz w:val="20"/>
                <w:szCs w:val="20"/>
              </w:rPr>
              <w:t> </w:t>
            </w:r>
          </w:p>
        </w:tc>
      </w:tr>
      <w:tr w:rsidR="00460BE0" w:rsidRPr="00910608" w14:paraId="18F73153" w14:textId="77777777" w:rsidTr="00460BE0">
        <w:trPr>
          <w:gridAfter w:val="1"/>
          <w:wAfter w:w="7" w:type="dxa"/>
          <w:trHeight w:val="346"/>
        </w:trPr>
        <w:tc>
          <w:tcPr>
            <w:tcW w:w="2164" w:type="dxa"/>
            <w:tcBorders>
              <w:top w:val="single" w:sz="4" w:space="0" w:color="auto"/>
              <w:bottom w:val="single" w:sz="4" w:space="0" w:color="auto"/>
            </w:tcBorders>
            <w:hideMark/>
          </w:tcPr>
          <w:p w14:paraId="719D32C3" w14:textId="77777777" w:rsidR="00B95206" w:rsidRPr="00910608" w:rsidRDefault="00B95206" w:rsidP="005028B1">
            <w:pPr>
              <w:spacing w:after="0" w:line="240" w:lineRule="auto"/>
              <w:rPr>
                <w:rFonts w:ascii="Times New Roman" w:hAnsi="Times New Roman" w:cs="Times New Roman"/>
                <w:sz w:val="18"/>
                <w:szCs w:val="18"/>
              </w:rPr>
            </w:pPr>
            <w:r w:rsidRPr="00910608">
              <w:rPr>
                <w:rFonts w:ascii="Times New Roman" w:hAnsi="Times New Roman" w:cs="Times New Roman"/>
                <w:sz w:val="18"/>
                <w:szCs w:val="18"/>
              </w:rPr>
              <w:t>Variable  </w:t>
            </w:r>
          </w:p>
        </w:tc>
        <w:tc>
          <w:tcPr>
            <w:tcW w:w="688" w:type="dxa"/>
            <w:tcBorders>
              <w:top w:val="single" w:sz="4" w:space="0" w:color="auto"/>
              <w:bottom w:val="single" w:sz="4" w:space="0" w:color="auto"/>
            </w:tcBorders>
            <w:vAlign w:val="center"/>
            <w:hideMark/>
          </w:tcPr>
          <w:p w14:paraId="36B15E19"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w:t>
            </w:r>
          </w:p>
        </w:tc>
        <w:tc>
          <w:tcPr>
            <w:tcW w:w="690" w:type="dxa"/>
            <w:tcBorders>
              <w:top w:val="single" w:sz="4" w:space="0" w:color="auto"/>
              <w:bottom w:val="single" w:sz="4" w:space="0" w:color="auto"/>
            </w:tcBorders>
            <w:vAlign w:val="center"/>
            <w:hideMark/>
          </w:tcPr>
          <w:p w14:paraId="4D73B747"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2</w:t>
            </w:r>
          </w:p>
        </w:tc>
        <w:tc>
          <w:tcPr>
            <w:tcW w:w="690" w:type="dxa"/>
            <w:tcBorders>
              <w:top w:val="single" w:sz="4" w:space="0" w:color="auto"/>
              <w:bottom w:val="single" w:sz="4" w:space="0" w:color="auto"/>
            </w:tcBorders>
            <w:vAlign w:val="center"/>
            <w:hideMark/>
          </w:tcPr>
          <w:p w14:paraId="6B4B0298"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3</w:t>
            </w:r>
          </w:p>
        </w:tc>
        <w:tc>
          <w:tcPr>
            <w:tcW w:w="688" w:type="dxa"/>
            <w:tcBorders>
              <w:top w:val="single" w:sz="4" w:space="0" w:color="auto"/>
              <w:bottom w:val="single" w:sz="4" w:space="0" w:color="auto"/>
            </w:tcBorders>
            <w:vAlign w:val="center"/>
            <w:hideMark/>
          </w:tcPr>
          <w:p w14:paraId="37AF7F53"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4</w:t>
            </w:r>
          </w:p>
        </w:tc>
        <w:tc>
          <w:tcPr>
            <w:tcW w:w="690" w:type="dxa"/>
            <w:tcBorders>
              <w:top w:val="single" w:sz="4" w:space="0" w:color="auto"/>
              <w:bottom w:val="single" w:sz="4" w:space="0" w:color="auto"/>
            </w:tcBorders>
            <w:vAlign w:val="center"/>
            <w:hideMark/>
          </w:tcPr>
          <w:p w14:paraId="62B4619A"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5</w:t>
            </w:r>
          </w:p>
        </w:tc>
        <w:tc>
          <w:tcPr>
            <w:tcW w:w="690" w:type="dxa"/>
            <w:tcBorders>
              <w:top w:val="single" w:sz="4" w:space="0" w:color="auto"/>
              <w:bottom w:val="single" w:sz="4" w:space="0" w:color="auto"/>
            </w:tcBorders>
            <w:vAlign w:val="center"/>
            <w:hideMark/>
          </w:tcPr>
          <w:p w14:paraId="3D11319A"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6</w:t>
            </w:r>
          </w:p>
        </w:tc>
        <w:tc>
          <w:tcPr>
            <w:tcW w:w="690" w:type="dxa"/>
            <w:tcBorders>
              <w:top w:val="single" w:sz="4" w:space="0" w:color="auto"/>
              <w:bottom w:val="single" w:sz="4" w:space="0" w:color="auto"/>
            </w:tcBorders>
            <w:vAlign w:val="center"/>
            <w:hideMark/>
          </w:tcPr>
          <w:p w14:paraId="57A8C6EC"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7</w:t>
            </w:r>
          </w:p>
        </w:tc>
        <w:tc>
          <w:tcPr>
            <w:tcW w:w="688" w:type="dxa"/>
            <w:tcBorders>
              <w:top w:val="single" w:sz="4" w:space="0" w:color="auto"/>
              <w:bottom w:val="single" w:sz="4" w:space="0" w:color="auto"/>
            </w:tcBorders>
            <w:vAlign w:val="center"/>
            <w:hideMark/>
          </w:tcPr>
          <w:p w14:paraId="00E42DBF"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8</w:t>
            </w:r>
          </w:p>
        </w:tc>
        <w:tc>
          <w:tcPr>
            <w:tcW w:w="690" w:type="dxa"/>
            <w:tcBorders>
              <w:top w:val="single" w:sz="4" w:space="0" w:color="auto"/>
              <w:bottom w:val="single" w:sz="4" w:space="0" w:color="auto"/>
            </w:tcBorders>
            <w:vAlign w:val="center"/>
            <w:hideMark/>
          </w:tcPr>
          <w:p w14:paraId="4CBB9BFA"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9</w:t>
            </w:r>
          </w:p>
        </w:tc>
        <w:tc>
          <w:tcPr>
            <w:tcW w:w="690" w:type="dxa"/>
            <w:tcBorders>
              <w:top w:val="single" w:sz="4" w:space="0" w:color="auto"/>
              <w:bottom w:val="single" w:sz="4" w:space="0" w:color="auto"/>
            </w:tcBorders>
            <w:vAlign w:val="center"/>
            <w:hideMark/>
          </w:tcPr>
          <w:p w14:paraId="545BAA60"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10</w:t>
            </w:r>
          </w:p>
        </w:tc>
        <w:tc>
          <w:tcPr>
            <w:tcW w:w="688" w:type="dxa"/>
            <w:tcBorders>
              <w:top w:val="single" w:sz="4" w:space="0" w:color="auto"/>
              <w:bottom w:val="single" w:sz="4" w:space="0" w:color="auto"/>
            </w:tcBorders>
            <w:vAlign w:val="center"/>
            <w:hideMark/>
          </w:tcPr>
          <w:p w14:paraId="5BA40109"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11</w:t>
            </w:r>
          </w:p>
        </w:tc>
        <w:tc>
          <w:tcPr>
            <w:tcW w:w="690" w:type="dxa"/>
            <w:tcBorders>
              <w:top w:val="single" w:sz="4" w:space="0" w:color="auto"/>
              <w:bottom w:val="single" w:sz="4" w:space="0" w:color="auto"/>
            </w:tcBorders>
            <w:vAlign w:val="center"/>
            <w:hideMark/>
          </w:tcPr>
          <w:p w14:paraId="3DC8A025"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12</w:t>
            </w:r>
          </w:p>
        </w:tc>
        <w:tc>
          <w:tcPr>
            <w:tcW w:w="690" w:type="dxa"/>
            <w:tcBorders>
              <w:top w:val="single" w:sz="4" w:space="0" w:color="auto"/>
              <w:bottom w:val="single" w:sz="4" w:space="0" w:color="auto"/>
            </w:tcBorders>
            <w:vAlign w:val="center"/>
            <w:hideMark/>
          </w:tcPr>
          <w:p w14:paraId="54B4782B"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13</w:t>
            </w:r>
          </w:p>
        </w:tc>
        <w:tc>
          <w:tcPr>
            <w:tcW w:w="690" w:type="dxa"/>
            <w:tcBorders>
              <w:top w:val="single" w:sz="4" w:space="0" w:color="auto"/>
              <w:bottom w:val="single" w:sz="4" w:space="0" w:color="auto"/>
            </w:tcBorders>
            <w:vAlign w:val="center"/>
            <w:hideMark/>
          </w:tcPr>
          <w:p w14:paraId="2A72E376"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14</w:t>
            </w:r>
          </w:p>
        </w:tc>
        <w:tc>
          <w:tcPr>
            <w:tcW w:w="688" w:type="dxa"/>
            <w:tcBorders>
              <w:top w:val="single" w:sz="4" w:space="0" w:color="auto"/>
              <w:bottom w:val="single" w:sz="4" w:space="0" w:color="auto"/>
            </w:tcBorders>
            <w:vAlign w:val="center"/>
            <w:hideMark/>
          </w:tcPr>
          <w:p w14:paraId="148CF78B"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15</w:t>
            </w:r>
          </w:p>
        </w:tc>
        <w:tc>
          <w:tcPr>
            <w:tcW w:w="690" w:type="dxa"/>
            <w:tcBorders>
              <w:top w:val="single" w:sz="4" w:space="0" w:color="auto"/>
              <w:bottom w:val="single" w:sz="4" w:space="0" w:color="auto"/>
            </w:tcBorders>
            <w:vAlign w:val="center"/>
            <w:hideMark/>
          </w:tcPr>
          <w:p w14:paraId="7F014285"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16</w:t>
            </w:r>
          </w:p>
        </w:tc>
        <w:tc>
          <w:tcPr>
            <w:tcW w:w="690" w:type="dxa"/>
            <w:tcBorders>
              <w:top w:val="single" w:sz="4" w:space="0" w:color="auto"/>
              <w:bottom w:val="single" w:sz="4" w:space="0" w:color="auto"/>
            </w:tcBorders>
            <w:vAlign w:val="center"/>
            <w:hideMark/>
          </w:tcPr>
          <w:p w14:paraId="6E61DCE7"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17</w:t>
            </w:r>
          </w:p>
        </w:tc>
        <w:tc>
          <w:tcPr>
            <w:tcW w:w="695" w:type="dxa"/>
            <w:tcBorders>
              <w:top w:val="single" w:sz="4" w:space="0" w:color="auto"/>
              <w:bottom w:val="single" w:sz="4" w:space="0" w:color="auto"/>
            </w:tcBorders>
            <w:vAlign w:val="center"/>
            <w:hideMark/>
          </w:tcPr>
          <w:p w14:paraId="3B647C09" w14:textId="77777777" w:rsidR="00B95206" w:rsidRPr="00910608" w:rsidRDefault="00B95206" w:rsidP="005028B1">
            <w:pPr>
              <w:spacing w:after="0" w:line="240" w:lineRule="auto"/>
              <w:jc w:val="center"/>
              <w:rPr>
                <w:rFonts w:ascii="Times New Roman" w:hAnsi="Times New Roman" w:cs="Times New Roman"/>
                <w:sz w:val="16"/>
                <w:szCs w:val="16"/>
              </w:rPr>
            </w:pPr>
            <w:r w:rsidRPr="00910608">
              <w:rPr>
                <w:rFonts w:ascii="Times New Roman" w:hAnsi="Times New Roman" w:cs="Times New Roman"/>
                <w:sz w:val="16"/>
                <w:szCs w:val="16"/>
              </w:rPr>
              <w:t>18</w:t>
            </w:r>
          </w:p>
        </w:tc>
      </w:tr>
      <w:tr w:rsidR="00460BE0" w:rsidRPr="00910608" w14:paraId="591872E1" w14:textId="77777777" w:rsidTr="00460BE0">
        <w:trPr>
          <w:gridAfter w:val="1"/>
          <w:wAfter w:w="7" w:type="dxa"/>
          <w:trHeight w:val="346"/>
        </w:trPr>
        <w:tc>
          <w:tcPr>
            <w:tcW w:w="2164" w:type="dxa"/>
            <w:tcBorders>
              <w:top w:val="single" w:sz="4" w:space="0" w:color="auto"/>
            </w:tcBorders>
            <w:vAlign w:val="center"/>
            <w:hideMark/>
          </w:tcPr>
          <w:p w14:paraId="5E2BFEA3"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Self-reported birth trauma (T1)  </w:t>
            </w:r>
          </w:p>
        </w:tc>
        <w:tc>
          <w:tcPr>
            <w:tcW w:w="688" w:type="dxa"/>
            <w:tcBorders>
              <w:top w:val="single" w:sz="4" w:space="0" w:color="auto"/>
            </w:tcBorders>
            <w:vAlign w:val="center"/>
          </w:tcPr>
          <w:p w14:paraId="58D4A9F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tcBorders>
              <w:top w:val="single" w:sz="4" w:space="0" w:color="auto"/>
            </w:tcBorders>
            <w:vAlign w:val="center"/>
          </w:tcPr>
          <w:p w14:paraId="7189B1D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4A784CA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tcBorders>
              <w:top w:val="single" w:sz="4" w:space="0" w:color="auto"/>
            </w:tcBorders>
            <w:vAlign w:val="center"/>
          </w:tcPr>
          <w:p w14:paraId="0421DB3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21E3B56F"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37B41EB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140C3A7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tcBorders>
              <w:top w:val="single" w:sz="4" w:space="0" w:color="auto"/>
            </w:tcBorders>
            <w:vAlign w:val="center"/>
          </w:tcPr>
          <w:p w14:paraId="342AA53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63120B1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4640942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tcBorders>
              <w:top w:val="single" w:sz="4" w:space="0" w:color="auto"/>
            </w:tcBorders>
            <w:vAlign w:val="center"/>
          </w:tcPr>
          <w:p w14:paraId="368150E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1A0862A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4EBCE91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404639E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tcBorders>
              <w:top w:val="single" w:sz="4" w:space="0" w:color="auto"/>
            </w:tcBorders>
            <w:vAlign w:val="center"/>
          </w:tcPr>
          <w:p w14:paraId="6128D92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7720169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tcBorders>
              <w:top w:val="single" w:sz="4" w:space="0" w:color="auto"/>
            </w:tcBorders>
            <w:vAlign w:val="center"/>
          </w:tcPr>
          <w:p w14:paraId="250EB19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tcBorders>
              <w:top w:val="single" w:sz="4" w:space="0" w:color="auto"/>
            </w:tcBorders>
            <w:vAlign w:val="center"/>
          </w:tcPr>
          <w:p w14:paraId="3FC08E1B"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1AC734C6" w14:textId="77777777" w:rsidTr="00460BE0">
        <w:trPr>
          <w:gridAfter w:val="1"/>
          <w:wAfter w:w="7" w:type="dxa"/>
          <w:trHeight w:val="346"/>
        </w:trPr>
        <w:tc>
          <w:tcPr>
            <w:tcW w:w="2164" w:type="dxa"/>
            <w:vAlign w:val="center"/>
            <w:hideMark/>
          </w:tcPr>
          <w:p w14:paraId="19FC101C"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Mother-infant bonding (T1)  </w:t>
            </w:r>
          </w:p>
        </w:tc>
        <w:tc>
          <w:tcPr>
            <w:tcW w:w="688" w:type="dxa"/>
            <w:vAlign w:val="center"/>
          </w:tcPr>
          <w:p w14:paraId="7602CB00"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6432AE1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074E9D2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DEEA18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6B6934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53CD44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9A948CB"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0E5A5DC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BCC607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A9D0EB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64A74B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16D9D4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5386B9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0853B4F"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240EE1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FFA982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BAC326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1815E38C"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24752557" w14:textId="77777777" w:rsidTr="00460BE0">
        <w:trPr>
          <w:gridAfter w:val="1"/>
          <w:wAfter w:w="7" w:type="dxa"/>
          <w:trHeight w:val="346"/>
        </w:trPr>
        <w:tc>
          <w:tcPr>
            <w:tcW w:w="2164" w:type="dxa"/>
            <w:vAlign w:val="center"/>
            <w:hideMark/>
          </w:tcPr>
          <w:p w14:paraId="67404B45"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Mother-infant interactions (T2)  </w:t>
            </w:r>
          </w:p>
        </w:tc>
        <w:tc>
          <w:tcPr>
            <w:tcW w:w="688" w:type="dxa"/>
            <w:vAlign w:val="center"/>
          </w:tcPr>
          <w:p w14:paraId="289490E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0.15*</w:t>
            </w:r>
          </w:p>
        </w:tc>
        <w:tc>
          <w:tcPr>
            <w:tcW w:w="690" w:type="dxa"/>
            <w:vAlign w:val="center"/>
          </w:tcPr>
          <w:p w14:paraId="6686B00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90" w:type="dxa"/>
            <w:vAlign w:val="center"/>
          </w:tcPr>
          <w:p w14:paraId="581CB1E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88" w:type="dxa"/>
            <w:vAlign w:val="center"/>
          </w:tcPr>
          <w:p w14:paraId="5FE2845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FFC2D7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868ED9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C70B9D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1B97299B"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123DC6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7CA2A2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11BF63B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6607B7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E6DF30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B11293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2C65E19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B8C3ED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E528D0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2FF9FD3F"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42FEA3F9" w14:textId="77777777" w:rsidTr="00460BE0">
        <w:trPr>
          <w:gridAfter w:val="1"/>
          <w:wAfter w:w="7" w:type="dxa"/>
          <w:trHeight w:val="346"/>
        </w:trPr>
        <w:tc>
          <w:tcPr>
            <w:tcW w:w="2164" w:type="dxa"/>
            <w:vAlign w:val="center"/>
            <w:hideMark/>
          </w:tcPr>
          <w:p w14:paraId="3D265113"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Positive parenting (T2)  </w:t>
            </w:r>
          </w:p>
        </w:tc>
        <w:tc>
          <w:tcPr>
            <w:tcW w:w="688" w:type="dxa"/>
            <w:vAlign w:val="center"/>
          </w:tcPr>
          <w:p w14:paraId="020110E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7DF2674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5771D8B4"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0.51***</w:t>
            </w:r>
          </w:p>
        </w:tc>
        <w:tc>
          <w:tcPr>
            <w:tcW w:w="688" w:type="dxa"/>
            <w:vAlign w:val="center"/>
          </w:tcPr>
          <w:p w14:paraId="459359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40D0900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C331CD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FE7117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0E95F18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95E8B4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B12CD9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0B669BD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A75232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AD1804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233152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0CBF98F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D5D0C9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5B9895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19D60807"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2DCEEC42" w14:textId="77777777" w:rsidTr="00460BE0">
        <w:trPr>
          <w:gridAfter w:val="1"/>
          <w:wAfter w:w="7" w:type="dxa"/>
          <w:trHeight w:val="346"/>
        </w:trPr>
        <w:tc>
          <w:tcPr>
            <w:tcW w:w="2164" w:type="dxa"/>
            <w:vAlign w:val="center"/>
            <w:hideMark/>
          </w:tcPr>
          <w:p w14:paraId="3DE56079"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Parenting stress (T3)  </w:t>
            </w:r>
          </w:p>
        </w:tc>
        <w:tc>
          <w:tcPr>
            <w:tcW w:w="688" w:type="dxa"/>
            <w:vAlign w:val="center"/>
          </w:tcPr>
          <w:p w14:paraId="23B2D3B5"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1E7080C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0.43***</w:t>
            </w:r>
          </w:p>
        </w:tc>
        <w:tc>
          <w:tcPr>
            <w:tcW w:w="690" w:type="dxa"/>
            <w:vAlign w:val="center"/>
          </w:tcPr>
          <w:p w14:paraId="5D080FD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vAlign w:val="center"/>
          </w:tcPr>
          <w:p w14:paraId="195510B0"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90" w:type="dxa"/>
            <w:vAlign w:val="center"/>
          </w:tcPr>
          <w:p w14:paraId="6F6DF86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68DF06F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F1B2EA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0D8F52F"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E43015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B97245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205A379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013337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BA9F1A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1A8B84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40B2A4D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06A50D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9ABA4F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38E46A4D"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19B1A4D2" w14:textId="77777777" w:rsidTr="00460BE0">
        <w:trPr>
          <w:gridAfter w:val="1"/>
          <w:wAfter w:w="7" w:type="dxa"/>
          <w:trHeight w:val="346"/>
        </w:trPr>
        <w:tc>
          <w:tcPr>
            <w:tcW w:w="2164" w:type="dxa"/>
            <w:vAlign w:val="center"/>
            <w:hideMark/>
          </w:tcPr>
          <w:p w14:paraId="764A631C"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Internalizing symptoms (T1)  </w:t>
            </w:r>
          </w:p>
        </w:tc>
        <w:tc>
          <w:tcPr>
            <w:tcW w:w="688" w:type="dxa"/>
            <w:vAlign w:val="center"/>
          </w:tcPr>
          <w:p w14:paraId="1EC91FC9"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0.12*</w:t>
            </w:r>
          </w:p>
        </w:tc>
        <w:tc>
          <w:tcPr>
            <w:tcW w:w="690" w:type="dxa"/>
            <w:vAlign w:val="center"/>
          </w:tcPr>
          <w:p w14:paraId="24D52A2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0.35***</w:t>
            </w:r>
          </w:p>
        </w:tc>
        <w:tc>
          <w:tcPr>
            <w:tcW w:w="690" w:type="dxa"/>
            <w:vAlign w:val="center"/>
          </w:tcPr>
          <w:p w14:paraId="20BFD71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vAlign w:val="center"/>
          </w:tcPr>
          <w:p w14:paraId="7AAC5A6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0.06</w:t>
            </w:r>
          </w:p>
        </w:tc>
        <w:tc>
          <w:tcPr>
            <w:tcW w:w="690" w:type="dxa"/>
            <w:vAlign w:val="center"/>
          </w:tcPr>
          <w:p w14:paraId="4115570B"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0.34***</w:t>
            </w:r>
          </w:p>
        </w:tc>
        <w:tc>
          <w:tcPr>
            <w:tcW w:w="690" w:type="dxa"/>
            <w:vAlign w:val="center"/>
          </w:tcPr>
          <w:p w14:paraId="6AB9263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5BFC41C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77737C4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473909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07F318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2A9AAEE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B349EA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CB622C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260E26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09DB65C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0DBAE8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6C4205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6D1A0152"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51628022" w14:textId="77777777" w:rsidTr="00460BE0">
        <w:trPr>
          <w:gridAfter w:val="1"/>
          <w:wAfter w:w="7" w:type="dxa"/>
          <w:trHeight w:val="346"/>
        </w:trPr>
        <w:tc>
          <w:tcPr>
            <w:tcW w:w="2164" w:type="dxa"/>
            <w:vAlign w:val="center"/>
            <w:hideMark/>
          </w:tcPr>
          <w:p w14:paraId="4F0CD3D8"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Income (T1) </w:t>
            </w:r>
          </w:p>
        </w:tc>
        <w:tc>
          <w:tcPr>
            <w:tcW w:w="688" w:type="dxa"/>
            <w:vAlign w:val="center"/>
          </w:tcPr>
          <w:p w14:paraId="3A27F137"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-0.22***</w:t>
            </w:r>
          </w:p>
        </w:tc>
        <w:tc>
          <w:tcPr>
            <w:tcW w:w="690" w:type="dxa"/>
            <w:vAlign w:val="center"/>
          </w:tcPr>
          <w:p w14:paraId="295DAC77"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0.15*</w:t>
            </w:r>
          </w:p>
        </w:tc>
        <w:tc>
          <w:tcPr>
            <w:tcW w:w="690" w:type="dxa"/>
            <w:vAlign w:val="center"/>
          </w:tcPr>
          <w:p w14:paraId="09AE10C6"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-0.19*</w:t>
            </w:r>
          </w:p>
        </w:tc>
        <w:tc>
          <w:tcPr>
            <w:tcW w:w="688" w:type="dxa"/>
            <w:vAlign w:val="center"/>
          </w:tcPr>
          <w:p w14:paraId="75C6309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0.10</w:t>
            </w:r>
          </w:p>
        </w:tc>
        <w:tc>
          <w:tcPr>
            <w:tcW w:w="690" w:type="dxa"/>
            <w:vAlign w:val="center"/>
          </w:tcPr>
          <w:p w14:paraId="4F43786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6A6E2BE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1F982B9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88" w:type="dxa"/>
            <w:vAlign w:val="center"/>
          </w:tcPr>
          <w:p w14:paraId="2BCE244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E53073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7247DA9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499A7D8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6CE320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F631BA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828A3F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5A2733E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CFE80A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A9A63C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4FF3A735"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5BA72AC0" w14:textId="77777777" w:rsidTr="00460BE0">
        <w:trPr>
          <w:gridAfter w:val="1"/>
          <w:wAfter w:w="7" w:type="dxa"/>
          <w:trHeight w:val="346"/>
        </w:trPr>
        <w:tc>
          <w:tcPr>
            <w:tcW w:w="2164" w:type="dxa"/>
            <w:vAlign w:val="center"/>
            <w:hideMark/>
          </w:tcPr>
          <w:p w14:paraId="4ADA7710"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Education (T1)  </w:t>
            </w:r>
          </w:p>
        </w:tc>
        <w:tc>
          <w:tcPr>
            <w:tcW w:w="688" w:type="dxa"/>
            <w:vAlign w:val="center"/>
          </w:tcPr>
          <w:p w14:paraId="3A166B1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0916453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0.10</w:t>
            </w:r>
          </w:p>
        </w:tc>
        <w:tc>
          <w:tcPr>
            <w:tcW w:w="690" w:type="dxa"/>
            <w:vAlign w:val="center"/>
          </w:tcPr>
          <w:p w14:paraId="366B1BB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88" w:type="dxa"/>
            <w:vAlign w:val="center"/>
          </w:tcPr>
          <w:p w14:paraId="4613EEB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0.22**</w:t>
            </w:r>
          </w:p>
        </w:tc>
        <w:tc>
          <w:tcPr>
            <w:tcW w:w="690" w:type="dxa"/>
            <w:vAlign w:val="center"/>
          </w:tcPr>
          <w:p w14:paraId="05B8A54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17A9C91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90" w:type="dxa"/>
            <w:vAlign w:val="center"/>
          </w:tcPr>
          <w:p w14:paraId="6793926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0.75***</w:t>
            </w:r>
          </w:p>
        </w:tc>
        <w:tc>
          <w:tcPr>
            <w:tcW w:w="688" w:type="dxa"/>
            <w:vAlign w:val="center"/>
          </w:tcPr>
          <w:p w14:paraId="2365461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7F3F198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2C23D5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0B7CD3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648303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A6F60A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DDC1EB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40924A5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73A9D8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EB95D0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183245A9"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2304BB16" w14:textId="77777777" w:rsidTr="00460BE0">
        <w:trPr>
          <w:gridAfter w:val="1"/>
          <w:wAfter w:w="7" w:type="dxa"/>
          <w:trHeight w:val="346"/>
        </w:trPr>
        <w:tc>
          <w:tcPr>
            <w:tcW w:w="2164" w:type="dxa"/>
            <w:vAlign w:val="center"/>
            <w:hideMark/>
          </w:tcPr>
          <w:p w14:paraId="371FF718"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Relationship status (T1)  </w:t>
            </w:r>
          </w:p>
        </w:tc>
        <w:tc>
          <w:tcPr>
            <w:tcW w:w="688" w:type="dxa"/>
            <w:vAlign w:val="center"/>
          </w:tcPr>
          <w:p w14:paraId="60572A69"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0.17**</w:t>
            </w:r>
          </w:p>
        </w:tc>
        <w:tc>
          <w:tcPr>
            <w:tcW w:w="690" w:type="dxa"/>
            <w:vAlign w:val="center"/>
          </w:tcPr>
          <w:p w14:paraId="0B02DE0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080D85B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vAlign w:val="center"/>
          </w:tcPr>
          <w:p w14:paraId="09D0AEE1"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-0.16*</w:t>
            </w:r>
          </w:p>
        </w:tc>
        <w:tc>
          <w:tcPr>
            <w:tcW w:w="690" w:type="dxa"/>
            <w:vAlign w:val="center"/>
          </w:tcPr>
          <w:p w14:paraId="25D1B3F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78F12C5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0.06</w:t>
            </w:r>
          </w:p>
        </w:tc>
        <w:tc>
          <w:tcPr>
            <w:tcW w:w="690" w:type="dxa"/>
            <w:vAlign w:val="center"/>
          </w:tcPr>
          <w:p w14:paraId="573E24B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-0.12</w:t>
            </w:r>
          </w:p>
        </w:tc>
        <w:tc>
          <w:tcPr>
            <w:tcW w:w="688" w:type="dxa"/>
            <w:vAlign w:val="center"/>
          </w:tcPr>
          <w:p w14:paraId="0613AC7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3BCB3FB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7F58596B"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7B6B6D6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3521610"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F253C7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28D036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66C8A1B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9F1E49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FDC5F2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143A7E1C"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242497DA" w14:textId="77777777" w:rsidTr="00460BE0">
        <w:trPr>
          <w:gridAfter w:val="1"/>
          <w:wAfter w:w="7" w:type="dxa"/>
          <w:trHeight w:val="346"/>
        </w:trPr>
        <w:tc>
          <w:tcPr>
            <w:tcW w:w="2164" w:type="dxa"/>
            <w:vAlign w:val="center"/>
            <w:hideMark/>
          </w:tcPr>
          <w:p w14:paraId="0789F657"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Maternal age at birth  </w:t>
            </w:r>
          </w:p>
        </w:tc>
        <w:tc>
          <w:tcPr>
            <w:tcW w:w="688" w:type="dxa"/>
            <w:vAlign w:val="center"/>
          </w:tcPr>
          <w:p w14:paraId="52BC15B0"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-0.12</w:t>
            </w:r>
          </w:p>
        </w:tc>
        <w:tc>
          <w:tcPr>
            <w:tcW w:w="690" w:type="dxa"/>
            <w:vAlign w:val="center"/>
          </w:tcPr>
          <w:p w14:paraId="1498CF9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4561893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88" w:type="dxa"/>
            <w:vAlign w:val="center"/>
          </w:tcPr>
          <w:p w14:paraId="49DA9C6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62AF4B4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90" w:type="dxa"/>
            <w:vAlign w:val="center"/>
          </w:tcPr>
          <w:p w14:paraId="79E7A22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-0.10</w:t>
            </w:r>
          </w:p>
        </w:tc>
        <w:tc>
          <w:tcPr>
            <w:tcW w:w="690" w:type="dxa"/>
            <w:vAlign w:val="center"/>
          </w:tcPr>
          <w:p w14:paraId="4645B22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0.37***</w:t>
            </w:r>
          </w:p>
        </w:tc>
        <w:tc>
          <w:tcPr>
            <w:tcW w:w="688" w:type="dxa"/>
            <w:vAlign w:val="center"/>
          </w:tcPr>
          <w:p w14:paraId="7AD13EB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0.36***</w:t>
            </w:r>
          </w:p>
        </w:tc>
        <w:tc>
          <w:tcPr>
            <w:tcW w:w="690" w:type="dxa"/>
            <w:vAlign w:val="center"/>
          </w:tcPr>
          <w:p w14:paraId="4860C30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-0.16*</w:t>
            </w:r>
          </w:p>
        </w:tc>
        <w:tc>
          <w:tcPr>
            <w:tcW w:w="690" w:type="dxa"/>
            <w:vAlign w:val="center"/>
          </w:tcPr>
          <w:p w14:paraId="4327ED9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88" w:type="dxa"/>
            <w:vAlign w:val="center"/>
          </w:tcPr>
          <w:p w14:paraId="6DD29D35"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3E5F4E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67F175D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541D7B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39FCC2C6"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0C8EA1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6CA3F9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37F74526"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34F29DC8" w14:textId="77777777" w:rsidTr="00460BE0">
        <w:trPr>
          <w:gridAfter w:val="1"/>
          <w:wAfter w:w="7" w:type="dxa"/>
          <w:trHeight w:val="346"/>
        </w:trPr>
        <w:tc>
          <w:tcPr>
            <w:tcW w:w="2164" w:type="dxa"/>
            <w:vAlign w:val="center"/>
            <w:hideMark/>
          </w:tcPr>
          <w:p w14:paraId="2AE23FE4"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Child age (T1)  </w:t>
            </w:r>
          </w:p>
        </w:tc>
        <w:tc>
          <w:tcPr>
            <w:tcW w:w="688" w:type="dxa"/>
            <w:vAlign w:val="center"/>
          </w:tcPr>
          <w:p w14:paraId="44B9E26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2A3025D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90" w:type="dxa"/>
            <w:vAlign w:val="center"/>
          </w:tcPr>
          <w:p w14:paraId="1428BCC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88" w:type="dxa"/>
            <w:vAlign w:val="center"/>
          </w:tcPr>
          <w:p w14:paraId="79DF6BB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0B355A7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18DCB6F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6662ED0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-0.19*</w:t>
            </w:r>
          </w:p>
        </w:tc>
        <w:tc>
          <w:tcPr>
            <w:tcW w:w="688" w:type="dxa"/>
            <w:vAlign w:val="center"/>
          </w:tcPr>
          <w:p w14:paraId="7C2B14B4"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-0.19*</w:t>
            </w:r>
          </w:p>
        </w:tc>
        <w:tc>
          <w:tcPr>
            <w:tcW w:w="690" w:type="dxa"/>
            <w:vAlign w:val="center"/>
          </w:tcPr>
          <w:p w14:paraId="1BC6395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1E91E96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88" w:type="dxa"/>
            <w:vAlign w:val="center"/>
          </w:tcPr>
          <w:p w14:paraId="5EB44D3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460227CB"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5BBD6C2A"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CEB63C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3D604919"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1E1229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4F7F06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56CDEC64"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5E5A9DAE" w14:textId="77777777" w:rsidTr="00460BE0">
        <w:trPr>
          <w:gridAfter w:val="1"/>
          <w:wAfter w:w="7" w:type="dxa"/>
          <w:trHeight w:val="346"/>
        </w:trPr>
        <w:tc>
          <w:tcPr>
            <w:tcW w:w="2164" w:type="dxa"/>
            <w:vAlign w:val="center"/>
            <w:hideMark/>
          </w:tcPr>
          <w:p w14:paraId="5A9BD93F"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Child age (T2)    </w:t>
            </w:r>
          </w:p>
        </w:tc>
        <w:tc>
          <w:tcPr>
            <w:tcW w:w="688" w:type="dxa"/>
            <w:vAlign w:val="center"/>
          </w:tcPr>
          <w:p w14:paraId="27EA2CB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5DC13DD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596F56F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88" w:type="dxa"/>
            <w:vAlign w:val="center"/>
          </w:tcPr>
          <w:p w14:paraId="1F695D50"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282D966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77EF230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90" w:type="dxa"/>
            <w:vAlign w:val="center"/>
          </w:tcPr>
          <w:p w14:paraId="2C1F1C2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88" w:type="dxa"/>
            <w:vAlign w:val="center"/>
          </w:tcPr>
          <w:p w14:paraId="4087098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-0.14</w:t>
            </w:r>
          </w:p>
        </w:tc>
        <w:tc>
          <w:tcPr>
            <w:tcW w:w="690" w:type="dxa"/>
            <w:vAlign w:val="center"/>
          </w:tcPr>
          <w:p w14:paraId="1784B3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58DA448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88" w:type="dxa"/>
            <w:vAlign w:val="center"/>
          </w:tcPr>
          <w:p w14:paraId="4883A29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0.14</w:t>
            </w:r>
          </w:p>
        </w:tc>
        <w:tc>
          <w:tcPr>
            <w:tcW w:w="690" w:type="dxa"/>
            <w:vAlign w:val="center"/>
          </w:tcPr>
          <w:p w14:paraId="7D0179D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3CACC23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4AA2A08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5BF6176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AEC2CD3"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218057C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53B4E8FA"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1243128E" w14:textId="77777777" w:rsidTr="00460BE0">
        <w:trPr>
          <w:gridAfter w:val="1"/>
          <w:wAfter w:w="7" w:type="dxa"/>
          <w:trHeight w:val="346"/>
        </w:trPr>
        <w:tc>
          <w:tcPr>
            <w:tcW w:w="2164" w:type="dxa"/>
            <w:vAlign w:val="center"/>
            <w:hideMark/>
          </w:tcPr>
          <w:p w14:paraId="555FF467"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Child age (T3)    </w:t>
            </w:r>
          </w:p>
        </w:tc>
        <w:tc>
          <w:tcPr>
            <w:tcW w:w="688" w:type="dxa"/>
            <w:vAlign w:val="center"/>
          </w:tcPr>
          <w:p w14:paraId="5D2FE53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117A3C7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196F4D65"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88" w:type="dxa"/>
            <w:vAlign w:val="center"/>
          </w:tcPr>
          <w:p w14:paraId="5DF8E83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30F08B1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17151C1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1FE483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88" w:type="dxa"/>
            <w:vAlign w:val="center"/>
          </w:tcPr>
          <w:p w14:paraId="1C88BB0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90" w:type="dxa"/>
            <w:vAlign w:val="center"/>
          </w:tcPr>
          <w:p w14:paraId="447C9E9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0.12</w:t>
            </w:r>
          </w:p>
        </w:tc>
        <w:tc>
          <w:tcPr>
            <w:tcW w:w="690" w:type="dxa"/>
            <w:vAlign w:val="center"/>
          </w:tcPr>
          <w:p w14:paraId="7BDBE70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88" w:type="dxa"/>
            <w:vAlign w:val="center"/>
          </w:tcPr>
          <w:p w14:paraId="3E3B0D4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0.20**</w:t>
            </w:r>
          </w:p>
        </w:tc>
        <w:tc>
          <w:tcPr>
            <w:tcW w:w="690" w:type="dxa"/>
            <w:vAlign w:val="center"/>
          </w:tcPr>
          <w:p w14:paraId="7A78271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0.18</w:t>
            </w:r>
          </w:p>
        </w:tc>
        <w:tc>
          <w:tcPr>
            <w:tcW w:w="690" w:type="dxa"/>
            <w:vAlign w:val="center"/>
          </w:tcPr>
          <w:p w14:paraId="6E808B3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54690874"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88" w:type="dxa"/>
            <w:vAlign w:val="center"/>
          </w:tcPr>
          <w:p w14:paraId="5C763DC1"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F2BF95E"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50A665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4B04CD41"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4F42BC8A" w14:textId="77777777" w:rsidTr="00460BE0">
        <w:trPr>
          <w:gridAfter w:val="1"/>
          <w:wAfter w:w="7" w:type="dxa"/>
          <w:trHeight w:val="346"/>
        </w:trPr>
        <w:tc>
          <w:tcPr>
            <w:tcW w:w="2164" w:type="dxa"/>
            <w:vAlign w:val="center"/>
            <w:hideMark/>
          </w:tcPr>
          <w:p w14:paraId="322B8031"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Preterm birth   </w:t>
            </w:r>
          </w:p>
        </w:tc>
        <w:tc>
          <w:tcPr>
            <w:tcW w:w="688" w:type="dxa"/>
            <w:vAlign w:val="center"/>
          </w:tcPr>
          <w:p w14:paraId="49E1B0E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724BF38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66CAF7B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88" w:type="dxa"/>
            <w:vAlign w:val="center"/>
          </w:tcPr>
          <w:p w14:paraId="138EB1D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6449C7C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7D81A6A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71E36FE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vAlign w:val="center"/>
          </w:tcPr>
          <w:p w14:paraId="3D4971F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45A7259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3859150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0.12</w:t>
            </w:r>
          </w:p>
        </w:tc>
        <w:tc>
          <w:tcPr>
            <w:tcW w:w="688" w:type="dxa"/>
            <w:vAlign w:val="center"/>
          </w:tcPr>
          <w:p w14:paraId="4C886FD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90" w:type="dxa"/>
            <w:vAlign w:val="center"/>
          </w:tcPr>
          <w:p w14:paraId="2937F4E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-0.10</w:t>
            </w:r>
          </w:p>
        </w:tc>
        <w:tc>
          <w:tcPr>
            <w:tcW w:w="690" w:type="dxa"/>
            <w:vAlign w:val="center"/>
          </w:tcPr>
          <w:p w14:paraId="62BA512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20C810D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88" w:type="dxa"/>
            <w:vAlign w:val="center"/>
          </w:tcPr>
          <w:p w14:paraId="363B19D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145B321D"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099E3052"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14B06C98"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4AEE2EC4" w14:textId="77777777" w:rsidTr="00460BE0">
        <w:trPr>
          <w:gridAfter w:val="1"/>
          <w:wAfter w:w="7" w:type="dxa"/>
          <w:trHeight w:val="346"/>
        </w:trPr>
        <w:tc>
          <w:tcPr>
            <w:tcW w:w="2164" w:type="dxa"/>
            <w:vAlign w:val="center"/>
            <w:hideMark/>
          </w:tcPr>
          <w:p w14:paraId="4E47D23F"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Delivery method  </w:t>
            </w:r>
          </w:p>
        </w:tc>
        <w:tc>
          <w:tcPr>
            <w:tcW w:w="688" w:type="dxa"/>
            <w:vAlign w:val="center"/>
          </w:tcPr>
          <w:p w14:paraId="3459AC1B"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0.27***</w:t>
            </w:r>
          </w:p>
        </w:tc>
        <w:tc>
          <w:tcPr>
            <w:tcW w:w="690" w:type="dxa"/>
            <w:vAlign w:val="center"/>
          </w:tcPr>
          <w:p w14:paraId="6F2C4CE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118EB2C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88" w:type="dxa"/>
            <w:vAlign w:val="center"/>
          </w:tcPr>
          <w:p w14:paraId="2A6E329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90" w:type="dxa"/>
            <w:vAlign w:val="center"/>
          </w:tcPr>
          <w:p w14:paraId="6096EB8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18D731E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90" w:type="dxa"/>
            <w:vAlign w:val="center"/>
          </w:tcPr>
          <w:p w14:paraId="12A22EC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0.06</w:t>
            </w:r>
          </w:p>
        </w:tc>
        <w:tc>
          <w:tcPr>
            <w:tcW w:w="688" w:type="dxa"/>
            <w:vAlign w:val="center"/>
          </w:tcPr>
          <w:p w14:paraId="72EA5E0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90" w:type="dxa"/>
            <w:vAlign w:val="center"/>
          </w:tcPr>
          <w:p w14:paraId="2426913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769E57FA"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0.21**</w:t>
            </w:r>
          </w:p>
        </w:tc>
        <w:tc>
          <w:tcPr>
            <w:tcW w:w="688" w:type="dxa"/>
            <w:vAlign w:val="center"/>
          </w:tcPr>
          <w:p w14:paraId="33A1FFF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68E581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479931A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5B1398A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vAlign w:val="center"/>
          </w:tcPr>
          <w:p w14:paraId="19D3501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5AB3BED8"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0" w:type="dxa"/>
            <w:vAlign w:val="center"/>
          </w:tcPr>
          <w:p w14:paraId="3CAD4B6C"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5F3337BD"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6570D290" w14:textId="77777777" w:rsidTr="00460BE0">
        <w:trPr>
          <w:gridAfter w:val="1"/>
          <w:wAfter w:w="7" w:type="dxa"/>
          <w:trHeight w:val="346"/>
        </w:trPr>
        <w:tc>
          <w:tcPr>
            <w:tcW w:w="2164" w:type="dxa"/>
            <w:vAlign w:val="center"/>
            <w:hideMark/>
          </w:tcPr>
          <w:p w14:paraId="2E84FEA1"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Placental removal method  </w:t>
            </w:r>
          </w:p>
        </w:tc>
        <w:tc>
          <w:tcPr>
            <w:tcW w:w="688" w:type="dxa"/>
            <w:vAlign w:val="center"/>
          </w:tcPr>
          <w:p w14:paraId="3F292FC5"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0.17**</w:t>
            </w:r>
          </w:p>
        </w:tc>
        <w:tc>
          <w:tcPr>
            <w:tcW w:w="690" w:type="dxa"/>
            <w:vAlign w:val="center"/>
          </w:tcPr>
          <w:p w14:paraId="2A1A64C5"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5198A8F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88" w:type="dxa"/>
            <w:vAlign w:val="center"/>
          </w:tcPr>
          <w:p w14:paraId="6897E06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2589B2B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-0.12</w:t>
            </w:r>
          </w:p>
        </w:tc>
        <w:tc>
          <w:tcPr>
            <w:tcW w:w="690" w:type="dxa"/>
            <w:vAlign w:val="center"/>
          </w:tcPr>
          <w:p w14:paraId="2E9A7073"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90" w:type="dxa"/>
            <w:vAlign w:val="center"/>
          </w:tcPr>
          <w:p w14:paraId="75D8AE50"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88" w:type="dxa"/>
            <w:vAlign w:val="center"/>
          </w:tcPr>
          <w:p w14:paraId="14A4184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0.06</w:t>
            </w:r>
          </w:p>
        </w:tc>
        <w:tc>
          <w:tcPr>
            <w:tcW w:w="690" w:type="dxa"/>
            <w:vAlign w:val="center"/>
          </w:tcPr>
          <w:p w14:paraId="7644B801"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vAlign w:val="center"/>
          </w:tcPr>
          <w:p w14:paraId="4553F87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0.15*</w:t>
            </w:r>
          </w:p>
        </w:tc>
        <w:tc>
          <w:tcPr>
            <w:tcW w:w="688" w:type="dxa"/>
            <w:vAlign w:val="center"/>
          </w:tcPr>
          <w:p w14:paraId="4170FCF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26A5B85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3E9CEFC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90" w:type="dxa"/>
            <w:vAlign w:val="center"/>
          </w:tcPr>
          <w:p w14:paraId="25A7F59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88" w:type="dxa"/>
            <w:vAlign w:val="center"/>
          </w:tcPr>
          <w:p w14:paraId="3785A08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0.46***</w:t>
            </w:r>
          </w:p>
        </w:tc>
        <w:tc>
          <w:tcPr>
            <w:tcW w:w="690" w:type="dxa"/>
            <w:vAlign w:val="center"/>
          </w:tcPr>
          <w:p w14:paraId="1C6D6DB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0" w:type="dxa"/>
            <w:vAlign w:val="center"/>
          </w:tcPr>
          <w:p w14:paraId="2D1697D7" w14:textId="77777777" w:rsidR="00B95206" w:rsidRPr="00910608" w:rsidRDefault="00B95206" w:rsidP="005028B1">
            <w:pPr>
              <w:spacing w:after="0" w:line="240" w:lineRule="auto"/>
              <w:jc w:val="center"/>
              <w:rPr>
                <w:rFonts w:ascii="Times New Roman" w:hAnsi="Times New Roman" w:cs="Times New Roman"/>
                <w:sz w:val="18"/>
                <w:szCs w:val="18"/>
              </w:rPr>
            </w:pPr>
          </w:p>
        </w:tc>
        <w:tc>
          <w:tcPr>
            <w:tcW w:w="695" w:type="dxa"/>
            <w:vAlign w:val="center"/>
          </w:tcPr>
          <w:p w14:paraId="56CBD9D6"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42A2188D" w14:textId="77777777" w:rsidTr="00460BE0">
        <w:trPr>
          <w:gridAfter w:val="1"/>
          <w:wAfter w:w="7" w:type="dxa"/>
          <w:trHeight w:val="346"/>
        </w:trPr>
        <w:tc>
          <w:tcPr>
            <w:tcW w:w="2164" w:type="dxa"/>
            <w:vAlign w:val="center"/>
            <w:hideMark/>
          </w:tcPr>
          <w:p w14:paraId="344AC6C3"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5 min Apgar score at birth  </w:t>
            </w:r>
          </w:p>
        </w:tc>
        <w:tc>
          <w:tcPr>
            <w:tcW w:w="688" w:type="dxa"/>
            <w:vAlign w:val="center"/>
          </w:tcPr>
          <w:p w14:paraId="33B8089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-0.19*</w:t>
            </w:r>
          </w:p>
        </w:tc>
        <w:tc>
          <w:tcPr>
            <w:tcW w:w="690" w:type="dxa"/>
            <w:vAlign w:val="center"/>
          </w:tcPr>
          <w:p w14:paraId="362F972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5AC763E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88" w:type="dxa"/>
            <w:vAlign w:val="center"/>
          </w:tcPr>
          <w:p w14:paraId="2E50647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5D2C0BD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7DD012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3256099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0.20**</w:t>
            </w:r>
          </w:p>
        </w:tc>
        <w:tc>
          <w:tcPr>
            <w:tcW w:w="688" w:type="dxa"/>
            <w:vAlign w:val="center"/>
          </w:tcPr>
          <w:p w14:paraId="29BB879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0.10</w:t>
            </w:r>
          </w:p>
        </w:tc>
        <w:tc>
          <w:tcPr>
            <w:tcW w:w="690" w:type="dxa"/>
            <w:vAlign w:val="center"/>
          </w:tcPr>
          <w:p w14:paraId="1A4E084C"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-0.14*</w:t>
            </w:r>
          </w:p>
        </w:tc>
        <w:tc>
          <w:tcPr>
            <w:tcW w:w="690" w:type="dxa"/>
            <w:vAlign w:val="center"/>
          </w:tcPr>
          <w:p w14:paraId="3EA10DE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88" w:type="dxa"/>
            <w:vAlign w:val="center"/>
          </w:tcPr>
          <w:p w14:paraId="439FE70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686FF97F"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90" w:type="dxa"/>
            <w:vAlign w:val="center"/>
          </w:tcPr>
          <w:p w14:paraId="2AC36F2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90" w:type="dxa"/>
            <w:vAlign w:val="center"/>
          </w:tcPr>
          <w:p w14:paraId="268CFCB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88" w:type="dxa"/>
            <w:vAlign w:val="center"/>
          </w:tcPr>
          <w:p w14:paraId="09C803DA"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-0.21***</w:t>
            </w:r>
          </w:p>
        </w:tc>
        <w:tc>
          <w:tcPr>
            <w:tcW w:w="690" w:type="dxa"/>
            <w:vAlign w:val="center"/>
          </w:tcPr>
          <w:p w14:paraId="59486FF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vAlign w:val="center"/>
          </w:tcPr>
          <w:p w14:paraId="4AFCA2F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c>
          <w:tcPr>
            <w:tcW w:w="695" w:type="dxa"/>
            <w:vAlign w:val="center"/>
          </w:tcPr>
          <w:p w14:paraId="59057D3B" w14:textId="77777777" w:rsidR="00B95206" w:rsidRPr="00910608" w:rsidRDefault="00B95206" w:rsidP="005028B1">
            <w:pPr>
              <w:spacing w:after="0" w:line="240" w:lineRule="auto"/>
              <w:jc w:val="center"/>
              <w:rPr>
                <w:rFonts w:ascii="Times New Roman" w:hAnsi="Times New Roman" w:cs="Times New Roman"/>
                <w:sz w:val="18"/>
                <w:szCs w:val="18"/>
              </w:rPr>
            </w:pPr>
          </w:p>
        </w:tc>
      </w:tr>
      <w:tr w:rsidR="00460BE0" w:rsidRPr="00910608" w14:paraId="7C936DD3" w14:textId="77777777" w:rsidTr="00460BE0">
        <w:trPr>
          <w:gridAfter w:val="1"/>
          <w:wAfter w:w="7" w:type="dxa"/>
          <w:trHeight w:val="346"/>
        </w:trPr>
        <w:tc>
          <w:tcPr>
            <w:tcW w:w="2164" w:type="dxa"/>
            <w:vAlign w:val="center"/>
            <w:hideMark/>
          </w:tcPr>
          <w:p w14:paraId="5F94A413"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Blood loss at birth  </w:t>
            </w:r>
          </w:p>
        </w:tc>
        <w:tc>
          <w:tcPr>
            <w:tcW w:w="688" w:type="dxa"/>
            <w:vAlign w:val="center"/>
          </w:tcPr>
          <w:p w14:paraId="64675859"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90" w:type="dxa"/>
            <w:vAlign w:val="center"/>
          </w:tcPr>
          <w:p w14:paraId="6BB53A4D"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-0.19*</w:t>
            </w:r>
          </w:p>
        </w:tc>
        <w:tc>
          <w:tcPr>
            <w:tcW w:w="690" w:type="dxa"/>
            <w:vAlign w:val="center"/>
          </w:tcPr>
          <w:p w14:paraId="228A925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88" w:type="dxa"/>
            <w:vAlign w:val="center"/>
          </w:tcPr>
          <w:p w14:paraId="391DACF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0.09</w:t>
            </w:r>
          </w:p>
        </w:tc>
        <w:tc>
          <w:tcPr>
            <w:tcW w:w="690" w:type="dxa"/>
            <w:vAlign w:val="center"/>
          </w:tcPr>
          <w:p w14:paraId="42813587"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-0.22**</w:t>
            </w:r>
          </w:p>
        </w:tc>
        <w:tc>
          <w:tcPr>
            <w:tcW w:w="690" w:type="dxa"/>
            <w:vAlign w:val="center"/>
          </w:tcPr>
          <w:p w14:paraId="71EF65E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90" w:type="dxa"/>
            <w:vAlign w:val="center"/>
          </w:tcPr>
          <w:p w14:paraId="0825B51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0.03</w:t>
            </w:r>
          </w:p>
        </w:tc>
        <w:tc>
          <w:tcPr>
            <w:tcW w:w="688" w:type="dxa"/>
            <w:vAlign w:val="center"/>
          </w:tcPr>
          <w:p w14:paraId="29A159E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0.13</w:t>
            </w:r>
          </w:p>
        </w:tc>
        <w:tc>
          <w:tcPr>
            <w:tcW w:w="690" w:type="dxa"/>
            <w:vAlign w:val="center"/>
          </w:tcPr>
          <w:p w14:paraId="2E038468"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-0.04</w:t>
            </w:r>
          </w:p>
        </w:tc>
        <w:tc>
          <w:tcPr>
            <w:tcW w:w="690" w:type="dxa"/>
            <w:vAlign w:val="center"/>
          </w:tcPr>
          <w:p w14:paraId="57FB632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-0.15</w:t>
            </w:r>
          </w:p>
        </w:tc>
        <w:tc>
          <w:tcPr>
            <w:tcW w:w="688" w:type="dxa"/>
            <w:vAlign w:val="center"/>
          </w:tcPr>
          <w:p w14:paraId="62185D35"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0.11</w:t>
            </w:r>
          </w:p>
        </w:tc>
        <w:tc>
          <w:tcPr>
            <w:tcW w:w="690" w:type="dxa"/>
            <w:vAlign w:val="center"/>
          </w:tcPr>
          <w:p w14:paraId="5BBCAC5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vAlign w:val="center"/>
          </w:tcPr>
          <w:p w14:paraId="702D847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vAlign w:val="center"/>
          </w:tcPr>
          <w:p w14:paraId="1D40904B"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-0.14</w:t>
            </w:r>
          </w:p>
        </w:tc>
        <w:tc>
          <w:tcPr>
            <w:tcW w:w="688" w:type="dxa"/>
            <w:vAlign w:val="center"/>
          </w:tcPr>
          <w:p w14:paraId="50EC61D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N/A</w:t>
            </w:r>
          </w:p>
        </w:tc>
        <w:tc>
          <w:tcPr>
            <w:tcW w:w="690" w:type="dxa"/>
            <w:vAlign w:val="center"/>
          </w:tcPr>
          <w:p w14:paraId="177251B8"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0.21**</w:t>
            </w:r>
          </w:p>
        </w:tc>
        <w:tc>
          <w:tcPr>
            <w:tcW w:w="690" w:type="dxa"/>
            <w:vAlign w:val="center"/>
          </w:tcPr>
          <w:p w14:paraId="17B5C6CE"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-0.15</w:t>
            </w:r>
          </w:p>
        </w:tc>
        <w:tc>
          <w:tcPr>
            <w:tcW w:w="695" w:type="dxa"/>
            <w:vAlign w:val="center"/>
          </w:tcPr>
          <w:p w14:paraId="339880D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1.00</w:t>
            </w:r>
          </w:p>
        </w:tc>
      </w:tr>
      <w:tr w:rsidR="00460BE0" w:rsidRPr="00910608" w14:paraId="23C884C7" w14:textId="77777777" w:rsidTr="00460BE0">
        <w:trPr>
          <w:gridAfter w:val="1"/>
          <w:wAfter w:w="7" w:type="dxa"/>
          <w:trHeight w:val="346"/>
        </w:trPr>
        <w:tc>
          <w:tcPr>
            <w:tcW w:w="2164" w:type="dxa"/>
            <w:tcBorders>
              <w:bottom w:val="single" w:sz="4" w:space="0" w:color="auto"/>
            </w:tcBorders>
            <w:vAlign w:val="center"/>
            <w:hideMark/>
          </w:tcPr>
          <w:p w14:paraId="3EE940EC" w14:textId="77777777" w:rsidR="00B95206" w:rsidRPr="00910608" w:rsidRDefault="00B95206" w:rsidP="005028B1">
            <w:pPr>
              <w:pStyle w:val="ListParagraph"/>
              <w:numPr>
                <w:ilvl w:val="0"/>
                <w:numId w:val="1"/>
              </w:numPr>
              <w:spacing w:after="0" w:line="240" w:lineRule="auto"/>
              <w:ind w:left="450"/>
              <w:rPr>
                <w:rFonts w:ascii="Times New Roman" w:hAnsi="Times New Roman" w:cs="Times New Roman"/>
                <w:sz w:val="18"/>
                <w:szCs w:val="18"/>
              </w:rPr>
            </w:pPr>
            <w:r w:rsidRPr="00910608">
              <w:rPr>
                <w:rFonts w:ascii="Times New Roman" w:hAnsi="Times New Roman" w:cs="Times New Roman"/>
                <w:sz w:val="18"/>
                <w:szCs w:val="18"/>
              </w:rPr>
              <w:t>Clinician-reported adverse childbirth events </w:t>
            </w:r>
          </w:p>
        </w:tc>
        <w:tc>
          <w:tcPr>
            <w:tcW w:w="688" w:type="dxa"/>
            <w:tcBorders>
              <w:bottom w:val="single" w:sz="4" w:space="0" w:color="auto"/>
            </w:tcBorders>
            <w:vAlign w:val="center"/>
          </w:tcPr>
          <w:p w14:paraId="156C6E96"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0.30***</w:t>
            </w:r>
          </w:p>
        </w:tc>
        <w:tc>
          <w:tcPr>
            <w:tcW w:w="690" w:type="dxa"/>
            <w:tcBorders>
              <w:bottom w:val="single" w:sz="4" w:space="0" w:color="auto"/>
            </w:tcBorders>
            <w:vAlign w:val="center"/>
          </w:tcPr>
          <w:p w14:paraId="7BDB2397"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0.02</w:t>
            </w:r>
          </w:p>
        </w:tc>
        <w:tc>
          <w:tcPr>
            <w:tcW w:w="690" w:type="dxa"/>
            <w:tcBorders>
              <w:bottom w:val="single" w:sz="4" w:space="0" w:color="auto"/>
            </w:tcBorders>
            <w:vAlign w:val="center"/>
          </w:tcPr>
          <w:p w14:paraId="20F1536A"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88" w:type="dxa"/>
            <w:tcBorders>
              <w:bottom w:val="single" w:sz="4" w:space="0" w:color="auto"/>
            </w:tcBorders>
            <w:vAlign w:val="center"/>
          </w:tcPr>
          <w:p w14:paraId="6519D13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tcBorders>
              <w:bottom w:val="single" w:sz="4" w:space="0" w:color="auto"/>
            </w:tcBorders>
            <w:vAlign w:val="center"/>
          </w:tcPr>
          <w:p w14:paraId="2A7BFE4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tcBorders>
              <w:bottom w:val="single" w:sz="4" w:space="0" w:color="auto"/>
            </w:tcBorders>
            <w:vAlign w:val="center"/>
          </w:tcPr>
          <w:p w14:paraId="71D7A93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0.00</w:t>
            </w:r>
          </w:p>
        </w:tc>
        <w:tc>
          <w:tcPr>
            <w:tcW w:w="690" w:type="dxa"/>
            <w:tcBorders>
              <w:bottom w:val="single" w:sz="4" w:space="0" w:color="auto"/>
            </w:tcBorders>
            <w:vAlign w:val="center"/>
          </w:tcPr>
          <w:p w14:paraId="7983634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0.01</w:t>
            </w:r>
          </w:p>
        </w:tc>
        <w:tc>
          <w:tcPr>
            <w:tcW w:w="688" w:type="dxa"/>
            <w:tcBorders>
              <w:bottom w:val="single" w:sz="4" w:space="0" w:color="auto"/>
            </w:tcBorders>
            <w:vAlign w:val="center"/>
          </w:tcPr>
          <w:p w14:paraId="40842236"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tcBorders>
              <w:bottom w:val="single" w:sz="4" w:space="0" w:color="auto"/>
            </w:tcBorders>
            <w:vAlign w:val="center"/>
          </w:tcPr>
          <w:p w14:paraId="28214ADC"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0.08</w:t>
            </w:r>
          </w:p>
        </w:tc>
        <w:tc>
          <w:tcPr>
            <w:tcW w:w="690" w:type="dxa"/>
            <w:tcBorders>
              <w:bottom w:val="single" w:sz="4" w:space="0" w:color="auto"/>
            </w:tcBorders>
            <w:vAlign w:val="center"/>
          </w:tcPr>
          <w:p w14:paraId="20419A36"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0.14*</w:t>
            </w:r>
          </w:p>
        </w:tc>
        <w:tc>
          <w:tcPr>
            <w:tcW w:w="688" w:type="dxa"/>
            <w:tcBorders>
              <w:bottom w:val="single" w:sz="4" w:space="0" w:color="auto"/>
            </w:tcBorders>
            <w:vAlign w:val="center"/>
          </w:tcPr>
          <w:p w14:paraId="0FC5DD9D"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0.05</w:t>
            </w:r>
          </w:p>
        </w:tc>
        <w:tc>
          <w:tcPr>
            <w:tcW w:w="690" w:type="dxa"/>
            <w:tcBorders>
              <w:bottom w:val="single" w:sz="4" w:space="0" w:color="auto"/>
            </w:tcBorders>
            <w:vAlign w:val="center"/>
          </w:tcPr>
          <w:p w14:paraId="34D39B4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0.07</w:t>
            </w:r>
          </w:p>
        </w:tc>
        <w:tc>
          <w:tcPr>
            <w:tcW w:w="690" w:type="dxa"/>
            <w:tcBorders>
              <w:bottom w:val="single" w:sz="4" w:space="0" w:color="auto"/>
            </w:tcBorders>
            <w:vAlign w:val="center"/>
          </w:tcPr>
          <w:p w14:paraId="34F84144"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0.06</w:t>
            </w:r>
          </w:p>
        </w:tc>
        <w:tc>
          <w:tcPr>
            <w:tcW w:w="690" w:type="dxa"/>
            <w:tcBorders>
              <w:bottom w:val="single" w:sz="4" w:space="0" w:color="auto"/>
            </w:tcBorders>
            <w:vAlign w:val="center"/>
          </w:tcPr>
          <w:p w14:paraId="32ECA512" w14:textId="77777777" w:rsidR="00B95206" w:rsidRPr="00910608" w:rsidRDefault="00B95206" w:rsidP="005028B1">
            <w:pPr>
              <w:spacing w:after="0" w:line="240" w:lineRule="auto"/>
              <w:jc w:val="center"/>
              <w:rPr>
                <w:rFonts w:ascii="Times New Roman" w:hAnsi="Times New Roman" w:cs="Times New Roman"/>
                <w:sz w:val="18"/>
                <w:szCs w:val="18"/>
              </w:rPr>
            </w:pPr>
            <w:r w:rsidRPr="00910608">
              <w:rPr>
                <w:rFonts w:ascii="Times New Roman" w:hAnsi="Times New Roman" w:cs="Times New Roman"/>
                <w:color w:val="000000"/>
                <w:sz w:val="18"/>
                <w:szCs w:val="18"/>
              </w:rPr>
              <w:t>0.22</w:t>
            </w:r>
          </w:p>
        </w:tc>
        <w:tc>
          <w:tcPr>
            <w:tcW w:w="688" w:type="dxa"/>
            <w:tcBorders>
              <w:bottom w:val="single" w:sz="4" w:space="0" w:color="auto"/>
            </w:tcBorders>
            <w:vAlign w:val="center"/>
          </w:tcPr>
          <w:p w14:paraId="3B85757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0.74***</w:t>
            </w:r>
          </w:p>
        </w:tc>
        <w:tc>
          <w:tcPr>
            <w:tcW w:w="690" w:type="dxa"/>
            <w:tcBorders>
              <w:bottom w:val="single" w:sz="4" w:space="0" w:color="auto"/>
            </w:tcBorders>
            <w:vAlign w:val="center"/>
          </w:tcPr>
          <w:p w14:paraId="09F7119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0.72***</w:t>
            </w:r>
          </w:p>
        </w:tc>
        <w:tc>
          <w:tcPr>
            <w:tcW w:w="690" w:type="dxa"/>
            <w:tcBorders>
              <w:bottom w:val="single" w:sz="4" w:space="0" w:color="auto"/>
            </w:tcBorders>
            <w:vAlign w:val="center"/>
          </w:tcPr>
          <w:p w14:paraId="666BC29F"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-0.40***</w:t>
            </w:r>
          </w:p>
        </w:tc>
        <w:tc>
          <w:tcPr>
            <w:tcW w:w="695" w:type="dxa"/>
            <w:tcBorders>
              <w:bottom w:val="single" w:sz="4" w:space="0" w:color="auto"/>
            </w:tcBorders>
            <w:vAlign w:val="center"/>
          </w:tcPr>
          <w:p w14:paraId="4F164100" w14:textId="77777777" w:rsidR="00B95206" w:rsidRPr="00910608" w:rsidRDefault="00B95206" w:rsidP="005028B1">
            <w:pPr>
              <w:spacing w:after="0" w:line="240" w:lineRule="auto"/>
              <w:jc w:val="center"/>
              <w:rPr>
                <w:rFonts w:ascii="Times New Roman" w:hAnsi="Times New Roman" w:cs="Times New Roman"/>
                <w:b/>
                <w:bCs/>
                <w:sz w:val="18"/>
                <w:szCs w:val="18"/>
              </w:rPr>
            </w:pPr>
            <w:r w:rsidRPr="00910608">
              <w:rPr>
                <w:rFonts w:ascii="Times New Roman" w:hAnsi="Times New Roman" w:cs="Times New Roman"/>
                <w:b/>
                <w:bCs/>
                <w:color w:val="000000"/>
                <w:sz w:val="18"/>
                <w:szCs w:val="18"/>
              </w:rPr>
              <w:t>0.58***</w:t>
            </w:r>
          </w:p>
        </w:tc>
      </w:tr>
      <w:tr w:rsidR="00B95206" w:rsidRPr="00910608" w14:paraId="6A888658" w14:textId="77777777" w:rsidTr="00460BE0">
        <w:trPr>
          <w:trHeight w:val="346"/>
        </w:trPr>
        <w:tc>
          <w:tcPr>
            <w:tcW w:w="14586" w:type="dxa"/>
            <w:gridSpan w:val="20"/>
            <w:tcBorders>
              <w:top w:val="single" w:sz="4" w:space="0" w:color="auto"/>
            </w:tcBorders>
            <w:vAlign w:val="center"/>
            <w:hideMark/>
          </w:tcPr>
          <w:p w14:paraId="5E9A8FB9" w14:textId="77777777" w:rsidR="00B95206" w:rsidRPr="00910608" w:rsidRDefault="00B95206" w:rsidP="005028B1">
            <w:pPr>
              <w:spacing w:after="0" w:line="240" w:lineRule="auto"/>
              <w:rPr>
                <w:rFonts w:ascii="Times New Roman" w:hAnsi="Times New Roman" w:cs="Times New Roman"/>
                <w:sz w:val="18"/>
                <w:szCs w:val="18"/>
              </w:rPr>
            </w:pPr>
            <w:r w:rsidRPr="00910608">
              <w:rPr>
                <w:rFonts w:ascii="Times New Roman" w:eastAsia="Times New Roman" w:hAnsi="Times New Roman" w:cs="Times New Roman"/>
                <w:b/>
                <w:bCs/>
                <w:i/>
                <w:iCs/>
                <w:color w:val="000000"/>
                <w:sz w:val="20"/>
                <w:szCs w:val="20"/>
              </w:rPr>
              <w:t>Note.</w:t>
            </w:r>
            <w:r w:rsidRPr="00910608">
              <w:rPr>
                <w:rFonts w:ascii="Times New Roman" w:eastAsia="Times New Roman" w:hAnsi="Times New Roman" w:cs="Times New Roman"/>
                <w:i/>
                <w:iCs/>
                <w:color w:val="000000"/>
                <w:sz w:val="20"/>
                <w:szCs w:val="20"/>
              </w:rPr>
              <w:t xml:space="preserve"> </w:t>
            </w:r>
            <w:r w:rsidRPr="00910608">
              <w:rPr>
                <w:rFonts w:ascii="Times New Roman" w:eastAsia="Times New Roman" w:hAnsi="Times New Roman" w:cs="Times New Roman"/>
                <w:color w:val="000000"/>
                <w:sz w:val="20"/>
                <w:szCs w:val="20"/>
              </w:rPr>
              <w:t xml:space="preserve">* indicates </w:t>
            </w:r>
            <w:r w:rsidRPr="00910608">
              <w:rPr>
                <w:rFonts w:ascii="Times New Roman" w:eastAsia="Times New Roman" w:hAnsi="Times New Roman" w:cs="Times New Roman"/>
                <w:i/>
                <w:iCs/>
                <w:color w:val="000000"/>
                <w:sz w:val="20"/>
                <w:szCs w:val="20"/>
              </w:rPr>
              <w:t>p</w:t>
            </w:r>
            <w:r w:rsidRPr="00910608">
              <w:rPr>
                <w:rFonts w:ascii="Times New Roman" w:eastAsia="Times New Roman" w:hAnsi="Times New Roman" w:cs="Times New Roman"/>
                <w:color w:val="000000"/>
                <w:sz w:val="20"/>
                <w:szCs w:val="20"/>
              </w:rPr>
              <w:t xml:space="preserve"> &lt; .05, ** indicates </w:t>
            </w:r>
            <w:r w:rsidRPr="00910608">
              <w:rPr>
                <w:rFonts w:ascii="Times New Roman" w:eastAsia="Times New Roman" w:hAnsi="Times New Roman" w:cs="Times New Roman"/>
                <w:i/>
                <w:iCs/>
                <w:color w:val="000000"/>
                <w:sz w:val="20"/>
                <w:szCs w:val="20"/>
              </w:rPr>
              <w:t>p</w:t>
            </w:r>
            <w:r w:rsidRPr="00910608">
              <w:rPr>
                <w:rFonts w:ascii="Times New Roman" w:eastAsia="Times New Roman" w:hAnsi="Times New Roman" w:cs="Times New Roman"/>
                <w:color w:val="000000"/>
                <w:sz w:val="20"/>
                <w:szCs w:val="20"/>
              </w:rPr>
              <w:t xml:space="preserve"> &lt; .01, *** indicates</w:t>
            </w:r>
            <w:r w:rsidRPr="00910608">
              <w:rPr>
                <w:rFonts w:ascii="Times New Roman" w:eastAsia="Times New Roman" w:hAnsi="Times New Roman" w:cs="Times New Roman"/>
                <w:i/>
                <w:iCs/>
                <w:color w:val="000000"/>
                <w:sz w:val="20"/>
                <w:szCs w:val="20"/>
              </w:rPr>
              <w:t xml:space="preserve"> p</w:t>
            </w:r>
            <w:r w:rsidRPr="00910608">
              <w:rPr>
                <w:rFonts w:ascii="Times New Roman" w:eastAsia="Times New Roman" w:hAnsi="Times New Roman" w:cs="Times New Roman"/>
                <w:color w:val="000000"/>
                <w:sz w:val="20"/>
                <w:szCs w:val="20"/>
              </w:rPr>
              <w:t xml:space="preserve"> &lt; .001. T1 = 12 weeks postpartum, T2 = 12 months postpartum, and T3 = 24 months postpartum. Mother infant bonding was assessed via the general impairment subscale of the Postpartum Bonding Questionnaire (PBQ), and parenting stress was measured via the Parenting Stress Index, fourth edition, short form (PSI-4-SF). Birth trauma was assessed via questionnaire created by the study’s authors. Baseline internalizing symptoms were assessed via a composite score of the Edinburgh Postnatal Depression Scale (EPDS) and Generalized Anxiety Disorder 7 (GAD-7). Mother-infant interactions and positive parenting were assessed via observational </w:t>
            </w:r>
            <w:r w:rsidRPr="00910608">
              <w:rPr>
                <w:rFonts w:ascii="Times New Roman" w:eastAsia="Times New Roman" w:hAnsi="Times New Roman" w:cs="Times New Roman"/>
                <w:color w:val="000000"/>
                <w:sz w:val="20"/>
                <w:szCs w:val="20"/>
              </w:rPr>
              <w:lastRenderedPageBreak/>
              <w:t>reports. Relationship status (1 = married/partnered, 0 = single/divorced/separated/widowed) and race (1 = Black, 0 = White) were dummy coded. </w:t>
            </w:r>
            <w:r w:rsidRPr="00910608">
              <w:rPr>
                <w:rFonts w:ascii="Times New Roman" w:eastAsia="Times New Roman" w:hAnsi="Times New Roman" w:cs="Times New Roman"/>
                <w:color w:val="000000" w:themeColor="text1"/>
                <w:sz w:val="20"/>
                <w:szCs w:val="20"/>
              </w:rPr>
              <w:t>The cumulative score of clinician-reported adverse childbirth events was derived based on the number of objective traumatic birth events recorded in the medical chart (i.e., caesarean-section, preterm-birth, significant blood loss, manual placental removal method, and an Apgar score of less than 8).</w:t>
            </w:r>
          </w:p>
        </w:tc>
      </w:tr>
    </w:tbl>
    <w:p w14:paraId="5670A7DB" w14:textId="3CF040ED" w:rsidR="005A600F" w:rsidRDefault="005A600F" w:rsidP="00051C7B">
      <w:pPr>
        <w:spacing w:after="0" w:line="480" w:lineRule="auto"/>
        <w:rPr>
          <w:rFonts w:ascii="Times New Roman" w:hAnsi="Times New Roman" w:cs="Times New Roman"/>
          <w:sz w:val="20"/>
          <w:szCs w:val="20"/>
        </w:rPr>
      </w:pPr>
    </w:p>
    <w:p w14:paraId="4F9597B8" w14:textId="77777777" w:rsidR="00CA33E9" w:rsidRDefault="00CA33E9" w:rsidP="00CA33E9">
      <w:pPr>
        <w:spacing w:after="0" w:line="480" w:lineRule="auto"/>
        <w:jc w:val="center"/>
        <w:rPr>
          <w:rFonts w:ascii="Times New Roman" w:hAnsi="Times New Roman" w:cs="Times New Roman"/>
          <w:b/>
          <w:bCs/>
          <w:sz w:val="20"/>
          <w:szCs w:val="20"/>
        </w:rPr>
        <w:sectPr w:rsidR="00CA33E9" w:rsidSect="00BE4E97">
          <w:pgSz w:w="15840" w:h="12240" w:orient="landscape" w:code="1"/>
          <w:pgMar w:top="1440" w:right="1440" w:bottom="1440" w:left="1440" w:header="720" w:footer="720" w:gutter="0"/>
          <w:cols w:space="720"/>
          <w:docGrid w:linePitch="360"/>
        </w:sectPr>
      </w:pPr>
    </w:p>
    <w:p w14:paraId="27497853" w14:textId="0AC3D545" w:rsidR="00B95206" w:rsidRPr="00CA33E9" w:rsidRDefault="00B95206" w:rsidP="00CA33E9">
      <w:pPr>
        <w:spacing w:after="0" w:line="480" w:lineRule="auto"/>
        <w:jc w:val="center"/>
        <w:rPr>
          <w:rFonts w:ascii="Times New Roman" w:hAnsi="Times New Roman" w:cs="Times New Roman"/>
          <w:b/>
          <w:bCs/>
          <w:sz w:val="20"/>
          <w:szCs w:val="20"/>
        </w:rPr>
      </w:pPr>
      <w:r w:rsidRPr="00CA33E9">
        <w:rPr>
          <w:rFonts w:ascii="Times New Roman" w:hAnsi="Times New Roman" w:cs="Times New Roman"/>
          <w:b/>
          <w:bCs/>
          <w:sz w:val="20"/>
          <w:szCs w:val="20"/>
        </w:rPr>
        <w:lastRenderedPageBreak/>
        <w:t>References</w:t>
      </w:r>
    </w:p>
    <w:p w14:paraId="1D7474F4" w14:textId="6DC06508"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Barroso, N. E., Hungerford, G. M., Garcia, D., Graziano, P. A., &amp; Bagner, D. M. (2016). Psychometric properties of the Parenting Stress Index-Short Form (PSI-SF) in a high-risk sample of mothers and their infants. </w:t>
      </w:r>
      <w:r w:rsidRPr="00CA33E9">
        <w:rPr>
          <w:rFonts w:ascii="Times New Roman" w:hAnsi="Times New Roman" w:cs="Times New Roman"/>
          <w:i/>
          <w:iCs/>
          <w:sz w:val="20"/>
        </w:rPr>
        <w:t>Psychological Assessment</w:t>
      </w:r>
      <w:r w:rsidRPr="00CA33E9">
        <w:rPr>
          <w:rFonts w:ascii="Times New Roman" w:hAnsi="Times New Roman" w:cs="Times New Roman"/>
          <w:sz w:val="20"/>
        </w:rPr>
        <w:t xml:space="preserve">, </w:t>
      </w:r>
      <w:r w:rsidRPr="00CA33E9">
        <w:rPr>
          <w:rFonts w:ascii="Times New Roman" w:hAnsi="Times New Roman" w:cs="Times New Roman"/>
          <w:i/>
          <w:iCs/>
          <w:sz w:val="20"/>
        </w:rPr>
        <w:t>28</w:t>
      </w:r>
      <w:r w:rsidRPr="00CA33E9">
        <w:rPr>
          <w:rFonts w:ascii="Times New Roman" w:hAnsi="Times New Roman" w:cs="Times New Roman"/>
          <w:sz w:val="20"/>
        </w:rPr>
        <w:t>(10), 1331–1335. https://doi.org/10.1037/pas0000257</w:t>
      </w:r>
    </w:p>
    <w:p w14:paraId="17B76353"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Brockington, I. F., Fraser, C., &amp; Wilson, D. (2006). The Postpartum Bonding Questionnaire: A validation. </w:t>
      </w:r>
      <w:r w:rsidRPr="00CA33E9">
        <w:rPr>
          <w:rFonts w:ascii="Times New Roman" w:hAnsi="Times New Roman" w:cs="Times New Roman"/>
          <w:i/>
          <w:iCs/>
          <w:sz w:val="20"/>
        </w:rPr>
        <w:t>Archives of Women’s Mental Health</w:t>
      </w:r>
      <w:r w:rsidRPr="00CA33E9">
        <w:rPr>
          <w:rFonts w:ascii="Times New Roman" w:hAnsi="Times New Roman" w:cs="Times New Roman"/>
          <w:sz w:val="20"/>
        </w:rPr>
        <w:t xml:space="preserve">, </w:t>
      </w:r>
      <w:r w:rsidRPr="00CA33E9">
        <w:rPr>
          <w:rFonts w:ascii="Times New Roman" w:hAnsi="Times New Roman" w:cs="Times New Roman"/>
          <w:i/>
          <w:iCs/>
          <w:sz w:val="20"/>
        </w:rPr>
        <w:t>9</w:t>
      </w:r>
      <w:r w:rsidRPr="00CA33E9">
        <w:rPr>
          <w:rFonts w:ascii="Times New Roman" w:hAnsi="Times New Roman" w:cs="Times New Roman"/>
          <w:sz w:val="20"/>
        </w:rPr>
        <w:t>(5), 233–242. https://doi.org/10.1007/s00737-006-0132-1</w:t>
      </w:r>
    </w:p>
    <w:p w14:paraId="716A20D8"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Cox, J. (2017). Use and misuse of the Edinburgh Postnatal Depression Scale (EPDS): A ten point ‘survival analysis.’ </w:t>
      </w:r>
      <w:r w:rsidRPr="00CA33E9">
        <w:rPr>
          <w:rFonts w:ascii="Times New Roman" w:hAnsi="Times New Roman" w:cs="Times New Roman"/>
          <w:i/>
          <w:iCs/>
          <w:sz w:val="20"/>
        </w:rPr>
        <w:t>Archives of Women’s Mental Health</w:t>
      </w:r>
      <w:r w:rsidRPr="00CA33E9">
        <w:rPr>
          <w:rFonts w:ascii="Times New Roman" w:hAnsi="Times New Roman" w:cs="Times New Roman"/>
          <w:sz w:val="20"/>
        </w:rPr>
        <w:t xml:space="preserve">, </w:t>
      </w:r>
      <w:r w:rsidRPr="00CA33E9">
        <w:rPr>
          <w:rFonts w:ascii="Times New Roman" w:hAnsi="Times New Roman" w:cs="Times New Roman"/>
          <w:i/>
          <w:iCs/>
          <w:sz w:val="20"/>
        </w:rPr>
        <w:t>20</w:t>
      </w:r>
      <w:r w:rsidRPr="00CA33E9">
        <w:rPr>
          <w:rFonts w:ascii="Times New Roman" w:hAnsi="Times New Roman" w:cs="Times New Roman"/>
          <w:sz w:val="20"/>
        </w:rPr>
        <w:t>, 789–790.</w:t>
      </w:r>
    </w:p>
    <w:p w14:paraId="0F7AF96E"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Cox, J. L., Holden, J. M., &amp; Sagovsky, R. (1987). Detection of postnatal depression: Development of the 10-item Edinburgh Postnatal Depression Scale. </w:t>
      </w:r>
      <w:r w:rsidRPr="00CA33E9">
        <w:rPr>
          <w:rFonts w:ascii="Times New Roman" w:hAnsi="Times New Roman" w:cs="Times New Roman"/>
          <w:i/>
          <w:iCs/>
          <w:sz w:val="20"/>
        </w:rPr>
        <w:t>The British Journal of Psychiatry</w:t>
      </w:r>
      <w:r w:rsidRPr="00CA33E9">
        <w:rPr>
          <w:rFonts w:ascii="Times New Roman" w:hAnsi="Times New Roman" w:cs="Times New Roman"/>
          <w:sz w:val="20"/>
        </w:rPr>
        <w:t xml:space="preserve">, </w:t>
      </w:r>
      <w:r w:rsidRPr="00CA33E9">
        <w:rPr>
          <w:rFonts w:ascii="Times New Roman" w:hAnsi="Times New Roman" w:cs="Times New Roman"/>
          <w:i/>
          <w:iCs/>
          <w:sz w:val="20"/>
        </w:rPr>
        <w:t>150</w:t>
      </w:r>
      <w:r w:rsidRPr="00CA33E9">
        <w:rPr>
          <w:rFonts w:ascii="Times New Roman" w:hAnsi="Times New Roman" w:cs="Times New Roman"/>
          <w:sz w:val="20"/>
        </w:rPr>
        <w:t>(6), 782–786.</w:t>
      </w:r>
    </w:p>
    <w:p w14:paraId="7BBFA748"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Hyland, P., Shevlin, M., Fyvie, C., &amp; Karatzias, T. (2018). Posttraumatic Stress Disorder and Complex Posttraumatic Stress Disorder in </w:t>
      </w:r>
      <w:r w:rsidRPr="00CA33E9">
        <w:rPr>
          <w:rFonts w:ascii="Times New Roman" w:hAnsi="Times New Roman" w:cs="Times New Roman"/>
          <w:i/>
          <w:iCs/>
          <w:sz w:val="20"/>
        </w:rPr>
        <w:t>DSM‐5</w:t>
      </w:r>
      <w:r w:rsidRPr="00CA33E9">
        <w:rPr>
          <w:rFonts w:ascii="Times New Roman" w:hAnsi="Times New Roman" w:cs="Times New Roman"/>
          <w:sz w:val="20"/>
        </w:rPr>
        <w:t xml:space="preserve"> and </w:t>
      </w:r>
      <w:r w:rsidRPr="00CA33E9">
        <w:rPr>
          <w:rFonts w:ascii="Times New Roman" w:hAnsi="Times New Roman" w:cs="Times New Roman"/>
          <w:i/>
          <w:iCs/>
          <w:sz w:val="20"/>
        </w:rPr>
        <w:t>ICD‐11</w:t>
      </w:r>
      <w:r w:rsidRPr="00CA33E9">
        <w:rPr>
          <w:rFonts w:ascii="Times New Roman" w:hAnsi="Times New Roman" w:cs="Times New Roman"/>
          <w:sz w:val="20"/>
        </w:rPr>
        <w:t xml:space="preserve">: Clinical and Behavioral Correlates. </w:t>
      </w:r>
      <w:r w:rsidRPr="00CA33E9">
        <w:rPr>
          <w:rFonts w:ascii="Times New Roman" w:hAnsi="Times New Roman" w:cs="Times New Roman"/>
          <w:i/>
          <w:iCs/>
          <w:sz w:val="20"/>
        </w:rPr>
        <w:t>Journal of Traumatic Stress</w:t>
      </w:r>
      <w:r w:rsidRPr="00CA33E9">
        <w:rPr>
          <w:rFonts w:ascii="Times New Roman" w:hAnsi="Times New Roman" w:cs="Times New Roman"/>
          <w:sz w:val="20"/>
        </w:rPr>
        <w:t xml:space="preserve">, </w:t>
      </w:r>
      <w:r w:rsidRPr="00CA33E9">
        <w:rPr>
          <w:rFonts w:ascii="Times New Roman" w:hAnsi="Times New Roman" w:cs="Times New Roman"/>
          <w:i/>
          <w:iCs/>
          <w:sz w:val="20"/>
        </w:rPr>
        <w:t>31</w:t>
      </w:r>
      <w:r w:rsidRPr="00CA33E9">
        <w:rPr>
          <w:rFonts w:ascii="Times New Roman" w:hAnsi="Times New Roman" w:cs="Times New Roman"/>
          <w:sz w:val="20"/>
        </w:rPr>
        <w:t>(2), 174–180. https://doi.org/10.1002/jts.22272</w:t>
      </w:r>
    </w:p>
    <w:p w14:paraId="02816973"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Kim, Y., Pirritano, M., &amp; Parrish, K. M. (2022). Determinants of racial and ethnic disparities in utilization of hospital-based care for asthma among Medi-Cal children in Los Angeles. </w:t>
      </w:r>
      <w:r w:rsidRPr="00CA33E9">
        <w:rPr>
          <w:rFonts w:ascii="Times New Roman" w:hAnsi="Times New Roman" w:cs="Times New Roman"/>
          <w:i/>
          <w:iCs/>
          <w:sz w:val="20"/>
        </w:rPr>
        <w:t>The Journal of Asthma : Official Journal of the Association for the Care of Asthma</w:t>
      </w:r>
      <w:r w:rsidRPr="00CA33E9">
        <w:rPr>
          <w:rFonts w:ascii="Times New Roman" w:hAnsi="Times New Roman" w:cs="Times New Roman"/>
          <w:sz w:val="20"/>
        </w:rPr>
        <w:t xml:space="preserve">, </w:t>
      </w:r>
      <w:r w:rsidRPr="00CA33E9">
        <w:rPr>
          <w:rFonts w:ascii="Times New Roman" w:hAnsi="Times New Roman" w:cs="Times New Roman"/>
          <w:i/>
          <w:iCs/>
          <w:sz w:val="20"/>
        </w:rPr>
        <w:t>59</w:t>
      </w:r>
      <w:r w:rsidRPr="00CA33E9">
        <w:rPr>
          <w:rFonts w:ascii="Times New Roman" w:hAnsi="Times New Roman" w:cs="Times New Roman"/>
          <w:sz w:val="20"/>
        </w:rPr>
        <w:t>(8), 1521–1530. https://doi.org/10.1080/02770903.2021.1955131</w:t>
      </w:r>
    </w:p>
    <w:p w14:paraId="39B710A8"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Spitzer, R. L., Kroenke, K., Williams, J. B., &amp; Löwe, B. (2006). A brief measure for assessing generalized anxiety disorder: The GAD-7. </w:t>
      </w:r>
      <w:r w:rsidRPr="00CA33E9">
        <w:rPr>
          <w:rFonts w:ascii="Times New Roman" w:hAnsi="Times New Roman" w:cs="Times New Roman"/>
          <w:i/>
          <w:iCs/>
          <w:sz w:val="20"/>
        </w:rPr>
        <w:t>Archives of Internal Medicine</w:t>
      </w:r>
      <w:r w:rsidRPr="00CA33E9">
        <w:rPr>
          <w:rFonts w:ascii="Times New Roman" w:hAnsi="Times New Roman" w:cs="Times New Roman"/>
          <w:sz w:val="20"/>
        </w:rPr>
        <w:t xml:space="preserve">, </w:t>
      </w:r>
      <w:r w:rsidRPr="00CA33E9">
        <w:rPr>
          <w:rFonts w:ascii="Times New Roman" w:hAnsi="Times New Roman" w:cs="Times New Roman"/>
          <w:i/>
          <w:iCs/>
          <w:sz w:val="20"/>
        </w:rPr>
        <w:t>166</w:t>
      </w:r>
      <w:r w:rsidRPr="00CA33E9">
        <w:rPr>
          <w:rFonts w:ascii="Times New Roman" w:hAnsi="Times New Roman" w:cs="Times New Roman"/>
          <w:sz w:val="20"/>
        </w:rPr>
        <w:t>(10), 1092–1097.</w:t>
      </w:r>
    </w:p>
    <w:p w14:paraId="3F06D97F" w14:textId="77777777" w:rsidR="00CA33E9" w:rsidRPr="00CA33E9" w:rsidRDefault="00CA33E9" w:rsidP="00CA33E9">
      <w:pPr>
        <w:pStyle w:val="Bibliography"/>
        <w:rPr>
          <w:rFonts w:ascii="Times New Roman" w:hAnsi="Times New Roman" w:cs="Times New Roman"/>
          <w:sz w:val="20"/>
        </w:rPr>
      </w:pPr>
      <w:r w:rsidRPr="00CA33E9">
        <w:rPr>
          <w:rFonts w:ascii="Times New Roman" w:hAnsi="Times New Roman" w:cs="Times New Roman"/>
          <w:sz w:val="20"/>
        </w:rPr>
        <w:t xml:space="preserve">Waller R, Kornfield SL, White LK, Chaiyachati BH, Barzilay R, Njoroge W, Parish-Morris J, Duncan A, Himes MM, Rodriguez Y, Seidlitz J, Riis V, Burris HH, Gur RE, &amp; Elovitz MA. (2022). Clinician-reported childbirth outcomes, patient-reported childbirth trauma, and risk for postpartum depression. </w:t>
      </w:r>
      <w:r w:rsidRPr="00CA33E9">
        <w:rPr>
          <w:rFonts w:ascii="Times New Roman" w:hAnsi="Times New Roman" w:cs="Times New Roman"/>
          <w:i/>
          <w:iCs/>
          <w:sz w:val="20"/>
        </w:rPr>
        <w:t>Arch Womens Ment Health</w:t>
      </w:r>
      <w:r w:rsidRPr="00CA33E9">
        <w:rPr>
          <w:rFonts w:ascii="Times New Roman" w:hAnsi="Times New Roman" w:cs="Times New Roman"/>
          <w:sz w:val="20"/>
        </w:rPr>
        <w:t xml:space="preserve">, </w:t>
      </w:r>
      <w:r w:rsidRPr="00CA33E9">
        <w:rPr>
          <w:rFonts w:ascii="Times New Roman" w:hAnsi="Times New Roman" w:cs="Times New Roman"/>
          <w:i/>
          <w:iCs/>
          <w:sz w:val="20"/>
        </w:rPr>
        <w:t>25</w:t>
      </w:r>
      <w:r w:rsidRPr="00CA33E9">
        <w:rPr>
          <w:rFonts w:ascii="Times New Roman" w:hAnsi="Times New Roman" w:cs="Times New Roman"/>
          <w:sz w:val="20"/>
        </w:rPr>
        <w:t>(5), 985–993. https://doi.org/10.1007/s00737-022-01263-3</w:t>
      </w:r>
    </w:p>
    <w:p w14:paraId="4900393B" w14:textId="25314212" w:rsidR="00CA33E9" w:rsidRDefault="00CA33E9" w:rsidP="00051C7B">
      <w:pPr>
        <w:spacing w:after="0" w:line="480" w:lineRule="auto"/>
        <w:rPr>
          <w:rFonts w:ascii="Times New Roman" w:hAnsi="Times New Roman" w:cs="Times New Roman"/>
          <w:sz w:val="20"/>
          <w:szCs w:val="20"/>
        </w:rPr>
      </w:pPr>
    </w:p>
    <w:sectPr w:rsidR="00CA33E9" w:rsidSect="00CA33E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8806F" w14:textId="77777777" w:rsidR="0043223F" w:rsidRDefault="0043223F" w:rsidP="00BC5312">
      <w:pPr>
        <w:spacing w:after="0" w:line="240" w:lineRule="auto"/>
      </w:pPr>
      <w:r>
        <w:separator/>
      </w:r>
    </w:p>
  </w:endnote>
  <w:endnote w:type="continuationSeparator" w:id="0">
    <w:p w14:paraId="15A24A8F" w14:textId="77777777" w:rsidR="0043223F" w:rsidRDefault="0043223F" w:rsidP="00BC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80498" w14:textId="77777777" w:rsidR="0043223F" w:rsidRDefault="0043223F" w:rsidP="00BC5312">
      <w:pPr>
        <w:spacing w:after="0" w:line="240" w:lineRule="auto"/>
      </w:pPr>
      <w:r>
        <w:separator/>
      </w:r>
    </w:p>
  </w:footnote>
  <w:footnote w:type="continuationSeparator" w:id="0">
    <w:p w14:paraId="0AF6ED19" w14:textId="77777777" w:rsidR="0043223F" w:rsidRDefault="0043223F" w:rsidP="00BC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72D8" w14:textId="1FF859E5" w:rsidR="00CA33E9" w:rsidRPr="00FE175D" w:rsidRDefault="00CA33E9" w:rsidP="00A11755">
    <w:pPr>
      <w:pStyle w:val="Header"/>
      <w:tabs>
        <w:tab w:val="left" w:pos="5115"/>
      </w:tabs>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D1DE5"/>
    <w:multiLevelType w:val="hybridMultilevel"/>
    <w:tmpl w:val="14E6F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2732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1F"/>
    <w:rsid w:val="00051C7B"/>
    <w:rsid w:val="000D2167"/>
    <w:rsid w:val="000E04BA"/>
    <w:rsid w:val="0013233C"/>
    <w:rsid w:val="001B40CF"/>
    <w:rsid w:val="002D265F"/>
    <w:rsid w:val="003174A6"/>
    <w:rsid w:val="00347E9A"/>
    <w:rsid w:val="00361BF5"/>
    <w:rsid w:val="0038194D"/>
    <w:rsid w:val="0043223F"/>
    <w:rsid w:val="00460BE0"/>
    <w:rsid w:val="00487B29"/>
    <w:rsid w:val="00555735"/>
    <w:rsid w:val="00562B5F"/>
    <w:rsid w:val="005A600F"/>
    <w:rsid w:val="00617EF9"/>
    <w:rsid w:val="006B2286"/>
    <w:rsid w:val="007D465D"/>
    <w:rsid w:val="007E21B8"/>
    <w:rsid w:val="008056C9"/>
    <w:rsid w:val="00870D16"/>
    <w:rsid w:val="008E459B"/>
    <w:rsid w:val="009027D2"/>
    <w:rsid w:val="00910608"/>
    <w:rsid w:val="009A5B12"/>
    <w:rsid w:val="009C39E6"/>
    <w:rsid w:val="00A057E3"/>
    <w:rsid w:val="00A11755"/>
    <w:rsid w:val="00A93E6B"/>
    <w:rsid w:val="00AA5828"/>
    <w:rsid w:val="00AE735E"/>
    <w:rsid w:val="00AF4E3A"/>
    <w:rsid w:val="00B10C58"/>
    <w:rsid w:val="00B116C1"/>
    <w:rsid w:val="00B95206"/>
    <w:rsid w:val="00BA6C73"/>
    <w:rsid w:val="00BC5312"/>
    <w:rsid w:val="00BE4E97"/>
    <w:rsid w:val="00C40782"/>
    <w:rsid w:val="00C53980"/>
    <w:rsid w:val="00C975A1"/>
    <w:rsid w:val="00CA33E9"/>
    <w:rsid w:val="00CA69AA"/>
    <w:rsid w:val="00CD1E00"/>
    <w:rsid w:val="00D32D7A"/>
    <w:rsid w:val="00D61E1F"/>
    <w:rsid w:val="00DD28FD"/>
    <w:rsid w:val="00E35AF4"/>
    <w:rsid w:val="00F65F32"/>
    <w:rsid w:val="00F72559"/>
    <w:rsid w:val="00FE175D"/>
    <w:rsid w:val="00FE5657"/>
    <w:rsid w:val="00FF1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D9DDA"/>
  <w15:chartTrackingRefBased/>
  <w15:docId w15:val="{617CFC1B-7808-4197-A403-8525C6D2A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4BA"/>
  </w:style>
  <w:style w:type="paragraph" w:styleId="Heading1">
    <w:name w:val="heading 1"/>
    <w:basedOn w:val="Normal"/>
    <w:next w:val="Normal"/>
    <w:link w:val="Heading1Char"/>
    <w:uiPriority w:val="9"/>
    <w:qFormat/>
    <w:rsid w:val="00D61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E1F"/>
    <w:rPr>
      <w:rFonts w:eastAsiaTheme="majorEastAsia" w:cstheme="majorBidi"/>
      <w:color w:val="272727" w:themeColor="text1" w:themeTint="D8"/>
    </w:rPr>
  </w:style>
  <w:style w:type="paragraph" w:styleId="Title">
    <w:name w:val="Title"/>
    <w:basedOn w:val="Normal"/>
    <w:next w:val="Normal"/>
    <w:link w:val="TitleChar"/>
    <w:uiPriority w:val="10"/>
    <w:qFormat/>
    <w:rsid w:val="00D61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E1F"/>
    <w:pPr>
      <w:spacing w:before="160"/>
      <w:jc w:val="center"/>
    </w:pPr>
    <w:rPr>
      <w:i/>
      <w:iCs/>
      <w:color w:val="404040" w:themeColor="text1" w:themeTint="BF"/>
    </w:rPr>
  </w:style>
  <w:style w:type="character" w:customStyle="1" w:styleId="QuoteChar">
    <w:name w:val="Quote Char"/>
    <w:basedOn w:val="DefaultParagraphFont"/>
    <w:link w:val="Quote"/>
    <w:uiPriority w:val="29"/>
    <w:rsid w:val="00D61E1F"/>
    <w:rPr>
      <w:i/>
      <w:iCs/>
      <w:color w:val="404040" w:themeColor="text1" w:themeTint="BF"/>
    </w:rPr>
  </w:style>
  <w:style w:type="paragraph" w:styleId="ListParagraph">
    <w:name w:val="List Paragraph"/>
    <w:basedOn w:val="Normal"/>
    <w:uiPriority w:val="34"/>
    <w:qFormat/>
    <w:rsid w:val="00D61E1F"/>
    <w:pPr>
      <w:ind w:left="720"/>
      <w:contextualSpacing/>
    </w:pPr>
  </w:style>
  <w:style w:type="character" w:styleId="IntenseEmphasis">
    <w:name w:val="Intense Emphasis"/>
    <w:basedOn w:val="DefaultParagraphFont"/>
    <w:uiPriority w:val="21"/>
    <w:qFormat/>
    <w:rsid w:val="00D61E1F"/>
    <w:rPr>
      <w:i/>
      <w:iCs/>
      <w:color w:val="0F4761" w:themeColor="accent1" w:themeShade="BF"/>
    </w:rPr>
  </w:style>
  <w:style w:type="paragraph" w:styleId="IntenseQuote">
    <w:name w:val="Intense Quote"/>
    <w:basedOn w:val="Normal"/>
    <w:next w:val="Normal"/>
    <w:link w:val="IntenseQuoteChar"/>
    <w:uiPriority w:val="30"/>
    <w:qFormat/>
    <w:rsid w:val="00D61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E1F"/>
    <w:rPr>
      <w:i/>
      <w:iCs/>
      <w:color w:val="0F4761" w:themeColor="accent1" w:themeShade="BF"/>
    </w:rPr>
  </w:style>
  <w:style w:type="character" w:styleId="IntenseReference">
    <w:name w:val="Intense Reference"/>
    <w:basedOn w:val="DefaultParagraphFont"/>
    <w:uiPriority w:val="32"/>
    <w:qFormat/>
    <w:rsid w:val="00D61E1F"/>
    <w:rPr>
      <w:b/>
      <w:bCs/>
      <w:smallCaps/>
      <w:color w:val="0F4761" w:themeColor="accent1" w:themeShade="BF"/>
      <w:spacing w:val="5"/>
    </w:rPr>
  </w:style>
  <w:style w:type="character" w:styleId="LineNumber">
    <w:name w:val="line number"/>
    <w:basedOn w:val="DefaultParagraphFont"/>
    <w:uiPriority w:val="99"/>
    <w:semiHidden/>
    <w:unhideWhenUsed/>
    <w:rsid w:val="0013233C"/>
  </w:style>
  <w:style w:type="character" w:styleId="Hyperlink">
    <w:name w:val="Hyperlink"/>
    <w:basedOn w:val="DefaultParagraphFont"/>
    <w:uiPriority w:val="99"/>
    <w:unhideWhenUsed/>
    <w:rsid w:val="00AA5828"/>
    <w:rPr>
      <w:color w:val="467886" w:themeColor="hyperlink"/>
      <w:u w:val="single"/>
    </w:rPr>
  </w:style>
  <w:style w:type="character" w:styleId="UnresolvedMention">
    <w:name w:val="Unresolved Mention"/>
    <w:basedOn w:val="DefaultParagraphFont"/>
    <w:uiPriority w:val="99"/>
    <w:semiHidden/>
    <w:unhideWhenUsed/>
    <w:rsid w:val="00AA5828"/>
    <w:rPr>
      <w:color w:val="605E5C"/>
      <w:shd w:val="clear" w:color="auto" w:fill="E1DFDD"/>
    </w:rPr>
  </w:style>
  <w:style w:type="paragraph" w:styleId="Bibliography">
    <w:name w:val="Bibliography"/>
    <w:basedOn w:val="Normal"/>
    <w:next w:val="Normal"/>
    <w:uiPriority w:val="37"/>
    <w:unhideWhenUsed/>
    <w:rsid w:val="00361BF5"/>
    <w:pPr>
      <w:spacing w:after="0" w:line="480" w:lineRule="auto"/>
      <w:ind w:left="720" w:hanging="720"/>
    </w:pPr>
  </w:style>
  <w:style w:type="paragraph" w:styleId="Header">
    <w:name w:val="header"/>
    <w:basedOn w:val="Normal"/>
    <w:link w:val="HeaderChar"/>
    <w:uiPriority w:val="99"/>
    <w:unhideWhenUsed/>
    <w:rsid w:val="00CA3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3E9"/>
  </w:style>
  <w:style w:type="paragraph" w:styleId="Footer">
    <w:name w:val="footer"/>
    <w:basedOn w:val="Normal"/>
    <w:link w:val="FooterChar"/>
    <w:uiPriority w:val="99"/>
    <w:unhideWhenUsed/>
    <w:rsid w:val="00CA3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1658</Words>
  <Characters>9453</Characters>
  <Application>Microsoft Office Word</Application>
  <DocSecurity>0</DocSecurity>
  <Lines>78</Lines>
  <Paragraphs>22</Paragraphs>
  <ScaleCrop>false</ScaleCrop>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Nicole M</dc:creator>
  <cp:keywords/>
  <dc:description/>
  <cp:lastModifiedBy>Kornfield, Sara</cp:lastModifiedBy>
  <cp:revision>2</cp:revision>
  <dcterms:created xsi:type="dcterms:W3CDTF">2025-10-13T14:45:00Z</dcterms:created>
  <dcterms:modified xsi:type="dcterms:W3CDTF">2025-10-13T14:45:00Z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id="V5fJriia"/&gt;&lt;style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