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08A6" w14:textId="77777777" w:rsidR="00F85EFF" w:rsidRDefault="00F85EFF"/>
    <w:tbl>
      <w:tblPr>
        <w:tblW w:w="9164" w:type="dxa"/>
        <w:tblBorders>
          <w:top w:val="single" w:sz="4" w:space="0" w:color="auto"/>
          <w:bottom w:val="single" w:sz="4" w:space="0" w:color="auto"/>
        </w:tblBorders>
        <w:tblLook w:val="04A0" w:firstRow="1" w:lastRow="0" w:firstColumn="1" w:lastColumn="0" w:noHBand="0" w:noVBand="1"/>
      </w:tblPr>
      <w:tblGrid>
        <w:gridCol w:w="3240"/>
        <w:gridCol w:w="810"/>
        <w:gridCol w:w="750"/>
        <w:gridCol w:w="960"/>
        <w:gridCol w:w="960"/>
        <w:gridCol w:w="660"/>
        <w:gridCol w:w="572"/>
        <w:gridCol w:w="1212"/>
      </w:tblGrid>
      <w:tr w:rsidR="00EB625C" w:rsidRPr="00B25792" w14:paraId="629E4A70" w14:textId="77777777" w:rsidTr="00BC4183">
        <w:trPr>
          <w:trHeight w:val="288"/>
        </w:trPr>
        <w:tc>
          <w:tcPr>
            <w:tcW w:w="9164" w:type="dxa"/>
            <w:gridSpan w:val="8"/>
            <w:tcBorders>
              <w:top w:val="nil"/>
              <w:bottom w:val="single" w:sz="4" w:space="0" w:color="auto"/>
            </w:tcBorders>
            <w:noWrap/>
            <w:vAlign w:val="bottom"/>
          </w:tcPr>
          <w:p w14:paraId="7E962F37" w14:textId="531FF06B" w:rsidR="00EB625C" w:rsidRPr="00B25792" w:rsidRDefault="00EB625C" w:rsidP="00B25792">
            <w:pPr>
              <w:spacing w:after="0" w:line="240" w:lineRule="auto"/>
              <w:rPr>
                <w:rFonts w:ascii="Aptos Narrow" w:eastAsia="Times New Roman" w:hAnsi="Aptos Narrow"/>
                <w:color w:val="000000"/>
                <w:sz w:val="22"/>
                <w:szCs w:val="22"/>
              </w:rPr>
            </w:pPr>
            <w:r w:rsidRPr="001A16BD">
              <w:rPr>
                <w:b/>
                <w:bCs/>
              </w:rPr>
              <w:t xml:space="preserve">Table S </w:t>
            </w:r>
            <w:r w:rsidRPr="001A16BD">
              <w:rPr>
                <w:b/>
                <w:bCs/>
              </w:rPr>
              <w:fldChar w:fldCharType="begin"/>
            </w:r>
            <w:r w:rsidRPr="001A16BD">
              <w:rPr>
                <w:b/>
                <w:bCs/>
              </w:rPr>
              <w:instrText xml:space="preserve"> SEQ Table_S \* ARABIC </w:instrText>
            </w:r>
            <w:r w:rsidRPr="001A16BD">
              <w:rPr>
                <w:b/>
                <w:bCs/>
              </w:rPr>
              <w:fldChar w:fldCharType="separate"/>
            </w:r>
            <w:r w:rsidR="003230D3">
              <w:rPr>
                <w:b/>
                <w:bCs/>
                <w:noProof/>
              </w:rPr>
              <w:t>1</w:t>
            </w:r>
            <w:r w:rsidRPr="001A16BD">
              <w:rPr>
                <w:b/>
                <w:bCs/>
              </w:rPr>
              <w:fldChar w:fldCharType="end"/>
            </w:r>
            <w:r>
              <w:rPr>
                <w:b/>
                <w:bCs/>
              </w:rPr>
              <w:t>.</w:t>
            </w:r>
            <w:r w:rsidRPr="001A16BD">
              <w:t xml:space="preserve"> Missing values report (N= 21,324)</w:t>
            </w:r>
          </w:p>
        </w:tc>
      </w:tr>
      <w:tr w:rsidR="00B25792" w:rsidRPr="00B25792" w14:paraId="3608908B" w14:textId="77777777" w:rsidTr="00BC4183">
        <w:trPr>
          <w:trHeight w:val="288"/>
        </w:trPr>
        <w:tc>
          <w:tcPr>
            <w:tcW w:w="3240" w:type="dxa"/>
            <w:tcBorders>
              <w:top w:val="single" w:sz="4" w:space="0" w:color="auto"/>
              <w:bottom w:val="single" w:sz="4" w:space="0" w:color="auto"/>
            </w:tcBorders>
            <w:noWrap/>
            <w:vAlign w:val="bottom"/>
            <w:hideMark/>
          </w:tcPr>
          <w:p w14:paraId="041F1EB5" w14:textId="77777777" w:rsidR="00B25792" w:rsidRPr="00B25792" w:rsidRDefault="00B25792" w:rsidP="00B25792">
            <w:pPr>
              <w:spacing w:after="0" w:line="240" w:lineRule="auto"/>
              <w:rPr>
                <w:rFonts w:ascii="Aptos Narrow" w:eastAsia="Times New Roman" w:hAnsi="Aptos Narrow"/>
                <w:color w:val="000000"/>
                <w:sz w:val="22"/>
                <w:szCs w:val="22"/>
              </w:rPr>
            </w:pPr>
            <w:r w:rsidRPr="00B25792">
              <w:rPr>
                <w:rFonts w:ascii="Aptos Narrow" w:eastAsia="Times New Roman" w:hAnsi="Aptos Narrow"/>
                <w:color w:val="000000"/>
                <w:sz w:val="22"/>
                <w:szCs w:val="22"/>
              </w:rPr>
              <w:t>Variable</w:t>
            </w:r>
          </w:p>
        </w:tc>
        <w:tc>
          <w:tcPr>
            <w:tcW w:w="810" w:type="dxa"/>
            <w:tcBorders>
              <w:top w:val="single" w:sz="4" w:space="0" w:color="auto"/>
              <w:bottom w:val="single" w:sz="4" w:space="0" w:color="auto"/>
            </w:tcBorders>
            <w:noWrap/>
            <w:vAlign w:val="bottom"/>
            <w:hideMark/>
          </w:tcPr>
          <w:p w14:paraId="38E9C020" w14:textId="77777777" w:rsidR="00B25792" w:rsidRPr="00B25792" w:rsidRDefault="00B25792" w:rsidP="00BC4183">
            <w:pPr>
              <w:spacing w:after="0" w:line="240" w:lineRule="auto"/>
              <w:jc w:val="center"/>
              <w:rPr>
                <w:rFonts w:ascii="Aptos Narrow" w:eastAsia="Times New Roman" w:hAnsi="Aptos Narrow"/>
                <w:color w:val="000000"/>
                <w:sz w:val="22"/>
                <w:szCs w:val="22"/>
              </w:rPr>
            </w:pPr>
            <w:proofErr w:type="spellStart"/>
            <w:r w:rsidRPr="00B25792">
              <w:rPr>
                <w:rFonts w:ascii="Aptos Narrow" w:eastAsia="Times New Roman" w:hAnsi="Aptos Narrow"/>
                <w:color w:val="000000"/>
                <w:sz w:val="22"/>
                <w:szCs w:val="22"/>
              </w:rPr>
              <w:t>Obs</w:t>
            </w:r>
            <w:proofErr w:type="spellEnd"/>
            <w:r w:rsidRPr="00B25792">
              <w:rPr>
                <w:rFonts w:ascii="Aptos Narrow" w:eastAsia="Times New Roman" w:hAnsi="Aptos Narrow"/>
                <w:color w:val="000000"/>
                <w:sz w:val="22"/>
                <w:szCs w:val="22"/>
              </w:rPr>
              <w:t>=.</w:t>
            </w:r>
          </w:p>
        </w:tc>
        <w:tc>
          <w:tcPr>
            <w:tcW w:w="750" w:type="dxa"/>
            <w:tcBorders>
              <w:top w:val="single" w:sz="4" w:space="0" w:color="auto"/>
              <w:bottom w:val="single" w:sz="4" w:space="0" w:color="auto"/>
            </w:tcBorders>
            <w:noWrap/>
            <w:vAlign w:val="bottom"/>
            <w:hideMark/>
          </w:tcPr>
          <w:p w14:paraId="7A7C5234" w14:textId="77777777" w:rsidR="00B25792" w:rsidRPr="00B25792" w:rsidRDefault="00B25792" w:rsidP="00BC4183">
            <w:pPr>
              <w:spacing w:after="0" w:line="240" w:lineRule="auto"/>
              <w:jc w:val="center"/>
              <w:rPr>
                <w:rFonts w:ascii="Aptos Narrow" w:eastAsia="Times New Roman" w:hAnsi="Aptos Narrow"/>
                <w:color w:val="000000"/>
                <w:sz w:val="22"/>
                <w:szCs w:val="22"/>
              </w:rPr>
            </w:pPr>
            <w:proofErr w:type="spellStart"/>
            <w:r w:rsidRPr="00B25792">
              <w:rPr>
                <w:rFonts w:ascii="Aptos Narrow" w:eastAsia="Times New Roman" w:hAnsi="Aptos Narrow"/>
                <w:color w:val="000000"/>
                <w:sz w:val="22"/>
                <w:szCs w:val="22"/>
              </w:rPr>
              <w:t>Obs</w:t>
            </w:r>
            <w:proofErr w:type="spellEnd"/>
            <w:r w:rsidRPr="00B25792">
              <w:rPr>
                <w:rFonts w:ascii="Aptos Narrow" w:eastAsia="Times New Roman" w:hAnsi="Aptos Narrow"/>
                <w:color w:val="000000"/>
                <w:sz w:val="22"/>
                <w:szCs w:val="22"/>
              </w:rPr>
              <w:t>&gt;.</w:t>
            </w:r>
          </w:p>
        </w:tc>
        <w:tc>
          <w:tcPr>
            <w:tcW w:w="960" w:type="dxa"/>
            <w:tcBorders>
              <w:top w:val="single" w:sz="4" w:space="0" w:color="auto"/>
              <w:bottom w:val="single" w:sz="4" w:space="0" w:color="auto"/>
            </w:tcBorders>
            <w:noWrap/>
            <w:vAlign w:val="bottom"/>
            <w:hideMark/>
          </w:tcPr>
          <w:p w14:paraId="0E6A9924" w14:textId="77777777" w:rsidR="00B25792" w:rsidRPr="00B25792" w:rsidRDefault="00B25792" w:rsidP="00BC4183">
            <w:pPr>
              <w:spacing w:after="0" w:line="240" w:lineRule="auto"/>
              <w:jc w:val="center"/>
              <w:rPr>
                <w:rFonts w:ascii="Aptos Narrow" w:eastAsia="Times New Roman" w:hAnsi="Aptos Narrow"/>
                <w:color w:val="000000"/>
                <w:sz w:val="22"/>
                <w:szCs w:val="22"/>
              </w:rPr>
            </w:pPr>
            <w:proofErr w:type="spellStart"/>
            <w:r w:rsidRPr="00B25792">
              <w:rPr>
                <w:rFonts w:ascii="Aptos Narrow" w:eastAsia="Times New Roman" w:hAnsi="Aptos Narrow"/>
                <w:color w:val="000000"/>
                <w:sz w:val="22"/>
                <w:szCs w:val="22"/>
              </w:rPr>
              <w:t>Obs</w:t>
            </w:r>
            <w:proofErr w:type="spellEnd"/>
            <w:r w:rsidRPr="00B25792">
              <w:rPr>
                <w:rFonts w:ascii="Aptos Narrow" w:eastAsia="Times New Roman" w:hAnsi="Aptos Narrow"/>
                <w:color w:val="000000"/>
                <w:sz w:val="22"/>
                <w:szCs w:val="22"/>
              </w:rPr>
              <w:t>&lt;.</w:t>
            </w:r>
          </w:p>
        </w:tc>
        <w:tc>
          <w:tcPr>
            <w:tcW w:w="960" w:type="dxa"/>
            <w:tcBorders>
              <w:top w:val="single" w:sz="4" w:space="0" w:color="auto"/>
              <w:bottom w:val="single" w:sz="4" w:space="0" w:color="auto"/>
            </w:tcBorders>
            <w:noWrap/>
            <w:vAlign w:val="bottom"/>
            <w:hideMark/>
          </w:tcPr>
          <w:p w14:paraId="2A81C47C" w14:textId="06E7C428" w:rsidR="00B25792" w:rsidRPr="00B25792" w:rsidRDefault="00EB625C"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 xml:space="preserve">Unique </w:t>
            </w:r>
            <w:r w:rsidR="00B25792" w:rsidRPr="00B25792">
              <w:rPr>
                <w:rFonts w:ascii="Aptos Narrow" w:eastAsia="Times New Roman" w:hAnsi="Aptos Narrow"/>
                <w:color w:val="000000"/>
                <w:sz w:val="22"/>
                <w:szCs w:val="22"/>
              </w:rPr>
              <w:t>values</w:t>
            </w:r>
          </w:p>
        </w:tc>
        <w:tc>
          <w:tcPr>
            <w:tcW w:w="660" w:type="dxa"/>
            <w:tcBorders>
              <w:top w:val="single" w:sz="4" w:space="0" w:color="auto"/>
              <w:bottom w:val="single" w:sz="4" w:space="0" w:color="auto"/>
            </w:tcBorders>
            <w:noWrap/>
            <w:vAlign w:val="bottom"/>
            <w:hideMark/>
          </w:tcPr>
          <w:p w14:paraId="4F5B8AAF" w14:textId="77777777" w:rsidR="00B25792" w:rsidRPr="00B25792" w:rsidRDefault="00B25792"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Min</w:t>
            </w:r>
          </w:p>
        </w:tc>
        <w:tc>
          <w:tcPr>
            <w:tcW w:w="572" w:type="dxa"/>
            <w:tcBorders>
              <w:top w:val="single" w:sz="4" w:space="0" w:color="auto"/>
              <w:bottom w:val="single" w:sz="4" w:space="0" w:color="auto"/>
            </w:tcBorders>
            <w:noWrap/>
            <w:vAlign w:val="bottom"/>
            <w:hideMark/>
          </w:tcPr>
          <w:p w14:paraId="05E439EA" w14:textId="77777777" w:rsidR="00B25792" w:rsidRPr="00B25792" w:rsidRDefault="00B25792"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Max</w:t>
            </w:r>
          </w:p>
        </w:tc>
        <w:tc>
          <w:tcPr>
            <w:tcW w:w="1212" w:type="dxa"/>
            <w:tcBorders>
              <w:top w:val="single" w:sz="4" w:space="0" w:color="auto"/>
              <w:bottom w:val="single" w:sz="4" w:space="0" w:color="auto"/>
            </w:tcBorders>
            <w:noWrap/>
            <w:vAlign w:val="bottom"/>
            <w:hideMark/>
          </w:tcPr>
          <w:p w14:paraId="1F8E6D6C" w14:textId="77777777" w:rsidR="00B25792" w:rsidRPr="00B25792" w:rsidRDefault="00B25792"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Percentage</w:t>
            </w:r>
          </w:p>
        </w:tc>
      </w:tr>
      <w:tr w:rsidR="00BC4183" w:rsidRPr="00B25792" w14:paraId="5166AE9D" w14:textId="77777777" w:rsidTr="00BC4183">
        <w:trPr>
          <w:trHeight w:val="288"/>
        </w:trPr>
        <w:tc>
          <w:tcPr>
            <w:tcW w:w="3240" w:type="dxa"/>
            <w:tcBorders>
              <w:top w:val="single" w:sz="4" w:space="0" w:color="auto"/>
            </w:tcBorders>
            <w:noWrap/>
            <w:vAlign w:val="bottom"/>
            <w:hideMark/>
          </w:tcPr>
          <w:p w14:paraId="019DE2D7" w14:textId="22F73AE8" w:rsidR="00BC4183" w:rsidRPr="00B25792" w:rsidRDefault="00BC4183" w:rsidP="00BC4183">
            <w:pPr>
              <w:spacing w:after="0" w:line="240" w:lineRule="auto"/>
              <w:rPr>
                <w:rFonts w:ascii="Aptos Narrow" w:eastAsia="Times New Roman" w:hAnsi="Aptos Narrow"/>
                <w:color w:val="000000"/>
                <w:sz w:val="22"/>
                <w:szCs w:val="22"/>
              </w:rPr>
            </w:pPr>
            <w:r w:rsidRPr="00BC4183">
              <w:rPr>
                <w:rFonts w:eastAsia="Times New Roman"/>
                <w:color w:val="000000"/>
                <w:sz w:val="20"/>
                <w:szCs w:val="20"/>
              </w:rPr>
              <w:t>Emotional IPV</w:t>
            </w:r>
          </w:p>
        </w:tc>
        <w:tc>
          <w:tcPr>
            <w:tcW w:w="810" w:type="dxa"/>
            <w:tcBorders>
              <w:top w:val="single" w:sz="4" w:space="0" w:color="auto"/>
            </w:tcBorders>
            <w:noWrap/>
            <w:vAlign w:val="bottom"/>
            <w:hideMark/>
          </w:tcPr>
          <w:p w14:paraId="21140A61"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20</w:t>
            </w:r>
          </w:p>
        </w:tc>
        <w:tc>
          <w:tcPr>
            <w:tcW w:w="750" w:type="dxa"/>
            <w:tcBorders>
              <w:top w:val="single" w:sz="4" w:space="0" w:color="auto"/>
            </w:tcBorders>
            <w:noWrap/>
            <w:vAlign w:val="bottom"/>
            <w:hideMark/>
          </w:tcPr>
          <w:p w14:paraId="18DEEE87" w14:textId="77777777" w:rsidR="00BC4183" w:rsidRPr="00B25792" w:rsidRDefault="00BC4183" w:rsidP="00BC4183">
            <w:pPr>
              <w:spacing w:after="0" w:line="240" w:lineRule="auto"/>
              <w:jc w:val="center"/>
              <w:rPr>
                <w:rFonts w:ascii="Aptos Narrow" w:eastAsia="Times New Roman" w:hAnsi="Aptos Narrow"/>
                <w:color w:val="000000"/>
                <w:sz w:val="22"/>
                <w:szCs w:val="22"/>
              </w:rPr>
            </w:pPr>
          </w:p>
        </w:tc>
        <w:tc>
          <w:tcPr>
            <w:tcW w:w="960" w:type="dxa"/>
            <w:tcBorders>
              <w:top w:val="single" w:sz="4" w:space="0" w:color="auto"/>
            </w:tcBorders>
            <w:noWrap/>
            <w:vAlign w:val="bottom"/>
            <w:hideMark/>
          </w:tcPr>
          <w:p w14:paraId="3B71745E"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21,304</w:t>
            </w:r>
          </w:p>
        </w:tc>
        <w:tc>
          <w:tcPr>
            <w:tcW w:w="960" w:type="dxa"/>
            <w:tcBorders>
              <w:top w:val="single" w:sz="4" w:space="0" w:color="auto"/>
            </w:tcBorders>
            <w:noWrap/>
            <w:vAlign w:val="bottom"/>
            <w:hideMark/>
          </w:tcPr>
          <w:p w14:paraId="0A8A08A4"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w:t>
            </w:r>
          </w:p>
        </w:tc>
        <w:tc>
          <w:tcPr>
            <w:tcW w:w="660" w:type="dxa"/>
            <w:tcBorders>
              <w:top w:val="single" w:sz="4" w:space="0" w:color="auto"/>
            </w:tcBorders>
            <w:noWrap/>
            <w:vAlign w:val="bottom"/>
            <w:hideMark/>
          </w:tcPr>
          <w:p w14:paraId="6C7A2623"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w:t>
            </w:r>
          </w:p>
        </w:tc>
        <w:tc>
          <w:tcPr>
            <w:tcW w:w="572" w:type="dxa"/>
            <w:tcBorders>
              <w:top w:val="single" w:sz="4" w:space="0" w:color="auto"/>
            </w:tcBorders>
            <w:noWrap/>
            <w:vAlign w:val="bottom"/>
            <w:hideMark/>
          </w:tcPr>
          <w:p w14:paraId="2515ED26"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w:t>
            </w:r>
          </w:p>
        </w:tc>
        <w:tc>
          <w:tcPr>
            <w:tcW w:w="1212" w:type="dxa"/>
            <w:tcBorders>
              <w:top w:val="single" w:sz="4" w:space="0" w:color="auto"/>
            </w:tcBorders>
            <w:noWrap/>
            <w:vAlign w:val="bottom"/>
            <w:hideMark/>
          </w:tcPr>
          <w:p w14:paraId="55379BF3" w14:textId="5E1D6F31"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0.1</w:t>
            </w:r>
            <w:r>
              <w:rPr>
                <w:rFonts w:ascii="Aptos Narrow" w:eastAsia="Times New Roman" w:hAnsi="Aptos Narrow"/>
                <w:color w:val="000000"/>
                <w:sz w:val="22"/>
                <w:szCs w:val="22"/>
              </w:rPr>
              <w:t>%</w:t>
            </w:r>
          </w:p>
        </w:tc>
      </w:tr>
      <w:tr w:rsidR="00BC4183" w:rsidRPr="00B25792" w14:paraId="7D409F51" w14:textId="77777777" w:rsidTr="00BC4183">
        <w:trPr>
          <w:trHeight w:val="288"/>
        </w:trPr>
        <w:tc>
          <w:tcPr>
            <w:tcW w:w="3240" w:type="dxa"/>
            <w:noWrap/>
            <w:vAlign w:val="bottom"/>
            <w:hideMark/>
          </w:tcPr>
          <w:p w14:paraId="6B45A81B" w14:textId="4ADD7CA9" w:rsidR="00BC4183" w:rsidRPr="00B25792" w:rsidRDefault="00BC4183" w:rsidP="00BC4183">
            <w:pPr>
              <w:spacing w:after="0" w:line="240" w:lineRule="auto"/>
              <w:rPr>
                <w:rFonts w:ascii="Aptos Narrow" w:eastAsia="Times New Roman" w:hAnsi="Aptos Narrow"/>
                <w:color w:val="000000"/>
                <w:sz w:val="22"/>
                <w:szCs w:val="22"/>
              </w:rPr>
            </w:pPr>
            <w:r w:rsidRPr="00BC4183">
              <w:rPr>
                <w:rFonts w:eastAsia="Times New Roman"/>
                <w:color w:val="000000"/>
                <w:sz w:val="20"/>
                <w:szCs w:val="20"/>
              </w:rPr>
              <w:t>Sexual IPV</w:t>
            </w:r>
          </w:p>
        </w:tc>
        <w:tc>
          <w:tcPr>
            <w:tcW w:w="810" w:type="dxa"/>
            <w:noWrap/>
            <w:vAlign w:val="bottom"/>
            <w:hideMark/>
          </w:tcPr>
          <w:p w14:paraId="6A4F034D"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51</w:t>
            </w:r>
          </w:p>
        </w:tc>
        <w:tc>
          <w:tcPr>
            <w:tcW w:w="750" w:type="dxa"/>
            <w:noWrap/>
            <w:vAlign w:val="bottom"/>
            <w:hideMark/>
          </w:tcPr>
          <w:p w14:paraId="743E8599" w14:textId="77777777" w:rsidR="00BC4183" w:rsidRPr="00B25792" w:rsidRDefault="00BC4183" w:rsidP="00BC4183">
            <w:pPr>
              <w:spacing w:after="0" w:line="240" w:lineRule="auto"/>
              <w:jc w:val="center"/>
              <w:rPr>
                <w:rFonts w:ascii="Aptos Narrow" w:eastAsia="Times New Roman" w:hAnsi="Aptos Narrow"/>
                <w:color w:val="000000"/>
                <w:sz w:val="22"/>
                <w:szCs w:val="22"/>
              </w:rPr>
            </w:pPr>
          </w:p>
        </w:tc>
        <w:tc>
          <w:tcPr>
            <w:tcW w:w="960" w:type="dxa"/>
            <w:noWrap/>
            <w:vAlign w:val="bottom"/>
            <w:hideMark/>
          </w:tcPr>
          <w:p w14:paraId="1D983C9D"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21,273</w:t>
            </w:r>
          </w:p>
        </w:tc>
        <w:tc>
          <w:tcPr>
            <w:tcW w:w="960" w:type="dxa"/>
            <w:noWrap/>
            <w:vAlign w:val="bottom"/>
            <w:hideMark/>
          </w:tcPr>
          <w:p w14:paraId="745A1A97"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w:t>
            </w:r>
          </w:p>
        </w:tc>
        <w:tc>
          <w:tcPr>
            <w:tcW w:w="660" w:type="dxa"/>
            <w:noWrap/>
            <w:vAlign w:val="bottom"/>
            <w:hideMark/>
          </w:tcPr>
          <w:p w14:paraId="3FBAFE9A"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w:t>
            </w:r>
          </w:p>
        </w:tc>
        <w:tc>
          <w:tcPr>
            <w:tcW w:w="572" w:type="dxa"/>
            <w:noWrap/>
            <w:vAlign w:val="bottom"/>
            <w:hideMark/>
          </w:tcPr>
          <w:p w14:paraId="03C63B95"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w:t>
            </w:r>
          </w:p>
        </w:tc>
        <w:tc>
          <w:tcPr>
            <w:tcW w:w="1212" w:type="dxa"/>
            <w:noWrap/>
            <w:vAlign w:val="bottom"/>
            <w:hideMark/>
          </w:tcPr>
          <w:p w14:paraId="66E86A3D" w14:textId="2A3F9ECB"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0.2</w:t>
            </w:r>
            <w:r>
              <w:rPr>
                <w:rFonts w:ascii="Aptos Narrow" w:eastAsia="Times New Roman" w:hAnsi="Aptos Narrow"/>
                <w:color w:val="000000"/>
                <w:sz w:val="22"/>
                <w:szCs w:val="22"/>
              </w:rPr>
              <w:t>%</w:t>
            </w:r>
          </w:p>
        </w:tc>
      </w:tr>
      <w:tr w:rsidR="00BC4183" w:rsidRPr="00B25792" w14:paraId="2F80B366" w14:textId="77777777" w:rsidTr="00BC4183">
        <w:trPr>
          <w:trHeight w:val="288"/>
        </w:trPr>
        <w:tc>
          <w:tcPr>
            <w:tcW w:w="3240" w:type="dxa"/>
            <w:noWrap/>
            <w:vAlign w:val="bottom"/>
            <w:hideMark/>
          </w:tcPr>
          <w:p w14:paraId="332CDB9D" w14:textId="73484D9A" w:rsidR="00BC4183" w:rsidRPr="00B25792" w:rsidRDefault="00BC4183" w:rsidP="00BC4183">
            <w:pPr>
              <w:spacing w:after="0" w:line="240" w:lineRule="auto"/>
              <w:rPr>
                <w:rFonts w:ascii="Aptos Narrow" w:eastAsia="Times New Roman" w:hAnsi="Aptos Narrow"/>
                <w:color w:val="000000"/>
                <w:sz w:val="22"/>
                <w:szCs w:val="22"/>
              </w:rPr>
            </w:pPr>
            <w:r w:rsidRPr="00BC4183">
              <w:rPr>
                <w:rFonts w:eastAsia="Times New Roman"/>
                <w:color w:val="000000"/>
                <w:sz w:val="20"/>
                <w:szCs w:val="20"/>
              </w:rPr>
              <w:t>Physical IPV</w:t>
            </w:r>
          </w:p>
        </w:tc>
        <w:tc>
          <w:tcPr>
            <w:tcW w:w="810" w:type="dxa"/>
            <w:noWrap/>
            <w:vAlign w:val="bottom"/>
            <w:hideMark/>
          </w:tcPr>
          <w:p w14:paraId="5AF1F32B"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20</w:t>
            </w:r>
          </w:p>
        </w:tc>
        <w:tc>
          <w:tcPr>
            <w:tcW w:w="750" w:type="dxa"/>
            <w:noWrap/>
            <w:vAlign w:val="bottom"/>
            <w:hideMark/>
          </w:tcPr>
          <w:p w14:paraId="0F0AB05C" w14:textId="77777777" w:rsidR="00BC4183" w:rsidRPr="00B25792" w:rsidRDefault="00BC4183" w:rsidP="00BC4183">
            <w:pPr>
              <w:spacing w:after="0" w:line="240" w:lineRule="auto"/>
              <w:jc w:val="center"/>
              <w:rPr>
                <w:rFonts w:ascii="Aptos Narrow" w:eastAsia="Times New Roman" w:hAnsi="Aptos Narrow"/>
                <w:color w:val="000000"/>
                <w:sz w:val="22"/>
                <w:szCs w:val="22"/>
              </w:rPr>
            </w:pPr>
          </w:p>
        </w:tc>
        <w:tc>
          <w:tcPr>
            <w:tcW w:w="960" w:type="dxa"/>
            <w:noWrap/>
            <w:vAlign w:val="bottom"/>
            <w:hideMark/>
          </w:tcPr>
          <w:p w14:paraId="281C76F1"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21,304</w:t>
            </w:r>
          </w:p>
        </w:tc>
        <w:tc>
          <w:tcPr>
            <w:tcW w:w="960" w:type="dxa"/>
            <w:noWrap/>
            <w:vAlign w:val="bottom"/>
            <w:hideMark/>
          </w:tcPr>
          <w:p w14:paraId="670BB3E5"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w:t>
            </w:r>
          </w:p>
        </w:tc>
        <w:tc>
          <w:tcPr>
            <w:tcW w:w="660" w:type="dxa"/>
            <w:noWrap/>
            <w:vAlign w:val="bottom"/>
            <w:hideMark/>
          </w:tcPr>
          <w:p w14:paraId="470148CF"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w:t>
            </w:r>
          </w:p>
        </w:tc>
        <w:tc>
          <w:tcPr>
            <w:tcW w:w="572" w:type="dxa"/>
            <w:noWrap/>
            <w:vAlign w:val="bottom"/>
            <w:hideMark/>
          </w:tcPr>
          <w:p w14:paraId="17530744"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w:t>
            </w:r>
          </w:p>
        </w:tc>
        <w:tc>
          <w:tcPr>
            <w:tcW w:w="1212" w:type="dxa"/>
            <w:noWrap/>
            <w:vAlign w:val="bottom"/>
            <w:hideMark/>
          </w:tcPr>
          <w:p w14:paraId="674A7BEA" w14:textId="65BB8C1D"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0.1</w:t>
            </w:r>
            <w:r>
              <w:rPr>
                <w:rFonts w:ascii="Aptos Narrow" w:eastAsia="Times New Roman" w:hAnsi="Aptos Narrow"/>
                <w:color w:val="000000"/>
                <w:sz w:val="22"/>
                <w:szCs w:val="22"/>
              </w:rPr>
              <w:t>%</w:t>
            </w:r>
          </w:p>
        </w:tc>
      </w:tr>
      <w:tr w:rsidR="00BC4183" w:rsidRPr="00B25792" w14:paraId="14450D5F" w14:textId="77777777" w:rsidTr="00BC4183">
        <w:trPr>
          <w:trHeight w:val="288"/>
        </w:trPr>
        <w:tc>
          <w:tcPr>
            <w:tcW w:w="3240" w:type="dxa"/>
            <w:noWrap/>
            <w:vAlign w:val="bottom"/>
            <w:hideMark/>
          </w:tcPr>
          <w:p w14:paraId="776F1F67" w14:textId="28E026B2" w:rsidR="00BC4183" w:rsidRPr="00B25792" w:rsidRDefault="00BC4183" w:rsidP="00BC4183">
            <w:pPr>
              <w:spacing w:after="0" w:line="240" w:lineRule="auto"/>
              <w:rPr>
                <w:rFonts w:ascii="Aptos Narrow" w:eastAsia="Times New Roman" w:hAnsi="Aptos Narrow"/>
                <w:color w:val="000000"/>
                <w:sz w:val="22"/>
                <w:szCs w:val="22"/>
              </w:rPr>
            </w:pPr>
            <w:r w:rsidRPr="00BC4183">
              <w:rPr>
                <w:rFonts w:eastAsia="Times New Roman"/>
                <w:color w:val="000000"/>
                <w:sz w:val="20"/>
                <w:szCs w:val="20"/>
              </w:rPr>
              <w:t>Any IPV</w:t>
            </w:r>
          </w:p>
        </w:tc>
        <w:tc>
          <w:tcPr>
            <w:tcW w:w="810" w:type="dxa"/>
            <w:noWrap/>
            <w:vAlign w:val="bottom"/>
            <w:hideMark/>
          </w:tcPr>
          <w:p w14:paraId="7D1499F7"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24</w:t>
            </w:r>
          </w:p>
        </w:tc>
        <w:tc>
          <w:tcPr>
            <w:tcW w:w="750" w:type="dxa"/>
            <w:noWrap/>
            <w:vAlign w:val="bottom"/>
            <w:hideMark/>
          </w:tcPr>
          <w:p w14:paraId="1A639A22" w14:textId="77777777" w:rsidR="00BC4183" w:rsidRPr="00B25792" w:rsidRDefault="00BC4183" w:rsidP="00BC4183">
            <w:pPr>
              <w:spacing w:after="0" w:line="240" w:lineRule="auto"/>
              <w:jc w:val="center"/>
              <w:rPr>
                <w:rFonts w:ascii="Aptos Narrow" w:eastAsia="Times New Roman" w:hAnsi="Aptos Narrow"/>
                <w:color w:val="000000"/>
                <w:sz w:val="22"/>
                <w:szCs w:val="22"/>
              </w:rPr>
            </w:pPr>
          </w:p>
        </w:tc>
        <w:tc>
          <w:tcPr>
            <w:tcW w:w="960" w:type="dxa"/>
            <w:noWrap/>
            <w:vAlign w:val="bottom"/>
            <w:hideMark/>
          </w:tcPr>
          <w:p w14:paraId="7A1CD880"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21,300</w:t>
            </w:r>
          </w:p>
        </w:tc>
        <w:tc>
          <w:tcPr>
            <w:tcW w:w="960" w:type="dxa"/>
            <w:noWrap/>
            <w:vAlign w:val="bottom"/>
            <w:hideMark/>
          </w:tcPr>
          <w:p w14:paraId="3FAA91A6"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w:t>
            </w:r>
          </w:p>
        </w:tc>
        <w:tc>
          <w:tcPr>
            <w:tcW w:w="660" w:type="dxa"/>
            <w:noWrap/>
            <w:vAlign w:val="bottom"/>
            <w:hideMark/>
          </w:tcPr>
          <w:p w14:paraId="0DA25D8E"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w:t>
            </w:r>
          </w:p>
        </w:tc>
        <w:tc>
          <w:tcPr>
            <w:tcW w:w="572" w:type="dxa"/>
            <w:noWrap/>
            <w:vAlign w:val="bottom"/>
            <w:hideMark/>
          </w:tcPr>
          <w:p w14:paraId="28EBD8AB"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w:t>
            </w:r>
          </w:p>
        </w:tc>
        <w:tc>
          <w:tcPr>
            <w:tcW w:w="1212" w:type="dxa"/>
            <w:noWrap/>
            <w:vAlign w:val="bottom"/>
            <w:hideMark/>
          </w:tcPr>
          <w:p w14:paraId="7AE3E7EB" w14:textId="66FB217B"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0.1</w:t>
            </w:r>
            <w:r>
              <w:rPr>
                <w:rFonts w:ascii="Aptos Narrow" w:eastAsia="Times New Roman" w:hAnsi="Aptos Narrow"/>
                <w:color w:val="000000"/>
                <w:sz w:val="22"/>
                <w:szCs w:val="22"/>
              </w:rPr>
              <w:t>%</w:t>
            </w:r>
          </w:p>
        </w:tc>
      </w:tr>
      <w:tr w:rsidR="00BC4183" w:rsidRPr="00B25792" w14:paraId="2CBDA72B" w14:textId="77777777" w:rsidTr="00BC4183">
        <w:trPr>
          <w:trHeight w:val="288"/>
        </w:trPr>
        <w:tc>
          <w:tcPr>
            <w:tcW w:w="3240" w:type="dxa"/>
            <w:noWrap/>
            <w:vAlign w:val="bottom"/>
            <w:hideMark/>
          </w:tcPr>
          <w:p w14:paraId="13549D65" w14:textId="41666D53" w:rsidR="00BC4183" w:rsidRPr="00B25792" w:rsidRDefault="00BC4183" w:rsidP="00BC4183">
            <w:pPr>
              <w:spacing w:after="0" w:line="240" w:lineRule="auto"/>
              <w:rPr>
                <w:rFonts w:ascii="Aptos Narrow" w:eastAsia="Times New Roman" w:hAnsi="Aptos Narrow"/>
                <w:color w:val="000000"/>
                <w:sz w:val="22"/>
                <w:szCs w:val="22"/>
              </w:rPr>
            </w:pPr>
            <w:r w:rsidRPr="00BC4183">
              <w:rPr>
                <w:rFonts w:eastAsia="Times New Roman"/>
                <w:color w:val="000000"/>
                <w:sz w:val="20"/>
                <w:szCs w:val="20"/>
              </w:rPr>
              <w:t>IPV justification</w:t>
            </w:r>
          </w:p>
        </w:tc>
        <w:tc>
          <w:tcPr>
            <w:tcW w:w="810" w:type="dxa"/>
            <w:noWrap/>
            <w:vAlign w:val="bottom"/>
            <w:hideMark/>
          </w:tcPr>
          <w:p w14:paraId="3026E6D0"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1,925</w:t>
            </w:r>
          </w:p>
        </w:tc>
        <w:tc>
          <w:tcPr>
            <w:tcW w:w="750" w:type="dxa"/>
            <w:noWrap/>
            <w:vAlign w:val="bottom"/>
            <w:hideMark/>
          </w:tcPr>
          <w:p w14:paraId="5F71791A" w14:textId="77777777" w:rsidR="00BC4183" w:rsidRPr="00B25792" w:rsidRDefault="00BC4183" w:rsidP="00BC4183">
            <w:pPr>
              <w:spacing w:after="0" w:line="240" w:lineRule="auto"/>
              <w:jc w:val="center"/>
              <w:rPr>
                <w:rFonts w:ascii="Aptos Narrow" w:eastAsia="Times New Roman" w:hAnsi="Aptos Narrow"/>
                <w:color w:val="000000"/>
                <w:sz w:val="22"/>
                <w:szCs w:val="22"/>
              </w:rPr>
            </w:pPr>
          </w:p>
        </w:tc>
        <w:tc>
          <w:tcPr>
            <w:tcW w:w="960" w:type="dxa"/>
            <w:noWrap/>
            <w:vAlign w:val="bottom"/>
            <w:hideMark/>
          </w:tcPr>
          <w:p w14:paraId="1F3FB57C"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19,399</w:t>
            </w:r>
          </w:p>
        </w:tc>
        <w:tc>
          <w:tcPr>
            <w:tcW w:w="960" w:type="dxa"/>
            <w:noWrap/>
            <w:vAlign w:val="bottom"/>
            <w:hideMark/>
          </w:tcPr>
          <w:p w14:paraId="6A22241F"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3</w:t>
            </w:r>
          </w:p>
        </w:tc>
        <w:tc>
          <w:tcPr>
            <w:tcW w:w="660" w:type="dxa"/>
            <w:noWrap/>
            <w:vAlign w:val="bottom"/>
            <w:hideMark/>
          </w:tcPr>
          <w:p w14:paraId="3AD09D71"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w:t>
            </w:r>
          </w:p>
        </w:tc>
        <w:tc>
          <w:tcPr>
            <w:tcW w:w="572" w:type="dxa"/>
            <w:noWrap/>
            <w:vAlign w:val="bottom"/>
            <w:hideMark/>
          </w:tcPr>
          <w:p w14:paraId="7034CC44"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3</w:t>
            </w:r>
          </w:p>
        </w:tc>
        <w:tc>
          <w:tcPr>
            <w:tcW w:w="1212" w:type="dxa"/>
            <w:noWrap/>
            <w:vAlign w:val="bottom"/>
            <w:hideMark/>
          </w:tcPr>
          <w:p w14:paraId="348D5333" w14:textId="7C53305D"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9.0</w:t>
            </w:r>
            <w:r>
              <w:rPr>
                <w:rFonts w:ascii="Aptos Narrow" w:eastAsia="Times New Roman" w:hAnsi="Aptos Narrow"/>
                <w:color w:val="000000"/>
                <w:sz w:val="22"/>
                <w:szCs w:val="22"/>
              </w:rPr>
              <w:t>%</w:t>
            </w:r>
          </w:p>
        </w:tc>
      </w:tr>
      <w:tr w:rsidR="00BC4183" w:rsidRPr="00B25792" w14:paraId="14263223" w14:textId="77777777" w:rsidTr="00BC4183">
        <w:trPr>
          <w:trHeight w:val="288"/>
        </w:trPr>
        <w:tc>
          <w:tcPr>
            <w:tcW w:w="3240" w:type="dxa"/>
            <w:noWrap/>
            <w:vAlign w:val="bottom"/>
            <w:hideMark/>
          </w:tcPr>
          <w:p w14:paraId="02C2D5B8" w14:textId="7E736392" w:rsidR="00BC4183" w:rsidRPr="00B25792" w:rsidRDefault="00BC4183" w:rsidP="00BC4183">
            <w:pPr>
              <w:spacing w:after="0" w:line="240" w:lineRule="auto"/>
              <w:rPr>
                <w:rFonts w:ascii="Aptos Narrow" w:eastAsia="Times New Roman" w:hAnsi="Aptos Narrow"/>
                <w:color w:val="000000"/>
                <w:sz w:val="22"/>
                <w:szCs w:val="22"/>
              </w:rPr>
            </w:pPr>
            <w:r w:rsidRPr="00BC4183">
              <w:rPr>
                <w:color w:val="000000"/>
                <w:sz w:val="20"/>
                <w:szCs w:val="20"/>
              </w:rPr>
              <w:t>Husband drinks alcohol</w:t>
            </w:r>
          </w:p>
        </w:tc>
        <w:tc>
          <w:tcPr>
            <w:tcW w:w="810" w:type="dxa"/>
            <w:noWrap/>
            <w:vAlign w:val="bottom"/>
            <w:hideMark/>
          </w:tcPr>
          <w:p w14:paraId="078DB70F"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208</w:t>
            </w:r>
          </w:p>
        </w:tc>
        <w:tc>
          <w:tcPr>
            <w:tcW w:w="750" w:type="dxa"/>
            <w:noWrap/>
            <w:vAlign w:val="bottom"/>
            <w:hideMark/>
          </w:tcPr>
          <w:p w14:paraId="62B46B4E" w14:textId="77777777" w:rsidR="00BC4183" w:rsidRPr="00B25792" w:rsidRDefault="00BC4183" w:rsidP="00BC4183">
            <w:pPr>
              <w:spacing w:after="0" w:line="240" w:lineRule="auto"/>
              <w:jc w:val="center"/>
              <w:rPr>
                <w:rFonts w:ascii="Aptos Narrow" w:eastAsia="Times New Roman" w:hAnsi="Aptos Narrow"/>
                <w:color w:val="000000"/>
                <w:sz w:val="22"/>
                <w:szCs w:val="22"/>
              </w:rPr>
            </w:pPr>
          </w:p>
        </w:tc>
        <w:tc>
          <w:tcPr>
            <w:tcW w:w="960" w:type="dxa"/>
            <w:noWrap/>
            <w:vAlign w:val="bottom"/>
            <w:hideMark/>
          </w:tcPr>
          <w:p w14:paraId="3E856A4A"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21,116</w:t>
            </w:r>
          </w:p>
        </w:tc>
        <w:tc>
          <w:tcPr>
            <w:tcW w:w="960" w:type="dxa"/>
            <w:noWrap/>
            <w:vAlign w:val="bottom"/>
            <w:hideMark/>
          </w:tcPr>
          <w:p w14:paraId="1F4B7712"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4</w:t>
            </w:r>
          </w:p>
        </w:tc>
        <w:tc>
          <w:tcPr>
            <w:tcW w:w="660" w:type="dxa"/>
            <w:noWrap/>
            <w:vAlign w:val="bottom"/>
            <w:hideMark/>
          </w:tcPr>
          <w:p w14:paraId="2D23AD61"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w:t>
            </w:r>
          </w:p>
        </w:tc>
        <w:tc>
          <w:tcPr>
            <w:tcW w:w="572" w:type="dxa"/>
            <w:noWrap/>
            <w:vAlign w:val="bottom"/>
            <w:hideMark/>
          </w:tcPr>
          <w:p w14:paraId="4CBF32C9"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3</w:t>
            </w:r>
          </w:p>
        </w:tc>
        <w:tc>
          <w:tcPr>
            <w:tcW w:w="1212" w:type="dxa"/>
            <w:noWrap/>
            <w:vAlign w:val="bottom"/>
            <w:hideMark/>
          </w:tcPr>
          <w:p w14:paraId="5E0C2CF9" w14:textId="1E73672F"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1.0</w:t>
            </w:r>
            <w:r>
              <w:rPr>
                <w:rFonts w:ascii="Aptos Narrow" w:eastAsia="Times New Roman" w:hAnsi="Aptos Narrow"/>
                <w:color w:val="000000"/>
                <w:sz w:val="22"/>
                <w:szCs w:val="22"/>
              </w:rPr>
              <w:t>%</w:t>
            </w:r>
          </w:p>
        </w:tc>
      </w:tr>
      <w:tr w:rsidR="00BC4183" w:rsidRPr="00B25792" w14:paraId="2834E0CA" w14:textId="77777777" w:rsidTr="00BC4183">
        <w:trPr>
          <w:trHeight w:val="288"/>
        </w:trPr>
        <w:tc>
          <w:tcPr>
            <w:tcW w:w="3240" w:type="dxa"/>
            <w:noWrap/>
            <w:vAlign w:val="bottom"/>
            <w:hideMark/>
          </w:tcPr>
          <w:p w14:paraId="185E2EDA" w14:textId="7BB79EBF" w:rsidR="00BC4183" w:rsidRPr="00B25792" w:rsidRDefault="00BC4183" w:rsidP="00BC4183">
            <w:pPr>
              <w:spacing w:after="0" w:line="240" w:lineRule="auto"/>
              <w:rPr>
                <w:rFonts w:ascii="Aptos Narrow" w:eastAsia="Times New Roman" w:hAnsi="Aptos Narrow"/>
                <w:color w:val="000000"/>
                <w:sz w:val="22"/>
                <w:szCs w:val="22"/>
              </w:rPr>
            </w:pPr>
            <w:r w:rsidRPr="00BC4183">
              <w:rPr>
                <w:rFonts w:eastAsia="Times New Roman"/>
                <w:color w:val="000000"/>
                <w:sz w:val="20"/>
                <w:szCs w:val="20"/>
              </w:rPr>
              <w:t>Work status</w:t>
            </w:r>
          </w:p>
        </w:tc>
        <w:tc>
          <w:tcPr>
            <w:tcW w:w="810" w:type="dxa"/>
            <w:noWrap/>
            <w:vAlign w:val="bottom"/>
            <w:hideMark/>
          </w:tcPr>
          <w:p w14:paraId="70381545"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69</w:t>
            </w:r>
          </w:p>
        </w:tc>
        <w:tc>
          <w:tcPr>
            <w:tcW w:w="750" w:type="dxa"/>
            <w:noWrap/>
            <w:vAlign w:val="bottom"/>
            <w:hideMark/>
          </w:tcPr>
          <w:p w14:paraId="3294DB1F" w14:textId="77777777" w:rsidR="00BC4183" w:rsidRPr="00B25792" w:rsidRDefault="00BC4183" w:rsidP="00BC4183">
            <w:pPr>
              <w:spacing w:after="0" w:line="240" w:lineRule="auto"/>
              <w:jc w:val="center"/>
              <w:rPr>
                <w:rFonts w:ascii="Aptos Narrow" w:eastAsia="Times New Roman" w:hAnsi="Aptos Narrow"/>
                <w:color w:val="000000"/>
                <w:sz w:val="22"/>
                <w:szCs w:val="22"/>
              </w:rPr>
            </w:pPr>
          </w:p>
        </w:tc>
        <w:tc>
          <w:tcPr>
            <w:tcW w:w="960" w:type="dxa"/>
            <w:noWrap/>
            <w:vAlign w:val="bottom"/>
            <w:hideMark/>
          </w:tcPr>
          <w:p w14:paraId="13A71333"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21,255</w:t>
            </w:r>
          </w:p>
        </w:tc>
        <w:tc>
          <w:tcPr>
            <w:tcW w:w="960" w:type="dxa"/>
            <w:noWrap/>
            <w:vAlign w:val="bottom"/>
            <w:hideMark/>
          </w:tcPr>
          <w:p w14:paraId="0B984454"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w:t>
            </w:r>
          </w:p>
        </w:tc>
        <w:tc>
          <w:tcPr>
            <w:tcW w:w="660" w:type="dxa"/>
            <w:noWrap/>
            <w:vAlign w:val="bottom"/>
            <w:hideMark/>
          </w:tcPr>
          <w:p w14:paraId="6B81F1DA"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w:t>
            </w:r>
          </w:p>
        </w:tc>
        <w:tc>
          <w:tcPr>
            <w:tcW w:w="572" w:type="dxa"/>
            <w:noWrap/>
            <w:vAlign w:val="bottom"/>
            <w:hideMark/>
          </w:tcPr>
          <w:p w14:paraId="73281FE5"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w:t>
            </w:r>
          </w:p>
        </w:tc>
        <w:tc>
          <w:tcPr>
            <w:tcW w:w="1212" w:type="dxa"/>
            <w:noWrap/>
            <w:vAlign w:val="bottom"/>
            <w:hideMark/>
          </w:tcPr>
          <w:p w14:paraId="655C7D04" w14:textId="4C4A323E"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0.3</w:t>
            </w:r>
            <w:r>
              <w:rPr>
                <w:rFonts w:ascii="Aptos Narrow" w:eastAsia="Times New Roman" w:hAnsi="Aptos Narrow"/>
                <w:color w:val="000000"/>
                <w:sz w:val="22"/>
                <w:szCs w:val="22"/>
              </w:rPr>
              <w:t>%</w:t>
            </w:r>
          </w:p>
        </w:tc>
      </w:tr>
      <w:tr w:rsidR="00BC4183" w:rsidRPr="00B25792" w14:paraId="034FFA3B" w14:textId="77777777" w:rsidTr="00BC4183">
        <w:trPr>
          <w:trHeight w:val="288"/>
        </w:trPr>
        <w:tc>
          <w:tcPr>
            <w:tcW w:w="3240" w:type="dxa"/>
            <w:noWrap/>
            <w:vAlign w:val="bottom"/>
            <w:hideMark/>
          </w:tcPr>
          <w:p w14:paraId="0FA07329" w14:textId="384C0A9B" w:rsidR="00BC4183" w:rsidRPr="00B25792" w:rsidRDefault="00BC4183" w:rsidP="00BC4183">
            <w:pPr>
              <w:spacing w:after="0" w:line="240" w:lineRule="auto"/>
              <w:rPr>
                <w:rFonts w:ascii="Aptos Narrow" w:eastAsia="Times New Roman" w:hAnsi="Aptos Narrow"/>
                <w:color w:val="000000"/>
                <w:sz w:val="22"/>
                <w:szCs w:val="22"/>
              </w:rPr>
            </w:pPr>
            <w:r w:rsidRPr="00BC4183">
              <w:rPr>
                <w:rFonts w:eastAsia="Times New Roman"/>
                <w:color w:val="000000"/>
                <w:sz w:val="20"/>
                <w:szCs w:val="20"/>
              </w:rPr>
              <w:t>Asset ownership</w:t>
            </w:r>
          </w:p>
        </w:tc>
        <w:tc>
          <w:tcPr>
            <w:tcW w:w="810" w:type="dxa"/>
            <w:noWrap/>
            <w:vAlign w:val="bottom"/>
            <w:hideMark/>
          </w:tcPr>
          <w:p w14:paraId="196EB434"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208</w:t>
            </w:r>
          </w:p>
        </w:tc>
        <w:tc>
          <w:tcPr>
            <w:tcW w:w="750" w:type="dxa"/>
            <w:noWrap/>
            <w:vAlign w:val="bottom"/>
            <w:hideMark/>
          </w:tcPr>
          <w:p w14:paraId="4703ED3B" w14:textId="77777777" w:rsidR="00BC4183" w:rsidRPr="00B25792" w:rsidRDefault="00BC4183" w:rsidP="00BC4183">
            <w:pPr>
              <w:spacing w:after="0" w:line="240" w:lineRule="auto"/>
              <w:jc w:val="center"/>
              <w:rPr>
                <w:rFonts w:ascii="Aptos Narrow" w:eastAsia="Times New Roman" w:hAnsi="Aptos Narrow"/>
                <w:color w:val="000000"/>
                <w:sz w:val="22"/>
                <w:szCs w:val="22"/>
              </w:rPr>
            </w:pPr>
          </w:p>
        </w:tc>
        <w:tc>
          <w:tcPr>
            <w:tcW w:w="960" w:type="dxa"/>
            <w:noWrap/>
            <w:vAlign w:val="bottom"/>
            <w:hideMark/>
          </w:tcPr>
          <w:p w14:paraId="7CB0CF11"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21,116</w:t>
            </w:r>
          </w:p>
        </w:tc>
        <w:tc>
          <w:tcPr>
            <w:tcW w:w="960" w:type="dxa"/>
            <w:noWrap/>
            <w:vAlign w:val="bottom"/>
            <w:hideMark/>
          </w:tcPr>
          <w:p w14:paraId="2604A8D4"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3</w:t>
            </w:r>
          </w:p>
        </w:tc>
        <w:tc>
          <w:tcPr>
            <w:tcW w:w="660" w:type="dxa"/>
            <w:noWrap/>
            <w:vAlign w:val="bottom"/>
            <w:hideMark/>
          </w:tcPr>
          <w:p w14:paraId="1BCD84FD"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w:t>
            </w:r>
          </w:p>
        </w:tc>
        <w:tc>
          <w:tcPr>
            <w:tcW w:w="572" w:type="dxa"/>
            <w:noWrap/>
            <w:vAlign w:val="bottom"/>
            <w:hideMark/>
          </w:tcPr>
          <w:p w14:paraId="3673ABB0"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3</w:t>
            </w:r>
          </w:p>
        </w:tc>
        <w:tc>
          <w:tcPr>
            <w:tcW w:w="1212" w:type="dxa"/>
            <w:noWrap/>
            <w:vAlign w:val="bottom"/>
            <w:hideMark/>
          </w:tcPr>
          <w:p w14:paraId="0E8E473F" w14:textId="557648E4"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1.0</w:t>
            </w:r>
            <w:r>
              <w:rPr>
                <w:rFonts w:ascii="Aptos Narrow" w:eastAsia="Times New Roman" w:hAnsi="Aptos Narrow"/>
                <w:color w:val="000000"/>
                <w:sz w:val="22"/>
                <w:szCs w:val="22"/>
              </w:rPr>
              <w:t>%</w:t>
            </w:r>
          </w:p>
        </w:tc>
      </w:tr>
      <w:tr w:rsidR="00BC4183" w:rsidRPr="00B25792" w14:paraId="2F65AD71" w14:textId="77777777" w:rsidTr="00BC4183">
        <w:trPr>
          <w:trHeight w:val="288"/>
        </w:trPr>
        <w:tc>
          <w:tcPr>
            <w:tcW w:w="3240" w:type="dxa"/>
            <w:noWrap/>
            <w:vAlign w:val="bottom"/>
            <w:hideMark/>
          </w:tcPr>
          <w:p w14:paraId="2E3F61B5" w14:textId="1D6CD64D" w:rsidR="00BC4183" w:rsidRPr="00B25792" w:rsidRDefault="00BC4183" w:rsidP="00BC4183">
            <w:pPr>
              <w:spacing w:after="0" w:line="240" w:lineRule="auto"/>
              <w:rPr>
                <w:rFonts w:ascii="Aptos Narrow" w:eastAsia="Times New Roman" w:hAnsi="Aptos Narrow"/>
                <w:color w:val="000000"/>
                <w:sz w:val="22"/>
                <w:szCs w:val="22"/>
              </w:rPr>
            </w:pPr>
            <w:r w:rsidRPr="00BC4183">
              <w:rPr>
                <w:rFonts w:eastAsia="Times New Roman"/>
                <w:color w:val="000000"/>
                <w:sz w:val="20"/>
                <w:szCs w:val="20"/>
              </w:rPr>
              <w:t>Husband education</w:t>
            </w:r>
          </w:p>
        </w:tc>
        <w:tc>
          <w:tcPr>
            <w:tcW w:w="810" w:type="dxa"/>
            <w:noWrap/>
            <w:vAlign w:val="bottom"/>
            <w:hideMark/>
          </w:tcPr>
          <w:p w14:paraId="5094200B"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39</w:t>
            </w:r>
          </w:p>
        </w:tc>
        <w:tc>
          <w:tcPr>
            <w:tcW w:w="750" w:type="dxa"/>
            <w:noWrap/>
            <w:vAlign w:val="bottom"/>
            <w:hideMark/>
          </w:tcPr>
          <w:p w14:paraId="5D9E14D2" w14:textId="77777777" w:rsidR="00BC4183" w:rsidRPr="00B25792" w:rsidRDefault="00BC4183" w:rsidP="00BC4183">
            <w:pPr>
              <w:spacing w:after="0" w:line="240" w:lineRule="auto"/>
              <w:jc w:val="center"/>
              <w:rPr>
                <w:rFonts w:ascii="Aptos Narrow" w:eastAsia="Times New Roman" w:hAnsi="Aptos Narrow"/>
                <w:color w:val="000000"/>
                <w:sz w:val="22"/>
                <w:szCs w:val="22"/>
              </w:rPr>
            </w:pPr>
          </w:p>
        </w:tc>
        <w:tc>
          <w:tcPr>
            <w:tcW w:w="960" w:type="dxa"/>
            <w:noWrap/>
            <w:vAlign w:val="bottom"/>
            <w:hideMark/>
          </w:tcPr>
          <w:p w14:paraId="1491996E"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21,285</w:t>
            </w:r>
          </w:p>
        </w:tc>
        <w:tc>
          <w:tcPr>
            <w:tcW w:w="960" w:type="dxa"/>
            <w:noWrap/>
            <w:vAlign w:val="bottom"/>
            <w:hideMark/>
          </w:tcPr>
          <w:p w14:paraId="30B7BBF9"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w:t>
            </w:r>
          </w:p>
        </w:tc>
        <w:tc>
          <w:tcPr>
            <w:tcW w:w="660" w:type="dxa"/>
            <w:noWrap/>
            <w:vAlign w:val="bottom"/>
            <w:hideMark/>
          </w:tcPr>
          <w:p w14:paraId="13B2FCFA"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w:t>
            </w:r>
          </w:p>
        </w:tc>
        <w:tc>
          <w:tcPr>
            <w:tcW w:w="572" w:type="dxa"/>
            <w:noWrap/>
            <w:vAlign w:val="bottom"/>
            <w:hideMark/>
          </w:tcPr>
          <w:p w14:paraId="549FBB2A"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w:t>
            </w:r>
          </w:p>
        </w:tc>
        <w:tc>
          <w:tcPr>
            <w:tcW w:w="1212" w:type="dxa"/>
            <w:noWrap/>
            <w:vAlign w:val="bottom"/>
            <w:hideMark/>
          </w:tcPr>
          <w:p w14:paraId="0EDC2AE1" w14:textId="35D740E6"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0.2</w:t>
            </w:r>
            <w:r>
              <w:rPr>
                <w:rFonts w:ascii="Aptos Narrow" w:eastAsia="Times New Roman" w:hAnsi="Aptos Narrow"/>
                <w:color w:val="000000"/>
                <w:sz w:val="22"/>
                <w:szCs w:val="22"/>
              </w:rPr>
              <w:t>%</w:t>
            </w:r>
          </w:p>
        </w:tc>
      </w:tr>
      <w:tr w:rsidR="00BC4183" w:rsidRPr="00B25792" w14:paraId="36CCF5F5" w14:textId="77777777" w:rsidTr="00BC4183">
        <w:trPr>
          <w:trHeight w:val="288"/>
        </w:trPr>
        <w:tc>
          <w:tcPr>
            <w:tcW w:w="3240" w:type="dxa"/>
            <w:noWrap/>
            <w:vAlign w:val="bottom"/>
            <w:hideMark/>
          </w:tcPr>
          <w:p w14:paraId="6ABB8843" w14:textId="2C0D09B3" w:rsidR="00BC4183" w:rsidRPr="00B25792" w:rsidRDefault="00BC4183" w:rsidP="00BC4183">
            <w:pPr>
              <w:spacing w:after="0" w:line="240" w:lineRule="auto"/>
              <w:rPr>
                <w:rFonts w:ascii="Aptos Narrow" w:eastAsia="Times New Roman" w:hAnsi="Aptos Narrow"/>
                <w:color w:val="000000"/>
                <w:sz w:val="22"/>
                <w:szCs w:val="22"/>
              </w:rPr>
            </w:pPr>
            <w:r w:rsidRPr="00BC4183">
              <w:rPr>
                <w:color w:val="000000"/>
                <w:sz w:val="20"/>
                <w:szCs w:val="20"/>
              </w:rPr>
              <w:t>Comparison of Partner’s Education</w:t>
            </w:r>
          </w:p>
        </w:tc>
        <w:tc>
          <w:tcPr>
            <w:tcW w:w="810" w:type="dxa"/>
            <w:noWrap/>
            <w:vAlign w:val="bottom"/>
            <w:hideMark/>
          </w:tcPr>
          <w:p w14:paraId="376765BB"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1,122</w:t>
            </w:r>
          </w:p>
        </w:tc>
        <w:tc>
          <w:tcPr>
            <w:tcW w:w="750" w:type="dxa"/>
            <w:noWrap/>
            <w:vAlign w:val="bottom"/>
            <w:hideMark/>
          </w:tcPr>
          <w:p w14:paraId="14B68649" w14:textId="77777777" w:rsidR="00BC4183" w:rsidRPr="00B25792" w:rsidRDefault="00BC4183" w:rsidP="00BC4183">
            <w:pPr>
              <w:spacing w:after="0" w:line="240" w:lineRule="auto"/>
              <w:jc w:val="center"/>
              <w:rPr>
                <w:rFonts w:ascii="Aptos Narrow" w:eastAsia="Times New Roman" w:hAnsi="Aptos Narrow"/>
                <w:color w:val="000000"/>
                <w:sz w:val="22"/>
                <w:szCs w:val="22"/>
              </w:rPr>
            </w:pPr>
          </w:p>
        </w:tc>
        <w:tc>
          <w:tcPr>
            <w:tcW w:w="960" w:type="dxa"/>
            <w:noWrap/>
            <w:vAlign w:val="bottom"/>
            <w:hideMark/>
          </w:tcPr>
          <w:p w14:paraId="394A5FB5"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20,202</w:t>
            </w:r>
          </w:p>
        </w:tc>
        <w:tc>
          <w:tcPr>
            <w:tcW w:w="960" w:type="dxa"/>
            <w:noWrap/>
            <w:vAlign w:val="bottom"/>
            <w:hideMark/>
          </w:tcPr>
          <w:p w14:paraId="75467DA4"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w:t>
            </w:r>
          </w:p>
        </w:tc>
        <w:tc>
          <w:tcPr>
            <w:tcW w:w="660" w:type="dxa"/>
            <w:noWrap/>
            <w:vAlign w:val="bottom"/>
            <w:hideMark/>
          </w:tcPr>
          <w:p w14:paraId="2C4EE315"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w:t>
            </w:r>
          </w:p>
        </w:tc>
        <w:tc>
          <w:tcPr>
            <w:tcW w:w="572" w:type="dxa"/>
            <w:noWrap/>
            <w:vAlign w:val="bottom"/>
            <w:hideMark/>
          </w:tcPr>
          <w:p w14:paraId="696A62AF"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w:t>
            </w:r>
          </w:p>
        </w:tc>
        <w:tc>
          <w:tcPr>
            <w:tcW w:w="1212" w:type="dxa"/>
            <w:noWrap/>
            <w:vAlign w:val="bottom"/>
            <w:hideMark/>
          </w:tcPr>
          <w:p w14:paraId="3158CD69" w14:textId="1DE18AE1"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5.3</w:t>
            </w:r>
            <w:r>
              <w:rPr>
                <w:rFonts w:ascii="Aptos Narrow" w:eastAsia="Times New Roman" w:hAnsi="Aptos Narrow"/>
                <w:color w:val="000000"/>
                <w:sz w:val="22"/>
                <w:szCs w:val="22"/>
              </w:rPr>
              <w:t>%</w:t>
            </w:r>
          </w:p>
        </w:tc>
      </w:tr>
      <w:tr w:rsidR="00BC4183" w:rsidRPr="00B25792" w14:paraId="304F595E" w14:textId="77777777" w:rsidTr="00BC4183">
        <w:trPr>
          <w:trHeight w:val="288"/>
        </w:trPr>
        <w:tc>
          <w:tcPr>
            <w:tcW w:w="3240" w:type="dxa"/>
            <w:tcBorders>
              <w:bottom w:val="single" w:sz="4" w:space="0" w:color="auto"/>
            </w:tcBorders>
            <w:noWrap/>
            <w:vAlign w:val="bottom"/>
            <w:hideMark/>
          </w:tcPr>
          <w:p w14:paraId="70049669" w14:textId="45A24A1E" w:rsidR="00BC4183" w:rsidRPr="00B25792" w:rsidRDefault="00BC4183" w:rsidP="00BC4183">
            <w:pPr>
              <w:spacing w:after="0" w:line="240" w:lineRule="auto"/>
              <w:rPr>
                <w:rFonts w:ascii="Aptos Narrow" w:eastAsia="Times New Roman" w:hAnsi="Aptos Narrow"/>
                <w:color w:val="000000"/>
                <w:sz w:val="22"/>
                <w:szCs w:val="22"/>
              </w:rPr>
            </w:pPr>
            <w:r w:rsidRPr="00BC4183">
              <w:rPr>
                <w:rFonts w:eastAsia="Times New Roman"/>
                <w:color w:val="000000"/>
                <w:sz w:val="20"/>
                <w:szCs w:val="20"/>
              </w:rPr>
              <w:t xml:space="preserve">Ethnicity </w:t>
            </w:r>
          </w:p>
        </w:tc>
        <w:tc>
          <w:tcPr>
            <w:tcW w:w="810" w:type="dxa"/>
            <w:tcBorders>
              <w:bottom w:val="single" w:sz="4" w:space="0" w:color="auto"/>
            </w:tcBorders>
            <w:noWrap/>
            <w:vAlign w:val="bottom"/>
            <w:hideMark/>
          </w:tcPr>
          <w:p w14:paraId="7B0B3540"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33</w:t>
            </w:r>
          </w:p>
        </w:tc>
        <w:tc>
          <w:tcPr>
            <w:tcW w:w="750" w:type="dxa"/>
            <w:tcBorders>
              <w:bottom w:val="single" w:sz="4" w:space="0" w:color="auto"/>
            </w:tcBorders>
            <w:noWrap/>
            <w:vAlign w:val="bottom"/>
            <w:hideMark/>
          </w:tcPr>
          <w:p w14:paraId="7806C2DF" w14:textId="77777777" w:rsidR="00BC4183" w:rsidRPr="00B25792" w:rsidRDefault="00BC4183" w:rsidP="00BC4183">
            <w:pPr>
              <w:spacing w:after="0" w:line="240" w:lineRule="auto"/>
              <w:jc w:val="center"/>
              <w:rPr>
                <w:rFonts w:ascii="Aptos Narrow" w:eastAsia="Times New Roman" w:hAnsi="Aptos Narrow"/>
                <w:color w:val="000000"/>
                <w:sz w:val="22"/>
                <w:szCs w:val="22"/>
              </w:rPr>
            </w:pPr>
          </w:p>
        </w:tc>
        <w:tc>
          <w:tcPr>
            <w:tcW w:w="960" w:type="dxa"/>
            <w:tcBorders>
              <w:bottom w:val="single" w:sz="4" w:space="0" w:color="auto"/>
            </w:tcBorders>
            <w:noWrap/>
            <w:vAlign w:val="bottom"/>
            <w:hideMark/>
          </w:tcPr>
          <w:p w14:paraId="366ED122"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21,291</w:t>
            </w:r>
          </w:p>
        </w:tc>
        <w:tc>
          <w:tcPr>
            <w:tcW w:w="960" w:type="dxa"/>
            <w:tcBorders>
              <w:bottom w:val="single" w:sz="4" w:space="0" w:color="auto"/>
            </w:tcBorders>
            <w:noWrap/>
            <w:vAlign w:val="bottom"/>
            <w:hideMark/>
          </w:tcPr>
          <w:p w14:paraId="5459E363"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5</w:t>
            </w:r>
          </w:p>
        </w:tc>
        <w:tc>
          <w:tcPr>
            <w:tcW w:w="660" w:type="dxa"/>
            <w:tcBorders>
              <w:bottom w:val="single" w:sz="4" w:space="0" w:color="auto"/>
            </w:tcBorders>
            <w:noWrap/>
            <w:vAlign w:val="bottom"/>
            <w:hideMark/>
          </w:tcPr>
          <w:p w14:paraId="1775253C"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1</w:t>
            </w:r>
          </w:p>
        </w:tc>
        <w:tc>
          <w:tcPr>
            <w:tcW w:w="572" w:type="dxa"/>
            <w:tcBorders>
              <w:bottom w:val="single" w:sz="4" w:space="0" w:color="auto"/>
            </w:tcBorders>
            <w:noWrap/>
            <w:vAlign w:val="bottom"/>
            <w:hideMark/>
          </w:tcPr>
          <w:p w14:paraId="0422213A" w14:textId="77777777"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5</w:t>
            </w:r>
          </w:p>
        </w:tc>
        <w:tc>
          <w:tcPr>
            <w:tcW w:w="1212" w:type="dxa"/>
            <w:tcBorders>
              <w:bottom w:val="single" w:sz="4" w:space="0" w:color="auto"/>
            </w:tcBorders>
            <w:noWrap/>
            <w:vAlign w:val="bottom"/>
            <w:hideMark/>
          </w:tcPr>
          <w:p w14:paraId="2C616AEA" w14:textId="70998C9D" w:rsidR="00BC4183" w:rsidRPr="00B25792" w:rsidRDefault="00BC4183" w:rsidP="00BC4183">
            <w:pPr>
              <w:spacing w:after="0" w:line="240" w:lineRule="auto"/>
              <w:jc w:val="center"/>
              <w:rPr>
                <w:rFonts w:ascii="Aptos Narrow" w:eastAsia="Times New Roman" w:hAnsi="Aptos Narrow"/>
                <w:color w:val="000000"/>
                <w:sz w:val="22"/>
                <w:szCs w:val="22"/>
              </w:rPr>
            </w:pPr>
            <w:r w:rsidRPr="00B25792">
              <w:rPr>
                <w:rFonts w:ascii="Aptos Narrow" w:eastAsia="Times New Roman" w:hAnsi="Aptos Narrow"/>
                <w:color w:val="000000"/>
                <w:sz w:val="22"/>
                <w:szCs w:val="22"/>
              </w:rPr>
              <w:t>0.2</w:t>
            </w:r>
            <w:r>
              <w:rPr>
                <w:rFonts w:ascii="Aptos Narrow" w:eastAsia="Times New Roman" w:hAnsi="Aptos Narrow"/>
                <w:color w:val="000000"/>
                <w:sz w:val="22"/>
                <w:szCs w:val="22"/>
              </w:rPr>
              <w:t>%</w:t>
            </w:r>
          </w:p>
        </w:tc>
      </w:tr>
      <w:tr w:rsidR="00EB625C" w:rsidRPr="00B25792" w14:paraId="3F97F986" w14:textId="77777777" w:rsidTr="00BC4183">
        <w:trPr>
          <w:trHeight w:val="288"/>
        </w:trPr>
        <w:tc>
          <w:tcPr>
            <w:tcW w:w="9164" w:type="dxa"/>
            <w:gridSpan w:val="8"/>
            <w:tcBorders>
              <w:top w:val="single" w:sz="4" w:space="0" w:color="auto"/>
              <w:bottom w:val="nil"/>
            </w:tcBorders>
            <w:noWrap/>
            <w:vAlign w:val="bottom"/>
          </w:tcPr>
          <w:p w14:paraId="1E01A15C" w14:textId="7B1FC7A6" w:rsidR="00EB625C" w:rsidRPr="00B25792" w:rsidRDefault="00EB625C" w:rsidP="00EB625C">
            <w:pPr>
              <w:spacing w:after="0" w:line="240" w:lineRule="auto"/>
              <w:rPr>
                <w:rFonts w:ascii="Aptos Narrow" w:eastAsia="Times New Roman" w:hAnsi="Aptos Narrow"/>
                <w:color w:val="000000"/>
                <w:sz w:val="22"/>
                <w:szCs w:val="22"/>
              </w:rPr>
            </w:pPr>
            <w:r w:rsidRPr="00133431">
              <w:rPr>
                <w:i/>
                <w:iCs/>
                <w:sz w:val="18"/>
                <w:szCs w:val="18"/>
              </w:rPr>
              <w:t xml:space="preserve">Note: </w:t>
            </w:r>
            <w:r w:rsidRPr="00133431">
              <w:rPr>
                <w:i/>
                <w:iCs/>
                <w:sz w:val="18"/>
                <w:szCs w:val="18"/>
              </w:rPr>
              <w:fldChar w:fldCharType="begin"/>
            </w:r>
            <w:r w:rsidRPr="00133431">
              <w:rPr>
                <w:i/>
                <w:iCs/>
                <w:sz w:val="18"/>
                <w:szCs w:val="18"/>
              </w:rPr>
              <w:instrText xml:space="preserve"> SEQ Note: \* ARABIC </w:instrText>
            </w:r>
            <w:r w:rsidRPr="00133431">
              <w:rPr>
                <w:i/>
                <w:iCs/>
                <w:sz w:val="18"/>
                <w:szCs w:val="18"/>
              </w:rPr>
              <w:fldChar w:fldCharType="separate"/>
            </w:r>
            <w:r w:rsidRPr="00133431">
              <w:rPr>
                <w:i/>
                <w:iCs/>
                <w:noProof/>
                <w:sz w:val="18"/>
                <w:szCs w:val="18"/>
              </w:rPr>
              <w:t>1</w:t>
            </w:r>
            <w:r w:rsidRPr="00133431">
              <w:rPr>
                <w:i/>
                <w:iCs/>
                <w:sz w:val="18"/>
                <w:szCs w:val="18"/>
              </w:rPr>
              <w:fldChar w:fldCharType="end"/>
            </w:r>
            <w:r w:rsidRPr="00133431">
              <w:rPr>
                <w:i/>
                <w:iCs/>
                <w:sz w:val="18"/>
                <w:szCs w:val="18"/>
              </w:rPr>
              <w:t>.</w:t>
            </w:r>
            <w:r w:rsidRPr="00133431">
              <w:rPr>
                <w:sz w:val="18"/>
                <w:szCs w:val="18"/>
              </w:rPr>
              <w:t xml:space="preserve"> </w:t>
            </w:r>
            <w:r>
              <w:rPr>
                <w:sz w:val="18"/>
                <w:szCs w:val="18"/>
              </w:rPr>
              <w:t>This report is based on</w:t>
            </w:r>
            <w:r w:rsidRPr="00133431">
              <w:rPr>
                <w:sz w:val="18"/>
                <w:szCs w:val="18"/>
              </w:rPr>
              <w:t xml:space="preserve"> “</w:t>
            </w:r>
            <w:proofErr w:type="spellStart"/>
            <w:r w:rsidRPr="00133431">
              <w:rPr>
                <w:sz w:val="18"/>
                <w:szCs w:val="18"/>
              </w:rPr>
              <w:t>misstable</w:t>
            </w:r>
            <w:proofErr w:type="spellEnd"/>
            <w:r w:rsidRPr="00133431">
              <w:rPr>
                <w:sz w:val="18"/>
                <w:szCs w:val="18"/>
              </w:rPr>
              <w:t xml:space="preserve"> summarize” command in Stata</w:t>
            </w:r>
          </w:p>
        </w:tc>
      </w:tr>
    </w:tbl>
    <w:p w14:paraId="2D3A9D41" w14:textId="49E9A44D" w:rsidR="00F10EDB" w:rsidRDefault="00F10EDB" w:rsidP="00F10EDB"/>
    <w:tbl>
      <w:tblPr>
        <w:tblW w:w="9006" w:type="dxa"/>
        <w:tblLook w:val="04A0" w:firstRow="1" w:lastRow="0" w:firstColumn="1" w:lastColumn="0" w:noHBand="0" w:noVBand="1"/>
      </w:tblPr>
      <w:tblGrid>
        <w:gridCol w:w="3420"/>
        <w:gridCol w:w="1604"/>
        <w:gridCol w:w="1366"/>
        <w:gridCol w:w="1170"/>
        <w:gridCol w:w="1434"/>
        <w:gridCol w:w="12"/>
      </w:tblGrid>
      <w:tr w:rsidR="00EB625C" w:rsidRPr="00BC4183" w14:paraId="5688CD52" w14:textId="77777777" w:rsidTr="00BC4183">
        <w:trPr>
          <w:gridAfter w:val="1"/>
          <w:wAfter w:w="12" w:type="dxa"/>
          <w:trHeight w:val="293"/>
        </w:trPr>
        <w:tc>
          <w:tcPr>
            <w:tcW w:w="8994" w:type="dxa"/>
            <w:gridSpan w:val="5"/>
            <w:tcBorders>
              <w:top w:val="nil"/>
              <w:left w:val="nil"/>
              <w:bottom w:val="single" w:sz="4" w:space="0" w:color="auto"/>
              <w:right w:val="nil"/>
            </w:tcBorders>
            <w:noWrap/>
            <w:vAlign w:val="bottom"/>
          </w:tcPr>
          <w:p w14:paraId="4D1C6CDA" w14:textId="18BDEA5B" w:rsidR="00EB625C" w:rsidRPr="00BC4183" w:rsidRDefault="00EB625C" w:rsidP="00EB625C">
            <w:pPr>
              <w:spacing w:after="0" w:line="240" w:lineRule="auto"/>
              <w:rPr>
                <w:rFonts w:eastAsia="Times New Roman"/>
                <w:color w:val="000000"/>
                <w:sz w:val="20"/>
                <w:szCs w:val="20"/>
              </w:rPr>
            </w:pPr>
            <w:r w:rsidRPr="00BC4183">
              <w:rPr>
                <w:b/>
                <w:bCs/>
                <w:sz w:val="20"/>
                <w:szCs w:val="20"/>
              </w:rPr>
              <w:t xml:space="preserve">Table S </w:t>
            </w:r>
            <w:r w:rsidRPr="00BC4183">
              <w:rPr>
                <w:b/>
                <w:bCs/>
                <w:i/>
                <w:iCs/>
                <w:sz w:val="20"/>
                <w:szCs w:val="20"/>
              </w:rPr>
              <w:fldChar w:fldCharType="begin"/>
            </w:r>
            <w:r w:rsidRPr="00BC4183">
              <w:rPr>
                <w:b/>
                <w:bCs/>
                <w:sz w:val="20"/>
                <w:szCs w:val="20"/>
              </w:rPr>
              <w:instrText xml:space="preserve"> SEQ Table_S \* ARABIC </w:instrText>
            </w:r>
            <w:r w:rsidRPr="00BC4183">
              <w:rPr>
                <w:b/>
                <w:bCs/>
                <w:i/>
                <w:iCs/>
                <w:sz w:val="20"/>
                <w:szCs w:val="20"/>
              </w:rPr>
              <w:fldChar w:fldCharType="separate"/>
            </w:r>
            <w:r w:rsidR="003230D3">
              <w:rPr>
                <w:b/>
                <w:bCs/>
                <w:noProof/>
                <w:sz w:val="20"/>
                <w:szCs w:val="20"/>
              </w:rPr>
              <w:t>2</w:t>
            </w:r>
            <w:r w:rsidRPr="00BC4183">
              <w:rPr>
                <w:b/>
                <w:bCs/>
                <w:i/>
                <w:iCs/>
                <w:sz w:val="20"/>
                <w:szCs w:val="20"/>
              </w:rPr>
              <w:fldChar w:fldCharType="end"/>
            </w:r>
            <w:r w:rsidRPr="00BC4183">
              <w:rPr>
                <w:b/>
                <w:bCs/>
                <w:sz w:val="20"/>
                <w:szCs w:val="20"/>
              </w:rPr>
              <w:t>.</w:t>
            </w:r>
            <w:r w:rsidRPr="00BC4183">
              <w:rPr>
                <w:sz w:val="20"/>
                <w:szCs w:val="20"/>
              </w:rPr>
              <w:t xml:space="preserve"> Multiple imputation chained equations (MICE) results</w:t>
            </w:r>
          </w:p>
        </w:tc>
      </w:tr>
      <w:tr w:rsidR="00EB625C" w:rsidRPr="00BC4183" w14:paraId="7339C49A" w14:textId="77777777" w:rsidTr="00BC4183">
        <w:trPr>
          <w:gridAfter w:val="1"/>
          <w:wAfter w:w="12" w:type="dxa"/>
          <w:trHeight w:val="293"/>
        </w:trPr>
        <w:tc>
          <w:tcPr>
            <w:tcW w:w="8994" w:type="dxa"/>
            <w:gridSpan w:val="5"/>
            <w:tcBorders>
              <w:top w:val="single" w:sz="4" w:space="0" w:color="auto"/>
              <w:left w:val="nil"/>
              <w:bottom w:val="single" w:sz="4" w:space="0" w:color="auto"/>
              <w:right w:val="nil"/>
            </w:tcBorders>
            <w:noWrap/>
            <w:vAlign w:val="bottom"/>
          </w:tcPr>
          <w:p w14:paraId="35E3BC0E" w14:textId="77777777" w:rsidR="00EB625C" w:rsidRPr="00BC4183" w:rsidRDefault="00EB625C" w:rsidP="00EB625C">
            <w:pPr>
              <w:spacing w:after="0"/>
              <w:rPr>
                <w:sz w:val="20"/>
                <w:szCs w:val="20"/>
              </w:rPr>
            </w:pPr>
            <w:r w:rsidRPr="00BC4183">
              <w:rPr>
                <w:sz w:val="20"/>
                <w:szCs w:val="20"/>
              </w:rPr>
              <w:t>Multivariate imputation                        Imputations =        5</w:t>
            </w:r>
          </w:p>
          <w:p w14:paraId="7CB234CE" w14:textId="77777777" w:rsidR="00EB625C" w:rsidRPr="00BC4183" w:rsidRDefault="00EB625C" w:rsidP="00EB625C">
            <w:pPr>
              <w:spacing w:after="0"/>
              <w:rPr>
                <w:sz w:val="20"/>
                <w:szCs w:val="20"/>
              </w:rPr>
            </w:pPr>
            <w:r w:rsidRPr="00BC4183">
              <w:rPr>
                <w:sz w:val="20"/>
                <w:szCs w:val="20"/>
              </w:rPr>
              <w:t>Chained equations                                 added =        5</w:t>
            </w:r>
          </w:p>
          <w:p w14:paraId="5BA0CD3A" w14:textId="46D2F00A" w:rsidR="00EB625C" w:rsidRPr="00BC4183" w:rsidRDefault="00EB625C" w:rsidP="00EB625C">
            <w:pPr>
              <w:spacing w:after="0"/>
              <w:rPr>
                <w:sz w:val="20"/>
                <w:szCs w:val="20"/>
              </w:rPr>
            </w:pPr>
            <w:r w:rsidRPr="00BC4183">
              <w:rPr>
                <w:sz w:val="20"/>
                <w:szCs w:val="20"/>
              </w:rPr>
              <w:t>Imputed: m=1 through m=5                   updated =        0</w:t>
            </w:r>
          </w:p>
          <w:p w14:paraId="42EE16CB" w14:textId="77777777" w:rsidR="00EB625C" w:rsidRPr="00BC4183" w:rsidRDefault="00EB625C" w:rsidP="00EB625C">
            <w:pPr>
              <w:spacing w:after="0"/>
              <w:rPr>
                <w:sz w:val="20"/>
                <w:szCs w:val="20"/>
              </w:rPr>
            </w:pPr>
            <w:r w:rsidRPr="00BC4183">
              <w:rPr>
                <w:sz w:val="20"/>
                <w:szCs w:val="20"/>
              </w:rPr>
              <w:t>Initialization: monotone                        Iterations =       50</w:t>
            </w:r>
          </w:p>
          <w:p w14:paraId="6CD2EF78" w14:textId="42ED32BA" w:rsidR="00EB625C" w:rsidRPr="00BC4183" w:rsidRDefault="00EB625C" w:rsidP="00EB625C">
            <w:pPr>
              <w:spacing w:after="0" w:line="240" w:lineRule="auto"/>
              <w:rPr>
                <w:rFonts w:eastAsia="Times New Roman"/>
                <w:color w:val="000000"/>
                <w:sz w:val="20"/>
                <w:szCs w:val="20"/>
              </w:rPr>
            </w:pPr>
            <w:r w:rsidRPr="00BC4183">
              <w:rPr>
                <w:sz w:val="20"/>
                <w:szCs w:val="20"/>
              </w:rPr>
              <w:t>burn-in =       5</w:t>
            </w:r>
          </w:p>
        </w:tc>
      </w:tr>
      <w:tr w:rsidR="00EB625C" w:rsidRPr="00BC4183" w14:paraId="44570FFD" w14:textId="77777777" w:rsidTr="00BC4183">
        <w:trPr>
          <w:trHeight w:val="293"/>
        </w:trPr>
        <w:tc>
          <w:tcPr>
            <w:tcW w:w="3420" w:type="dxa"/>
            <w:tcBorders>
              <w:top w:val="single" w:sz="4" w:space="0" w:color="auto"/>
              <w:left w:val="nil"/>
              <w:bottom w:val="single" w:sz="4" w:space="0" w:color="auto"/>
              <w:right w:val="nil"/>
            </w:tcBorders>
            <w:noWrap/>
            <w:vAlign w:val="bottom"/>
            <w:hideMark/>
          </w:tcPr>
          <w:p w14:paraId="2515FFD9" w14:textId="77777777" w:rsidR="00EB625C" w:rsidRPr="00BC4183" w:rsidRDefault="00EB625C" w:rsidP="00EB625C">
            <w:pPr>
              <w:spacing w:after="0" w:line="240" w:lineRule="auto"/>
              <w:jc w:val="center"/>
              <w:rPr>
                <w:rFonts w:eastAsia="Times New Roman"/>
                <w:b/>
                <w:bCs/>
                <w:color w:val="000000"/>
                <w:sz w:val="20"/>
                <w:szCs w:val="20"/>
              </w:rPr>
            </w:pPr>
            <w:r w:rsidRPr="00BC4183">
              <w:rPr>
                <w:rFonts w:eastAsia="Times New Roman"/>
                <w:b/>
                <w:bCs/>
                <w:color w:val="000000"/>
                <w:sz w:val="20"/>
                <w:szCs w:val="20"/>
              </w:rPr>
              <w:t>Variable</w:t>
            </w:r>
          </w:p>
        </w:tc>
        <w:tc>
          <w:tcPr>
            <w:tcW w:w="1604" w:type="dxa"/>
            <w:tcBorders>
              <w:top w:val="single" w:sz="4" w:space="0" w:color="auto"/>
              <w:left w:val="nil"/>
              <w:bottom w:val="single" w:sz="4" w:space="0" w:color="auto"/>
              <w:right w:val="nil"/>
            </w:tcBorders>
            <w:noWrap/>
            <w:vAlign w:val="bottom"/>
            <w:hideMark/>
          </w:tcPr>
          <w:p w14:paraId="5804F096" w14:textId="77777777" w:rsidR="00EB625C" w:rsidRPr="00BC4183" w:rsidRDefault="00EB625C" w:rsidP="00EB625C">
            <w:pPr>
              <w:spacing w:after="0" w:line="240" w:lineRule="auto"/>
              <w:jc w:val="center"/>
              <w:rPr>
                <w:rFonts w:eastAsia="Times New Roman"/>
                <w:b/>
                <w:bCs/>
                <w:color w:val="000000"/>
                <w:sz w:val="20"/>
                <w:szCs w:val="20"/>
              </w:rPr>
            </w:pPr>
            <w:r w:rsidRPr="00BC4183">
              <w:rPr>
                <w:rFonts w:eastAsia="Times New Roman"/>
                <w:b/>
                <w:bCs/>
                <w:color w:val="000000"/>
                <w:sz w:val="20"/>
                <w:szCs w:val="20"/>
              </w:rPr>
              <w:t>Complete</w:t>
            </w:r>
          </w:p>
        </w:tc>
        <w:tc>
          <w:tcPr>
            <w:tcW w:w="1366" w:type="dxa"/>
            <w:tcBorders>
              <w:top w:val="single" w:sz="4" w:space="0" w:color="auto"/>
              <w:left w:val="nil"/>
              <w:bottom w:val="single" w:sz="4" w:space="0" w:color="auto"/>
              <w:right w:val="nil"/>
            </w:tcBorders>
            <w:noWrap/>
            <w:vAlign w:val="bottom"/>
            <w:hideMark/>
          </w:tcPr>
          <w:p w14:paraId="508E92A4" w14:textId="77777777" w:rsidR="00EB625C" w:rsidRPr="00BC4183" w:rsidRDefault="00EB625C" w:rsidP="00EB625C">
            <w:pPr>
              <w:spacing w:after="0" w:line="240" w:lineRule="auto"/>
              <w:jc w:val="center"/>
              <w:rPr>
                <w:rFonts w:eastAsia="Times New Roman"/>
                <w:b/>
                <w:bCs/>
                <w:color w:val="000000"/>
                <w:sz w:val="20"/>
                <w:szCs w:val="20"/>
              </w:rPr>
            </w:pPr>
            <w:r w:rsidRPr="00BC4183">
              <w:rPr>
                <w:rFonts w:eastAsia="Times New Roman"/>
                <w:b/>
                <w:bCs/>
                <w:color w:val="000000"/>
                <w:sz w:val="20"/>
                <w:szCs w:val="20"/>
              </w:rPr>
              <w:t>Incomplete</w:t>
            </w:r>
          </w:p>
        </w:tc>
        <w:tc>
          <w:tcPr>
            <w:tcW w:w="1170" w:type="dxa"/>
            <w:tcBorders>
              <w:top w:val="single" w:sz="4" w:space="0" w:color="auto"/>
              <w:left w:val="nil"/>
              <w:bottom w:val="single" w:sz="4" w:space="0" w:color="auto"/>
              <w:right w:val="nil"/>
            </w:tcBorders>
            <w:noWrap/>
            <w:vAlign w:val="bottom"/>
            <w:hideMark/>
          </w:tcPr>
          <w:p w14:paraId="089C89DA" w14:textId="77777777" w:rsidR="00EB625C" w:rsidRPr="00BC4183" w:rsidRDefault="00EB625C" w:rsidP="00EB625C">
            <w:pPr>
              <w:spacing w:after="0" w:line="240" w:lineRule="auto"/>
              <w:jc w:val="center"/>
              <w:rPr>
                <w:rFonts w:eastAsia="Times New Roman"/>
                <w:b/>
                <w:bCs/>
                <w:color w:val="000000"/>
                <w:sz w:val="20"/>
                <w:szCs w:val="20"/>
              </w:rPr>
            </w:pPr>
            <w:r w:rsidRPr="00BC4183">
              <w:rPr>
                <w:rFonts w:eastAsia="Times New Roman"/>
                <w:b/>
                <w:bCs/>
                <w:color w:val="000000"/>
                <w:sz w:val="20"/>
                <w:szCs w:val="20"/>
              </w:rPr>
              <w:t>Imputed</w:t>
            </w:r>
          </w:p>
        </w:tc>
        <w:tc>
          <w:tcPr>
            <w:tcW w:w="1446" w:type="dxa"/>
            <w:gridSpan w:val="2"/>
            <w:tcBorders>
              <w:top w:val="single" w:sz="4" w:space="0" w:color="auto"/>
              <w:left w:val="nil"/>
              <w:bottom w:val="single" w:sz="4" w:space="0" w:color="auto"/>
              <w:right w:val="nil"/>
            </w:tcBorders>
            <w:noWrap/>
            <w:vAlign w:val="bottom"/>
            <w:hideMark/>
          </w:tcPr>
          <w:p w14:paraId="786135BA" w14:textId="77777777" w:rsidR="00EB625C" w:rsidRPr="00BC4183" w:rsidRDefault="00EB625C" w:rsidP="00EB625C">
            <w:pPr>
              <w:spacing w:after="0" w:line="240" w:lineRule="auto"/>
              <w:jc w:val="center"/>
              <w:rPr>
                <w:rFonts w:eastAsia="Times New Roman"/>
                <w:b/>
                <w:bCs/>
                <w:color w:val="000000"/>
                <w:sz w:val="20"/>
                <w:szCs w:val="20"/>
              </w:rPr>
            </w:pPr>
            <w:r w:rsidRPr="00BC4183">
              <w:rPr>
                <w:rFonts w:eastAsia="Times New Roman"/>
                <w:b/>
                <w:bCs/>
                <w:color w:val="000000"/>
                <w:sz w:val="20"/>
                <w:szCs w:val="20"/>
              </w:rPr>
              <w:t>Total</w:t>
            </w:r>
          </w:p>
        </w:tc>
      </w:tr>
      <w:tr w:rsidR="00EB625C" w:rsidRPr="00BC4183" w14:paraId="08123BE5" w14:textId="77777777" w:rsidTr="00BC4183">
        <w:trPr>
          <w:trHeight w:val="293"/>
        </w:trPr>
        <w:tc>
          <w:tcPr>
            <w:tcW w:w="3420" w:type="dxa"/>
            <w:tcBorders>
              <w:top w:val="single" w:sz="4" w:space="0" w:color="auto"/>
              <w:left w:val="nil"/>
              <w:bottom w:val="nil"/>
              <w:right w:val="nil"/>
            </w:tcBorders>
            <w:noWrap/>
            <w:vAlign w:val="bottom"/>
            <w:hideMark/>
          </w:tcPr>
          <w:p w14:paraId="5B0D3AA5" w14:textId="0B0564F7" w:rsidR="00EB625C" w:rsidRPr="00BC4183" w:rsidRDefault="00EB625C" w:rsidP="00EB625C">
            <w:pPr>
              <w:spacing w:after="0" w:line="240" w:lineRule="auto"/>
              <w:rPr>
                <w:rFonts w:eastAsia="Times New Roman"/>
                <w:color w:val="000000"/>
                <w:sz w:val="20"/>
                <w:szCs w:val="20"/>
              </w:rPr>
            </w:pPr>
            <w:r w:rsidRPr="00BC4183">
              <w:rPr>
                <w:rFonts w:eastAsia="Times New Roman"/>
                <w:color w:val="000000"/>
                <w:sz w:val="20"/>
                <w:szCs w:val="20"/>
              </w:rPr>
              <w:t>Emotional IPV</w:t>
            </w:r>
          </w:p>
        </w:tc>
        <w:tc>
          <w:tcPr>
            <w:tcW w:w="1604" w:type="dxa"/>
            <w:tcBorders>
              <w:top w:val="single" w:sz="4" w:space="0" w:color="auto"/>
              <w:left w:val="nil"/>
              <w:bottom w:val="nil"/>
              <w:right w:val="nil"/>
            </w:tcBorders>
            <w:noWrap/>
            <w:vAlign w:val="bottom"/>
            <w:hideMark/>
          </w:tcPr>
          <w:p w14:paraId="258FAEB3"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21304</w:t>
            </w:r>
          </w:p>
        </w:tc>
        <w:tc>
          <w:tcPr>
            <w:tcW w:w="1366" w:type="dxa"/>
            <w:tcBorders>
              <w:top w:val="single" w:sz="4" w:space="0" w:color="auto"/>
              <w:left w:val="nil"/>
              <w:bottom w:val="nil"/>
              <w:right w:val="nil"/>
            </w:tcBorders>
            <w:noWrap/>
            <w:vAlign w:val="bottom"/>
            <w:hideMark/>
          </w:tcPr>
          <w:p w14:paraId="142DCBF1"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20</w:t>
            </w:r>
          </w:p>
        </w:tc>
        <w:tc>
          <w:tcPr>
            <w:tcW w:w="1170" w:type="dxa"/>
            <w:tcBorders>
              <w:top w:val="single" w:sz="4" w:space="0" w:color="auto"/>
              <w:left w:val="nil"/>
              <w:bottom w:val="nil"/>
              <w:right w:val="nil"/>
            </w:tcBorders>
            <w:noWrap/>
            <w:vAlign w:val="bottom"/>
            <w:hideMark/>
          </w:tcPr>
          <w:p w14:paraId="3BF597E5"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20</w:t>
            </w:r>
          </w:p>
        </w:tc>
        <w:tc>
          <w:tcPr>
            <w:tcW w:w="1446" w:type="dxa"/>
            <w:gridSpan w:val="2"/>
            <w:tcBorders>
              <w:top w:val="single" w:sz="4" w:space="0" w:color="auto"/>
              <w:left w:val="nil"/>
              <w:bottom w:val="nil"/>
              <w:right w:val="nil"/>
            </w:tcBorders>
            <w:noWrap/>
            <w:vAlign w:val="bottom"/>
            <w:hideMark/>
          </w:tcPr>
          <w:p w14:paraId="57D100A2"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21324</w:t>
            </w:r>
          </w:p>
        </w:tc>
      </w:tr>
      <w:tr w:rsidR="00EB625C" w:rsidRPr="00BC4183" w14:paraId="3E8981AD" w14:textId="77777777" w:rsidTr="00BC4183">
        <w:trPr>
          <w:trHeight w:val="293"/>
        </w:trPr>
        <w:tc>
          <w:tcPr>
            <w:tcW w:w="3420" w:type="dxa"/>
            <w:tcBorders>
              <w:top w:val="nil"/>
              <w:left w:val="nil"/>
              <w:bottom w:val="nil"/>
              <w:right w:val="nil"/>
            </w:tcBorders>
            <w:noWrap/>
            <w:vAlign w:val="bottom"/>
            <w:hideMark/>
          </w:tcPr>
          <w:p w14:paraId="3E906907" w14:textId="46A4C392" w:rsidR="00EB625C" w:rsidRPr="00BC4183" w:rsidRDefault="00EB625C" w:rsidP="00EB625C">
            <w:pPr>
              <w:spacing w:after="0" w:line="240" w:lineRule="auto"/>
              <w:rPr>
                <w:rFonts w:eastAsia="Times New Roman"/>
                <w:color w:val="000000"/>
                <w:sz w:val="20"/>
                <w:szCs w:val="20"/>
              </w:rPr>
            </w:pPr>
            <w:r w:rsidRPr="00BC4183">
              <w:rPr>
                <w:rFonts w:eastAsia="Times New Roman"/>
                <w:color w:val="000000"/>
                <w:sz w:val="20"/>
                <w:szCs w:val="20"/>
              </w:rPr>
              <w:t>Sexual IPV</w:t>
            </w:r>
          </w:p>
        </w:tc>
        <w:tc>
          <w:tcPr>
            <w:tcW w:w="1604" w:type="dxa"/>
            <w:tcBorders>
              <w:top w:val="nil"/>
              <w:left w:val="nil"/>
              <w:bottom w:val="nil"/>
              <w:right w:val="nil"/>
            </w:tcBorders>
            <w:noWrap/>
            <w:vAlign w:val="bottom"/>
            <w:hideMark/>
          </w:tcPr>
          <w:p w14:paraId="451A0B28"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21273</w:t>
            </w:r>
          </w:p>
        </w:tc>
        <w:tc>
          <w:tcPr>
            <w:tcW w:w="1366" w:type="dxa"/>
            <w:tcBorders>
              <w:top w:val="nil"/>
              <w:left w:val="nil"/>
              <w:bottom w:val="nil"/>
              <w:right w:val="nil"/>
            </w:tcBorders>
            <w:noWrap/>
            <w:vAlign w:val="bottom"/>
            <w:hideMark/>
          </w:tcPr>
          <w:p w14:paraId="132AE0AA"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51</w:t>
            </w:r>
          </w:p>
        </w:tc>
        <w:tc>
          <w:tcPr>
            <w:tcW w:w="1170" w:type="dxa"/>
            <w:tcBorders>
              <w:top w:val="nil"/>
              <w:left w:val="nil"/>
              <w:bottom w:val="nil"/>
              <w:right w:val="nil"/>
            </w:tcBorders>
            <w:noWrap/>
            <w:vAlign w:val="bottom"/>
            <w:hideMark/>
          </w:tcPr>
          <w:p w14:paraId="6EF99925"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51</w:t>
            </w:r>
          </w:p>
        </w:tc>
        <w:tc>
          <w:tcPr>
            <w:tcW w:w="1446" w:type="dxa"/>
            <w:gridSpan w:val="2"/>
            <w:tcBorders>
              <w:top w:val="nil"/>
              <w:left w:val="nil"/>
              <w:bottom w:val="nil"/>
              <w:right w:val="nil"/>
            </w:tcBorders>
            <w:noWrap/>
            <w:vAlign w:val="bottom"/>
            <w:hideMark/>
          </w:tcPr>
          <w:p w14:paraId="787513E7"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21324</w:t>
            </w:r>
          </w:p>
        </w:tc>
      </w:tr>
      <w:tr w:rsidR="00EB625C" w:rsidRPr="00BC4183" w14:paraId="0B310B15" w14:textId="77777777" w:rsidTr="00BC4183">
        <w:trPr>
          <w:trHeight w:val="293"/>
        </w:trPr>
        <w:tc>
          <w:tcPr>
            <w:tcW w:w="3420" w:type="dxa"/>
            <w:tcBorders>
              <w:top w:val="nil"/>
              <w:left w:val="nil"/>
              <w:bottom w:val="nil"/>
              <w:right w:val="nil"/>
            </w:tcBorders>
            <w:noWrap/>
            <w:vAlign w:val="bottom"/>
            <w:hideMark/>
          </w:tcPr>
          <w:p w14:paraId="3C408DF5" w14:textId="3829A3C4" w:rsidR="00EB625C" w:rsidRPr="00BC4183" w:rsidRDefault="00EB625C" w:rsidP="00EB625C">
            <w:pPr>
              <w:spacing w:after="0" w:line="240" w:lineRule="auto"/>
              <w:rPr>
                <w:rFonts w:eastAsia="Times New Roman"/>
                <w:color w:val="000000"/>
                <w:sz w:val="20"/>
                <w:szCs w:val="20"/>
              </w:rPr>
            </w:pPr>
            <w:r w:rsidRPr="00BC4183">
              <w:rPr>
                <w:rFonts w:eastAsia="Times New Roman"/>
                <w:color w:val="000000"/>
                <w:sz w:val="20"/>
                <w:szCs w:val="20"/>
              </w:rPr>
              <w:t>Physical IPV</w:t>
            </w:r>
          </w:p>
        </w:tc>
        <w:tc>
          <w:tcPr>
            <w:tcW w:w="1604" w:type="dxa"/>
            <w:tcBorders>
              <w:top w:val="nil"/>
              <w:left w:val="nil"/>
              <w:bottom w:val="nil"/>
              <w:right w:val="nil"/>
            </w:tcBorders>
            <w:noWrap/>
            <w:vAlign w:val="bottom"/>
            <w:hideMark/>
          </w:tcPr>
          <w:p w14:paraId="1392CE1E"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21304</w:t>
            </w:r>
          </w:p>
        </w:tc>
        <w:tc>
          <w:tcPr>
            <w:tcW w:w="1366" w:type="dxa"/>
            <w:tcBorders>
              <w:top w:val="nil"/>
              <w:left w:val="nil"/>
              <w:bottom w:val="nil"/>
              <w:right w:val="nil"/>
            </w:tcBorders>
            <w:noWrap/>
            <w:vAlign w:val="bottom"/>
            <w:hideMark/>
          </w:tcPr>
          <w:p w14:paraId="01FA0DC6"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20</w:t>
            </w:r>
          </w:p>
        </w:tc>
        <w:tc>
          <w:tcPr>
            <w:tcW w:w="1170" w:type="dxa"/>
            <w:tcBorders>
              <w:top w:val="nil"/>
              <w:left w:val="nil"/>
              <w:bottom w:val="nil"/>
              <w:right w:val="nil"/>
            </w:tcBorders>
            <w:noWrap/>
            <w:vAlign w:val="bottom"/>
            <w:hideMark/>
          </w:tcPr>
          <w:p w14:paraId="70EF133C"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20</w:t>
            </w:r>
          </w:p>
        </w:tc>
        <w:tc>
          <w:tcPr>
            <w:tcW w:w="1446" w:type="dxa"/>
            <w:gridSpan w:val="2"/>
            <w:tcBorders>
              <w:top w:val="nil"/>
              <w:left w:val="nil"/>
              <w:bottom w:val="nil"/>
              <w:right w:val="nil"/>
            </w:tcBorders>
            <w:noWrap/>
            <w:vAlign w:val="bottom"/>
            <w:hideMark/>
          </w:tcPr>
          <w:p w14:paraId="1EC1C862"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21324</w:t>
            </w:r>
          </w:p>
        </w:tc>
      </w:tr>
      <w:tr w:rsidR="00EB625C" w:rsidRPr="00BC4183" w14:paraId="3F96F72A" w14:textId="77777777" w:rsidTr="00BC4183">
        <w:trPr>
          <w:trHeight w:val="293"/>
        </w:trPr>
        <w:tc>
          <w:tcPr>
            <w:tcW w:w="3420" w:type="dxa"/>
            <w:tcBorders>
              <w:top w:val="nil"/>
              <w:left w:val="nil"/>
              <w:bottom w:val="nil"/>
              <w:right w:val="nil"/>
            </w:tcBorders>
            <w:noWrap/>
            <w:vAlign w:val="bottom"/>
            <w:hideMark/>
          </w:tcPr>
          <w:p w14:paraId="7382CFEF" w14:textId="3769A039" w:rsidR="00EB625C" w:rsidRPr="00BC4183" w:rsidRDefault="00EB625C" w:rsidP="00EB625C">
            <w:pPr>
              <w:spacing w:after="0" w:line="240" w:lineRule="auto"/>
              <w:rPr>
                <w:rFonts w:eastAsia="Times New Roman"/>
                <w:color w:val="000000"/>
                <w:sz w:val="20"/>
                <w:szCs w:val="20"/>
              </w:rPr>
            </w:pPr>
            <w:r w:rsidRPr="00BC4183">
              <w:rPr>
                <w:rFonts w:eastAsia="Times New Roman"/>
                <w:color w:val="000000"/>
                <w:sz w:val="20"/>
                <w:szCs w:val="20"/>
              </w:rPr>
              <w:t>Any IPV</w:t>
            </w:r>
          </w:p>
        </w:tc>
        <w:tc>
          <w:tcPr>
            <w:tcW w:w="1604" w:type="dxa"/>
            <w:tcBorders>
              <w:top w:val="nil"/>
              <w:left w:val="nil"/>
              <w:bottom w:val="nil"/>
              <w:right w:val="nil"/>
            </w:tcBorders>
            <w:noWrap/>
            <w:vAlign w:val="bottom"/>
            <w:hideMark/>
          </w:tcPr>
          <w:p w14:paraId="7C700393"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21300</w:t>
            </w:r>
          </w:p>
        </w:tc>
        <w:tc>
          <w:tcPr>
            <w:tcW w:w="1366" w:type="dxa"/>
            <w:tcBorders>
              <w:top w:val="nil"/>
              <w:left w:val="nil"/>
              <w:bottom w:val="nil"/>
              <w:right w:val="nil"/>
            </w:tcBorders>
            <w:noWrap/>
            <w:vAlign w:val="bottom"/>
            <w:hideMark/>
          </w:tcPr>
          <w:p w14:paraId="70461310"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24</w:t>
            </w:r>
          </w:p>
        </w:tc>
        <w:tc>
          <w:tcPr>
            <w:tcW w:w="1170" w:type="dxa"/>
            <w:tcBorders>
              <w:top w:val="nil"/>
              <w:left w:val="nil"/>
              <w:bottom w:val="nil"/>
              <w:right w:val="nil"/>
            </w:tcBorders>
            <w:noWrap/>
            <w:vAlign w:val="bottom"/>
            <w:hideMark/>
          </w:tcPr>
          <w:p w14:paraId="4B5645F9"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24</w:t>
            </w:r>
          </w:p>
        </w:tc>
        <w:tc>
          <w:tcPr>
            <w:tcW w:w="1446" w:type="dxa"/>
            <w:gridSpan w:val="2"/>
            <w:tcBorders>
              <w:top w:val="nil"/>
              <w:left w:val="nil"/>
              <w:bottom w:val="nil"/>
              <w:right w:val="nil"/>
            </w:tcBorders>
            <w:noWrap/>
            <w:vAlign w:val="bottom"/>
            <w:hideMark/>
          </w:tcPr>
          <w:p w14:paraId="47C7305B"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21324</w:t>
            </w:r>
          </w:p>
        </w:tc>
      </w:tr>
      <w:tr w:rsidR="00EB625C" w:rsidRPr="00BC4183" w14:paraId="29EA49C2" w14:textId="77777777" w:rsidTr="00BC4183">
        <w:trPr>
          <w:trHeight w:val="293"/>
        </w:trPr>
        <w:tc>
          <w:tcPr>
            <w:tcW w:w="3420" w:type="dxa"/>
            <w:tcBorders>
              <w:top w:val="nil"/>
              <w:left w:val="nil"/>
              <w:bottom w:val="nil"/>
              <w:right w:val="nil"/>
            </w:tcBorders>
            <w:noWrap/>
            <w:vAlign w:val="bottom"/>
            <w:hideMark/>
          </w:tcPr>
          <w:p w14:paraId="1D94D383" w14:textId="1C2A7D50" w:rsidR="00EB625C" w:rsidRPr="00BC4183" w:rsidRDefault="00EB625C" w:rsidP="00EB625C">
            <w:pPr>
              <w:spacing w:after="0" w:line="240" w:lineRule="auto"/>
              <w:rPr>
                <w:rFonts w:eastAsia="Times New Roman"/>
                <w:color w:val="000000"/>
                <w:sz w:val="20"/>
                <w:szCs w:val="20"/>
              </w:rPr>
            </w:pPr>
            <w:r w:rsidRPr="00BC4183">
              <w:rPr>
                <w:rFonts w:eastAsia="Times New Roman"/>
                <w:color w:val="000000"/>
                <w:sz w:val="20"/>
                <w:szCs w:val="20"/>
              </w:rPr>
              <w:t>IPV justification</w:t>
            </w:r>
          </w:p>
        </w:tc>
        <w:tc>
          <w:tcPr>
            <w:tcW w:w="1604" w:type="dxa"/>
            <w:tcBorders>
              <w:top w:val="nil"/>
              <w:left w:val="nil"/>
              <w:bottom w:val="nil"/>
              <w:right w:val="nil"/>
            </w:tcBorders>
            <w:noWrap/>
            <w:vAlign w:val="bottom"/>
            <w:hideMark/>
          </w:tcPr>
          <w:p w14:paraId="7183067A"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20202</w:t>
            </w:r>
          </w:p>
        </w:tc>
        <w:tc>
          <w:tcPr>
            <w:tcW w:w="1366" w:type="dxa"/>
            <w:tcBorders>
              <w:top w:val="nil"/>
              <w:left w:val="nil"/>
              <w:bottom w:val="nil"/>
              <w:right w:val="nil"/>
            </w:tcBorders>
            <w:noWrap/>
            <w:vAlign w:val="bottom"/>
            <w:hideMark/>
          </w:tcPr>
          <w:p w14:paraId="4A9C77DF"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1122</w:t>
            </w:r>
          </w:p>
        </w:tc>
        <w:tc>
          <w:tcPr>
            <w:tcW w:w="1170" w:type="dxa"/>
            <w:tcBorders>
              <w:top w:val="nil"/>
              <w:left w:val="nil"/>
              <w:bottom w:val="nil"/>
              <w:right w:val="nil"/>
            </w:tcBorders>
            <w:noWrap/>
            <w:vAlign w:val="bottom"/>
            <w:hideMark/>
          </w:tcPr>
          <w:p w14:paraId="6FAF8219"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1122</w:t>
            </w:r>
          </w:p>
        </w:tc>
        <w:tc>
          <w:tcPr>
            <w:tcW w:w="1446" w:type="dxa"/>
            <w:gridSpan w:val="2"/>
            <w:tcBorders>
              <w:top w:val="nil"/>
              <w:left w:val="nil"/>
              <w:bottom w:val="nil"/>
              <w:right w:val="nil"/>
            </w:tcBorders>
            <w:noWrap/>
            <w:vAlign w:val="bottom"/>
            <w:hideMark/>
          </w:tcPr>
          <w:p w14:paraId="3B1EDBFD"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21324</w:t>
            </w:r>
          </w:p>
        </w:tc>
      </w:tr>
      <w:tr w:rsidR="00EB625C" w:rsidRPr="00BC4183" w14:paraId="72F70A75" w14:textId="77777777" w:rsidTr="00BC4183">
        <w:trPr>
          <w:trHeight w:val="293"/>
        </w:trPr>
        <w:tc>
          <w:tcPr>
            <w:tcW w:w="3420" w:type="dxa"/>
            <w:tcBorders>
              <w:top w:val="nil"/>
              <w:left w:val="nil"/>
              <w:bottom w:val="nil"/>
              <w:right w:val="nil"/>
            </w:tcBorders>
            <w:noWrap/>
            <w:vAlign w:val="bottom"/>
            <w:hideMark/>
          </w:tcPr>
          <w:p w14:paraId="1C1C70F2" w14:textId="07350DB9" w:rsidR="00EB625C" w:rsidRPr="00BC4183" w:rsidRDefault="00EB625C" w:rsidP="00EB625C">
            <w:pPr>
              <w:spacing w:after="0" w:line="240" w:lineRule="auto"/>
              <w:rPr>
                <w:rFonts w:eastAsia="Times New Roman"/>
                <w:color w:val="000000"/>
                <w:sz w:val="20"/>
                <w:szCs w:val="20"/>
              </w:rPr>
            </w:pPr>
            <w:r w:rsidRPr="00BC4183">
              <w:rPr>
                <w:color w:val="000000"/>
                <w:sz w:val="20"/>
                <w:szCs w:val="20"/>
              </w:rPr>
              <w:t>Husband drinks alcohol</w:t>
            </w:r>
          </w:p>
        </w:tc>
        <w:tc>
          <w:tcPr>
            <w:tcW w:w="1604" w:type="dxa"/>
            <w:tcBorders>
              <w:top w:val="nil"/>
              <w:left w:val="nil"/>
              <w:bottom w:val="nil"/>
              <w:right w:val="nil"/>
            </w:tcBorders>
            <w:noWrap/>
            <w:vAlign w:val="bottom"/>
            <w:hideMark/>
          </w:tcPr>
          <w:p w14:paraId="0A25A2BF"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21255</w:t>
            </w:r>
          </w:p>
        </w:tc>
        <w:tc>
          <w:tcPr>
            <w:tcW w:w="1366" w:type="dxa"/>
            <w:tcBorders>
              <w:top w:val="nil"/>
              <w:left w:val="nil"/>
              <w:bottom w:val="nil"/>
              <w:right w:val="nil"/>
            </w:tcBorders>
            <w:noWrap/>
            <w:vAlign w:val="bottom"/>
            <w:hideMark/>
          </w:tcPr>
          <w:p w14:paraId="60E14104"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69</w:t>
            </w:r>
          </w:p>
        </w:tc>
        <w:tc>
          <w:tcPr>
            <w:tcW w:w="1170" w:type="dxa"/>
            <w:tcBorders>
              <w:top w:val="nil"/>
              <w:left w:val="nil"/>
              <w:bottom w:val="nil"/>
              <w:right w:val="nil"/>
            </w:tcBorders>
            <w:noWrap/>
            <w:vAlign w:val="bottom"/>
            <w:hideMark/>
          </w:tcPr>
          <w:p w14:paraId="3C88292B"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69</w:t>
            </w:r>
          </w:p>
        </w:tc>
        <w:tc>
          <w:tcPr>
            <w:tcW w:w="1446" w:type="dxa"/>
            <w:gridSpan w:val="2"/>
            <w:tcBorders>
              <w:top w:val="nil"/>
              <w:left w:val="nil"/>
              <w:bottom w:val="nil"/>
              <w:right w:val="nil"/>
            </w:tcBorders>
            <w:noWrap/>
            <w:vAlign w:val="bottom"/>
            <w:hideMark/>
          </w:tcPr>
          <w:p w14:paraId="4EA033FB"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21324</w:t>
            </w:r>
          </w:p>
        </w:tc>
      </w:tr>
      <w:tr w:rsidR="00EB625C" w:rsidRPr="00BC4183" w14:paraId="24E95079" w14:textId="77777777" w:rsidTr="00BC4183">
        <w:trPr>
          <w:trHeight w:val="293"/>
        </w:trPr>
        <w:tc>
          <w:tcPr>
            <w:tcW w:w="3420" w:type="dxa"/>
            <w:tcBorders>
              <w:top w:val="nil"/>
              <w:left w:val="nil"/>
              <w:bottom w:val="nil"/>
              <w:right w:val="nil"/>
            </w:tcBorders>
            <w:noWrap/>
            <w:vAlign w:val="bottom"/>
            <w:hideMark/>
          </w:tcPr>
          <w:p w14:paraId="0A592863" w14:textId="488D7419" w:rsidR="00EB625C" w:rsidRPr="00BC4183" w:rsidRDefault="00EB625C" w:rsidP="00EB625C">
            <w:pPr>
              <w:spacing w:after="0" w:line="240" w:lineRule="auto"/>
              <w:rPr>
                <w:rFonts w:eastAsia="Times New Roman"/>
                <w:color w:val="000000"/>
                <w:sz w:val="20"/>
                <w:szCs w:val="20"/>
              </w:rPr>
            </w:pPr>
            <w:r w:rsidRPr="00BC4183">
              <w:rPr>
                <w:rFonts w:eastAsia="Times New Roman"/>
                <w:color w:val="000000"/>
                <w:sz w:val="20"/>
                <w:szCs w:val="20"/>
              </w:rPr>
              <w:t>Work status</w:t>
            </w:r>
          </w:p>
        </w:tc>
        <w:tc>
          <w:tcPr>
            <w:tcW w:w="1604" w:type="dxa"/>
            <w:tcBorders>
              <w:top w:val="nil"/>
              <w:left w:val="nil"/>
              <w:bottom w:val="nil"/>
              <w:right w:val="nil"/>
            </w:tcBorders>
            <w:noWrap/>
            <w:vAlign w:val="bottom"/>
            <w:hideMark/>
          </w:tcPr>
          <w:p w14:paraId="196F1770"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21285</w:t>
            </w:r>
          </w:p>
        </w:tc>
        <w:tc>
          <w:tcPr>
            <w:tcW w:w="1366" w:type="dxa"/>
            <w:tcBorders>
              <w:top w:val="nil"/>
              <w:left w:val="nil"/>
              <w:bottom w:val="nil"/>
              <w:right w:val="nil"/>
            </w:tcBorders>
            <w:noWrap/>
            <w:vAlign w:val="bottom"/>
            <w:hideMark/>
          </w:tcPr>
          <w:p w14:paraId="55E2E360"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39</w:t>
            </w:r>
          </w:p>
        </w:tc>
        <w:tc>
          <w:tcPr>
            <w:tcW w:w="1170" w:type="dxa"/>
            <w:tcBorders>
              <w:top w:val="nil"/>
              <w:left w:val="nil"/>
              <w:bottom w:val="nil"/>
              <w:right w:val="nil"/>
            </w:tcBorders>
            <w:noWrap/>
            <w:vAlign w:val="bottom"/>
            <w:hideMark/>
          </w:tcPr>
          <w:p w14:paraId="7C39C2D9"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39</w:t>
            </w:r>
          </w:p>
        </w:tc>
        <w:tc>
          <w:tcPr>
            <w:tcW w:w="1446" w:type="dxa"/>
            <w:gridSpan w:val="2"/>
            <w:tcBorders>
              <w:top w:val="nil"/>
              <w:left w:val="nil"/>
              <w:bottom w:val="nil"/>
              <w:right w:val="nil"/>
            </w:tcBorders>
            <w:noWrap/>
            <w:vAlign w:val="bottom"/>
            <w:hideMark/>
          </w:tcPr>
          <w:p w14:paraId="4EF4EB07"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21324</w:t>
            </w:r>
          </w:p>
        </w:tc>
      </w:tr>
      <w:tr w:rsidR="00EB625C" w:rsidRPr="00BC4183" w14:paraId="1AE665A0" w14:textId="77777777" w:rsidTr="00BC4183">
        <w:trPr>
          <w:trHeight w:val="293"/>
        </w:trPr>
        <w:tc>
          <w:tcPr>
            <w:tcW w:w="3420" w:type="dxa"/>
            <w:tcBorders>
              <w:top w:val="nil"/>
              <w:left w:val="nil"/>
              <w:bottom w:val="nil"/>
              <w:right w:val="nil"/>
            </w:tcBorders>
            <w:noWrap/>
            <w:vAlign w:val="bottom"/>
            <w:hideMark/>
          </w:tcPr>
          <w:p w14:paraId="25C0FF23" w14:textId="1A5A8660" w:rsidR="00EB625C" w:rsidRPr="00BC4183" w:rsidRDefault="00EB625C" w:rsidP="00EB625C">
            <w:pPr>
              <w:spacing w:after="0" w:line="240" w:lineRule="auto"/>
              <w:rPr>
                <w:rFonts w:eastAsia="Times New Roman"/>
                <w:color w:val="000000"/>
                <w:sz w:val="20"/>
                <w:szCs w:val="20"/>
              </w:rPr>
            </w:pPr>
            <w:r w:rsidRPr="00BC4183">
              <w:rPr>
                <w:rFonts w:eastAsia="Times New Roman"/>
                <w:color w:val="000000"/>
                <w:sz w:val="20"/>
                <w:szCs w:val="20"/>
              </w:rPr>
              <w:t>Asset ownership</w:t>
            </w:r>
          </w:p>
        </w:tc>
        <w:tc>
          <w:tcPr>
            <w:tcW w:w="1604" w:type="dxa"/>
            <w:tcBorders>
              <w:top w:val="nil"/>
              <w:left w:val="nil"/>
              <w:bottom w:val="nil"/>
              <w:right w:val="nil"/>
            </w:tcBorders>
            <w:noWrap/>
            <w:vAlign w:val="bottom"/>
            <w:hideMark/>
          </w:tcPr>
          <w:p w14:paraId="780898A2"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19399</w:t>
            </w:r>
          </w:p>
        </w:tc>
        <w:tc>
          <w:tcPr>
            <w:tcW w:w="1366" w:type="dxa"/>
            <w:tcBorders>
              <w:top w:val="nil"/>
              <w:left w:val="nil"/>
              <w:bottom w:val="nil"/>
              <w:right w:val="nil"/>
            </w:tcBorders>
            <w:noWrap/>
            <w:vAlign w:val="bottom"/>
            <w:hideMark/>
          </w:tcPr>
          <w:p w14:paraId="7CD48485"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1925</w:t>
            </w:r>
          </w:p>
        </w:tc>
        <w:tc>
          <w:tcPr>
            <w:tcW w:w="1170" w:type="dxa"/>
            <w:tcBorders>
              <w:top w:val="nil"/>
              <w:left w:val="nil"/>
              <w:bottom w:val="nil"/>
              <w:right w:val="nil"/>
            </w:tcBorders>
            <w:noWrap/>
            <w:vAlign w:val="bottom"/>
            <w:hideMark/>
          </w:tcPr>
          <w:p w14:paraId="7FECE450"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1925</w:t>
            </w:r>
          </w:p>
        </w:tc>
        <w:tc>
          <w:tcPr>
            <w:tcW w:w="1446" w:type="dxa"/>
            <w:gridSpan w:val="2"/>
            <w:tcBorders>
              <w:top w:val="nil"/>
              <w:left w:val="nil"/>
              <w:bottom w:val="nil"/>
              <w:right w:val="nil"/>
            </w:tcBorders>
            <w:noWrap/>
            <w:vAlign w:val="bottom"/>
            <w:hideMark/>
          </w:tcPr>
          <w:p w14:paraId="3DFFD6F6"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21324</w:t>
            </w:r>
          </w:p>
        </w:tc>
      </w:tr>
      <w:tr w:rsidR="00EB625C" w:rsidRPr="00BC4183" w14:paraId="2B3C6A4C" w14:textId="77777777" w:rsidTr="00BC4183">
        <w:trPr>
          <w:trHeight w:val="293"/>
        </w:trPr>
        <w:tc>
          <w:tcPr>
            <w:tcW w:w="3420" w:type="dxa"/>
            <w:tcBorders>
              <w:top w:val="nil"/>
              <w:left w:val="nil"/>
              <w:bottom w:val="nil"/>
              <w:right w:val="nil"/>
            </w:tcBorders>
            <w:noWrap/>
            <w:vAlign w:val="bottom"/>
            <w:hideMark/>
          </w:tcPr>
          <w:p w14:paraId="13D55ED4" w14:textId="54D2123F" w:rsidR="00EB625C" w:rsidRPr="00BC4183" w:rsidRDefault="00EB625C" w:rsidP="00EB625C">
            <w:pPr>
              <w:spacing w:after="0" w:line="240" w:lineRule="auto"/>
              <w:rPr>
                <w:rFonts w:eastAsia="Times New Roman"/>
                <w:color w:val="000000"/>
                <w:sz w:val="20"/>
                <w:szCs w:val="20"/>
              </w:rPr>
            </w:pPr>
            <w:r w:rsidRPr="00BC4183">
              <w:rPr>
                <w:rFonts w:eastAsia="Times New Roman"/>
                <w:color w:val="000000"/>
                <w:sz w:val="20"/>
                <w:szCs w:val="20"/>
              </w:rPr>
              <w:t>Husband education</w:t>
            </w:r>
          </w:p>
        </w:tc>
        <w:tc>
          <w:tcPr>
            <w:tcW w:w="1604" w:type="dxa"/>
            <w:tcBorders>
              <w:top w:val="nil"/>
              <w:left w:val="nil"/>
              <w:bottom w:val="nil"/>
              <w:right w:val="nil"/>
            </w:tcBorders>
            <w:noWrap/>
            <w:vAlign w:val="bottom"/>
            <w:hideMark/>
          </w:tcPr>
          <w:p w14:paraId="7BA3AB3A"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21116</w:t>
            </w:r>
          </w:p>
        </w:tc>
        <w:tc>
          <w:tcPr>
            <w:tcW w:w="1366" w:type="dxa"/>
            <w:tcBorders>
              <w:top w:val="nil"/>
              <w:left w:val="nil"/>
              <w:bottom w:val="nil"/>
              <w:right w:val="nil"/>
            </w:tcBorders>
            <w:noWrap/>
            <w:vAlign w:val="bottom"/>
            <w:hideMark/>
          </w:tcPr>
          <w:p w14:paraId="50ECC376"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208</w:t>
            </w:r>
          </w:p>
        </w:tc>
        <w:tc>
          <w:tcPr>
            <w:tcW w:w="1170" w:type="dxa"/>
            <w:tcBorders>
              <w:top w:val="nil"/>
              <w:left w:val="nil"/>
              <w:bottom w:val="nil"/>
              <w:right w:val="nil"/>
            </w:tcBorders>
            <w:noWrap/>
            <w:vAlign w:val="bottom"/>
            <w:hideMark/>
          </w:tcPr>
          <w:p w14:paraId="26135538"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208</w:t>
            </w:r>
          </w:p>
        </w:tc>
        <w:tc>
          <w:tcPr>
            <w:tcW w:w="1446" w:type="dxa"/>
            <w:gridSpan w:val="2"/>
            <w:tcBorders>
              <w:top w:val="nil"/>
              <w:left w:val="nil"/>
              <w:bottom w:val="nil"/>
              <w:right w:val="nil"/>
            </w:tcBorders>
            <w:noWrap/>
            <w:vAlign w:val="bottom"/>
            <w:hideMark/>
          </w:tcPr>
          <w:p w14:paraId="4EB90688"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21324</w:t>
            </w:r>
          </w:p>
        </w:tc>
      </w:tr>
      <w:tr w:rsidR="00EB625C" w:rsidRPr="00BC4183" w14:paraId="171A0190" w14:textId="77777777" w:rsidTr="00BC4183">
        <w:trPr>
          <w:trHeight w:val="293"/>
        </w:trPr>
        <w:tc>
          <w:tcPr>
            <w:tcW w:w="3420" w:type="dxa"/>
            <w:tcBorders>
              <w:top w:val="nil"/>
              <w:left w:val="nil"/>
              <w:right w:val="nil"/>
            </w:tcBorders>
            <w:noWrap/>
            <w:vAlign w:val="bottom"/>
            <w:hideMark/>
          </w:tcPr>
          <w:p w14:paraId="47C6A5BF" w14:textId="0C022178" w:rsidR="00EB625C" w:rsidRPr="00BC4183" w:rsidRDefault="00EB625C" w:rsidP="00EB625C">
            <w:pPr>
              <w:spacing w:after="0" w:line="240" w:lineRule="auto"/>
              <w:rPr>
                <w:rFonts w:eastAsia="Times New Roman"/>
                <w:color w:val="000000"/>
                <w:sz w:val="20"/>
                <w:szCs w:val="20"/>
              </w:rPr>
            </w:pPr>
            <w:r w:rsidRPr="00BC4183">
              <w:rPr>
                <w:color w:val="000000"/>
                <w:sz w:val="20"/>
                <w:szCs w:val="20"/>
              </w:rPr>
              <w:t>Comparison of Partner’s Education</w:t>
            </w:r>
          </w:p>
        </w:tc>
        <w:tc>
          <w:tcPr>
            <w:tcW w:w="1604" w:type="dxa"/>
            <w:tcBorders>
              <w:top w:val="nil"/>
              <w:left w:val="nil"/>
              <w:right w:val="nil"/>
            </w:tcBorders>
            <w:noWrap/>
            <w:vAlign w:val="bottom"/>
            <w:hideMark/>
          </w:tcPr>
          <w:p w14:paraId="2AD17CCF"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21116</w:t>
            </w:r>
          </w:p>
        </w:tc>
        <w:tc>
          <w:tcPr>
            <w:tcW w:w="1366" w:type="dxa"/>
            <w:tcBorders>
              <w:top w:val="nil"/>
              <w:left w:val="nil"/>
              <w:right w:val="nil"/>
            </w:tcBorders>
            <w:noWrap/>
            <w:vAlign w:val="bottom"/>
            <w:hideMark/>
          </w:tcPr>
          <w:p w14:paraId="41ADE4AB"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208</w:t>
            </w:r>
          </w:p>
        </w:tc>
        <w:tc>
          <w:tcPr>
            <w:tcW w:w="1170" w:type="dxa"/>
            <w:tcBorders>
              <w:top w:val="nil"/>
              <w:left w:val="nil"/>
              <w:right w:val="nil"/>
            </w:tcBorders>
            <w:noWrap/>
            <w:vAlign w:val="bottom"/>
            <w:hideMark/>
          </w:tcPr>
          <w:p w14:paraId="472A5B4C"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208</w:t>
            </w:r>
          </w:p>
        </w:tc>
        <w:tc>
          <w:tcPr>
            <w:tcW w:w="1446" w:type="dxa"/>
            <w:gridSpan w:val="2"/>
            <w:tcBorders>
              <w:top w:val="nil"/>
              <w:left w:val="nil"/>
              <w:right w:val="nil"/>
            </w:tcBorders>
            <w:noWrap/>
            <w:vAlign w:val="bottom"/>
            <w:hideMark/>
          </w:tcPr>
          <w:p w14:paraId="3EFD5105"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21324</w:t>
            </w:r>
          </w:p>
        </w:tc>
      </w:tr>
      <w:tr w:rsidR="00EB625C" w:rsidRPr="00BC4183" w14:paraId="368B2426" w14:textId="77777777" w:rsidTr="00BC4183">
        <w:trPr>
          <w:trHeight w:val="293"/>
        </w:trPr>
        <w:tc>
          <w:tcPr>
            <w:tcW w:w="3420" w:type="dxa"/>
            <w:tcBorders>
              <w:top w:val="nil"/>
              <w:left w:val="nil"/>
              <w:bottom w:val="single" w:sz="4" w:space="0" w:color="auto"/>
              <w:right w:val="nil"/>
            </w:tcBorders>
            <w:noWrap/>
            <w:vAlign w:val="bottom"/>
            <w:hideMark/>
          </w:tcPr>
          <w:p w14:paraId="5BBAB57F" w14:textId="5F9E11A0" w:rsidR="00EB625C" w:rsidRPr="00BC4183" w:rsidRDefault="00EB625C" w:rsidP="00EB625C">
            <w:pPr>
              <w:spacing w:after="0" w:line="240" w:lineRule="auto"/>
              <w:rPr>
                <w:rFonts w:eastAsia="Times New Roman"/>
                <w:color w:val="000000"/>
                <w:sz w:val="20"/>
                <w:szCs w:val="20"/>
              </w:rPr>
            </w:pPr>
            <w:r w:rsidRPr="00BC4183">
              <w:rPr>
                <w:rFonts w:eastAsia="Times New Roman"/>
                <w:color w:val="000000"/>
                <w:sz w:val="20"/>
                <w:szCs w:val="20"/>
              </w:rPr>
              <w:t xml:space="preserve">Ethnicity </w:t>
            </w:r>
          </w:p>
        </w:tc>
        <w:tc>
          <w:tcPr>
            <w:tcW w:w="1604" w:type="dxa"/>
            <w:tcBorders>
              <w:top w:val="nil"/>
              <w:left w:val="nil"/>
              <w:bottom w:val="single" w:sz="4" w:space="0" w:color="auto"/>
              <w:right w:val="nil"/>
            </w:tcBorders>
            <w:noWrap/>
            <w:vAlign w:val="bottom"/>
            <w:hideMark/>
          </w:tcPr>
          <w:p w14:paraId="24D1AE38"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21291</w:t>
            </w:r>
          </w:p>
        </w:tc>
        <w:tc>
          <w:tcPr>
            <w:tcW w:w="1366" w:type="dxa"/>
            <w:tcBorders>
              <w:top w:val="nil"/>
              <w:left w:val="nil"/>
              <w:bottom w:val="single" w:sz="4" w:space="0" w:color="auto"/>
              <w:right w:val="nil"/>
            </w:tcBorders>
            <w:noWrap/>
            <w:vAlign w:val="bottom"/>
            <w:hideMark/>
          </w:tcPr>
          <w:p w14:paraId="1B154F19"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33</w:t>
            </w:r>
          </w:p>
        </w:tc>
        <w:tc>
          <w:tcPr>
            <w:tcW w:w="1170" w:type="dxa"/>
            <w:tcBorders>
              <w:top w:val="nil"/>
              <w:left w:val="nil"/>
              <w:bottom w:val="single" w:sz="4" w:space="0" w:color="auto"/>
              <w:right w:val="nil"/>
            </w:tcBorders>
            <w:noWrap/>
            <w:vAlign w:val="bottom"/>
            <w:hideMark/>
          </w:tcPr>
          <w:p w14:paraId="1B8820C4"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33</w:t>
            </w:r>
          </w:p>
        </w:tc>
        <w:tc>
          <w:tcPr>
            <w:tcW w:w="1446" w:type="dxa"/>
            <w:gridSpan w:val="2"/>
            <w:tcBorders>
              <w:top w:val="nil"/>
              <w:left w:val="nil"/>
              <w:bottom w:val="single" w:sz="4" w:space="0" w:color="auto"/>
              <w:right w:val="nil"/>
            </w:tcBorders>
            <w:noWrap/>
            <w:vAlign w:val="bottom"/>
            <w:hideMark/>
          </w:tcPr>
          <w:p w14:paraId="505DB8E6" w14:textId="77777777" w:rsidR="00EB625C" w:rsidRPr="00BC4183" w:rsidRDefault="00EB625C" w:rsidP="00EB625C">
            <w:pPr>
              <w:spacing w:after="0" w:line="240" w:lineRule="auto"/>
              <w:jc w:val="center"/>
              <w:rPr>
                <w:rFonts w:eastAsia="Times New Roman"/>
                <w:color w:val="000000"/>
                <w:sz w:val="20"/>
                <w:szCs w:val="20"/>
              </w:rPr>
            </w:pPr>
            <w:r w:rsidRPr="00BC4183">
              <w:rPr>
                <w:rFonts w:eastAsia="Times New Roman"/>
                <w:color w:val="000000"/>
                <w:sz w:val="20"/>
                <w:szCs w:val="20"/>
              </w:rPr>
              <w:t>21324</w:t>
            </w:r>
          </w:p>
        </w:tc>
      </w:tr>
      <w:tr w:rsidR="00EB625C" w:rsidRPr="00BC4183" w14:paraId="0E820AD1" w14:textId="77777777" w:rsidTr="00BC4183">
        <w:trPr>
          <w:gridAfter w:val="1"/>
          <w:wAfter w:w="12" w:type="dxa"/>
          <w:trHeight w:val="293"/>
        </w:trPr>
        <w:tc>
          <w:tcPr>
            <w:tcW w:w="8994" w:type="dxa"/>
            <w:gridSpan w:val="5"/>
            <w:tcBorders>
              <w:top w:val="single" w:sz="4" w:space="0" w:color="auto"/>
              <w:left w:val="nil"/>
              <w:right w:val="nil"/>
            </w:tcBorders>
            <w:noWrap/>
            <w:vAlign w:val="bottom"/>
          </w:tcPr>
          <w:p w14:paraId="1749CFBE" w14:textId="77777777" w:rsidR="00EB625C" w:rsidRPr="00BC4183" w:rsidRDefault="00EB625C" w:rsidP="00EB625C">
            <w:pPr>
              <w:keepNext/>
              <w:spacing w:after="0" w:line="240" w:lineRule="auto"/>
              <w:rPr>
                <w:sz w:val="20"/>
                <w:szCs w:val="20"/>
              </w:rPr>
            </w:pPr>
            <w:r w:rsidRPr="00BC4183">
              <w:rPr>
                <w:i/>
                <w:iCs/>
                <w:sz w:val="20"/>
                <w:szCs w:val="20"/>
              </w:rPr>
              <w:lastRenderedPageBreak/>
              <w:t xml:space="preserve">Note: </w:t>
            </w:r>
            <w:r w:rsidRPr="00BC4183">
              <w:rPr>
                <w:i/>
                <w:iCs/>
                <w:sz w:val="20"/>
                <w:szCs w:val="20"/>
              </w:rPr>
              <w:fldChar w:fldCharType="begin"/>
            </w:r>
            <w:r w:rsidRPr="00BC4183">
              <w:rPr>
                <w:i/>
                <w:iCs/>
                <w:sz w:val="20"/>
                <w:szCs w:val="20"/>
              </w:rPr>
              <w:instrText xml:space="preserve"> SEQ Note: \* ARABIC </w:instrText>
            </w:r>
            <w:r w:rsidRPr="00BC4183">
              <w:rPr>
                <w:i/>
                <w:iCs/>
                <w:sz w:val="20"/>
                <w:szCs w:val="20"/>
              </w:rPr>
              <w:fldChar w:fldCharType="separate"/>
            </w:r>
            <w:r w:rsidRPr="00BC4183">
              <w:rPr>
                <w:i/>
                <w:iCs/>
                <w:noProof/>
                <w:sz w:val="20"/>
                <w:szCs w:val="20"/>
              </w:rPr>
              <w:t>2</w:t>
            </w:r>
            <w:r w:rsidRPr="00BC4183">
              <w:rPr>
                <w:i/>
                <w:iCs/>
                <w:sz w:val="20"/>
                <w:szCs w:val="20"/>
              </w:rPr>
              <w:fldChar w:fldCharType="end"/>
            </w:r>
            <w:r w:rsidRPr="00BC4183">
              <w:rPr>
                <w:i/>
                <w:iCs/>
                <w:sz w:val="20"/>
                <w:szCs w:val="20"/>
              </w:rPr>
              <w:t>.</w:t>
            </w:r>
            <w:r w:rsidRPr="00BC4183">
              <w:rPr>
                <w:sz w:val="20"/>
                <w:szCs w:val="20"/>
              </w:rPr>
              <w:t xml:space="preserve"> Complete + Incomplete = Total; Imputed is the minimum across m of the number of filled-in observations. Different imputation models were specified based on the variable type:</w:t>
            </w:r>
          </w:p>
          <w:p w14:paraId="05B36C17" w14:textId="4E83E3DE" w:rsidR="00EB625C" w:rsidRPr="00BC4183" w:rsidRDefault="00EB625C" w:rsidP="00EB625C">
            <w:pPr>
              <w:pStyle w:val="ListParagraph"/>
              <w:numPr>
                <w:ilvl w:val="0"/>
                <w:numId w:val="1"/>
              </w:numPr>
              <w:spacing w:after="0"/>
              <w:rPr>
                <w:sz w:val="20"/>
                <w:szCs w:val="20"/>
              </w:rPr>
            </w:pPr>
            <w:r w:rsidRPr="00BC4183">
              <w:rPr>
                <w:sz w:val="20"/>
                <w:szCs w:val="20"/>
              </w:rPr>
              <w:t xml:space="preserve">Emotional, sexual, physical, any IPV, IPV justification, husband drinks alcohol, and work status: predictive mean matching. </w:t>
            </w:r>
          </w:p>
          <w:p w14:paraId="4F466D72" w14:textId="449D28F5" w:rsidR="00EB625C" w:rsidRPr="00BC4183" w:rsidRDefault="00EB625C" w:rsidP="00EB625C">
            <w:pPr>
              <w:pStyle w:val="ListParagraph"/>
              <w:numPr>
                <w:ilvl w:val="0"/>
                <w:numId w:val="1"/>
              </w:numPr>
              <w:spacing w:after="0"/>
              <w:rPr>
                <w:sz w:val="20"/>
                <w:szCs w:val="20"/>
              </w:rPr>
            </w:pPr>
            <w:r w:rsidRPr="00BC4183">
              <w:rPr>
                <w:sz w:val="20"/>
                <w:szCs w:val="20"/>
              </w:rPr>
              <w:t>Asset ownership, husband education, comparison of partner’s education, and ethnicity: ordered logistic regression</w:t>
            </w:r>
          </w:p>
          <w:p w14:paraId="7F5F8519" w14:textId="03E9A2C6" w:rsidR="00EB625C" w:rsidRPr="00BC4183" w:rsidRDefault="00EB625C" w:rsidP="00EB625C">
            <w:pPr>
              <w:spacing w:after="0" w:line="240" w:lineRule="auto"/>
              <w:rPr>
                <w:rFonts w:eastAsia="Times New Roman"/>
                <w:color w:val="000000"/>
                <w:sz w:val="20"/>
                <w:szCs w:val="20"/>
              </w:rPr>
            </w:pPr>
            <w:r w:rsidRPr="00BC4183">
              <w:rPr>
                <w:sz w:val="20"/>
                <w:szCs w:val="20"/>
              </w:rPr>
              <w:t>The imputation models incorporated predictor variables (current age, women’s autonomy, household wealth index, residency, IPV prevalence, conflict severity, controlling behavior, aggregated wealth, and aggregated wealth) to enhance imputation accuracy by leveraging their associations with missing data. (Auxiliary Variables)</w:t>
            </w:r>
            <w:r w:rsidR="00BC4183" w:rsidRPr="00BC4183">
              <w:rPr>
                <w:sz w:val="20"/>
                <w:szCs w:val="20"/>
              </w:rPr>
              <w:t>.</w:t>
            </w:r>
          </w:p>
        </w:tc>
      </w:tr>
    </w:tbl>
    <w:p w14:paraId="66D8984B" w14:textId="77777777" w:rsidR="00F10EDB" w:rsidRDefault="00F10EDB"/>
    <w:tbl>
      <w:tblPr>
        <w:tblW w:w="7920" w:type="dxa"/>
        <w:jc w:val="center"/>
        <w:tblLook w:val="04A0" w:firstRow="1" w:lastRow="0" w:firstColumn="1" w:lastColumn="0" w:noHBand="0" w:noVBand="1"/>
      </w:tblPr>
      <w:tblGrid>
        <w:gridCol w:w="3690"/>
        <w:gridCol w:w="1800"/>
        <w:gridCol w:w="2430"/>
      </w:tblGrid>
      <w:tr w:rsidR="00BC4183" w:rsidRPr="00BC4183" w14:paraId="7967ED74" w14:textId="77777777" w:rsidTr="00BC4183">
        <w:trPr>
          <w:trHeight w:val="277"/>
          <w:jc w:val="center"/>
        </w:trPr>
        <w:tc>
          <w:tcPr>
            <w:tcW w:w="7920" w:type="dxa"/>
            <w:gridSpan w:val="3"/>
            <w:tcBorders>
              <w:left w:val="nil"/>
              <w:bottom w:val="single" w:sz="4" w:space="0" w:color="auto"/>
              <w:right w:val="nil"/>
            </w:tcBorders>
            <w:noWrap/>
            <w:vAlign w:val="bottom"/>
          </w:tcPr>
          <w:p w14:paraId="3697D234" w14:textId="38FBCE35" w:rsidR="00BC4183" w:rsidRPr="003230D3" w:rsidRDefault="003230D3" w:rsidP="003230D3">
            <w:pPr>
              <w:pStyle w:val="Caption"/>
              <w:spacing w:after="0"/>
              <w:rPr>
                <w:rFonts w:eastAsia="Times New Roman"/>
                <w:color w:val="auto"/>
                <w:sz w:val="20"/>
                <w:szCs w:val="20"/>
              </w:rPr>
            </w:pPr>
            <w:r w:rsidRPr="003230D3">
              <w:rPr>
                <w:b/>
                <w:bCs/>
                <w:i w:val="0"/>
                <w:iCs w:val="0"/>
                <w:color w:val="auto"/>
                <w:sz w:val="20"/>
                <w:szCs w:val="20"/>
              </w:rPr>
              <w:t xml:space="preserve">Table S </w:t>
            </w:r>
            <w:r w:rsidRPr="003230D3">
              <w:rPr>
                <w:b/>
                <w:bCs/>
                <w:i w:val="0"/>
                <w:iCs w:val="0"/>
                <w:color w:val="auto"/>
                <w:sz w:val="20"/>
                <w:szCs w:val="20"/>
              </w:rPr>
              <w:fldChar w:fldCharType="begin"/>
            </w:r>
            <w:r w:rsidRPr="003230D3">
              <w:rPr>
                <w:b/>
                <w:bCs/>
                <w:i w:val="0"/>
                <w:iCs w:val="0"/>
                <w:color w:val="auto"/>
                <w:sz w:val="20"/>
                <w:szCs w:val="20"/>
              </w:rPr>
              <w:instrText xml:space="preserve"> SEQ Table_S \* ARABIC </w:instrText>
            </w:r>
            <w:r w:rsidRPr="003230D3">
              <w:rPr>
                <w:b/>
                <w:bCs/>
                <w:i w:val="0"/>
                <w:iCs w:val="0"/>
                <w:color w:val="auto"/>
                <w:sz w:val="20"/>
                <w:szCs w:val="20"/>
              </w:rPr>
              <w:fldChar w:fldCharType="separate"/>
            </w:r>
            <w:r w:rsidRPr="003230D3">
              <w:rPr>
                <w:b/>
                <w:bCs/>
                <w:i w:val="0"/>
                <w:iCs w:val="0"/>
                <w:noProof/>
                <w:color w:val="auto"/>
                <w:sz w:val="20"/>
                <w:szCs w:val="20"/>
              </w:rPr>
              <w:t>3</w:t>
            </w:r>
            <w:r w:rsidRPr="003230D3">
              <w:rPr>
                <w:b/>
                <w:bCs/>
                <w:i w:val="0"/>
                <w:iCs w:val="0"/>
                <w:color w:val="auto"/>
                <w:sz w:val="20"/>
                <w:szCs w:val="20"/>
              </w:rPr>
              <w:fldChar w:fldCharType="end"/>
            </w:r>
            <w:r w:rsidRPr="003230D3">
              <w:rPr>
                <w:b/>
                <w:bCs/>
                <w:i w:val="0"/>
                <w:iCs w:val="0"/>
                <w:color w:val="auto"/>
                <w:sz w:val="20"/>
                <w:szCs w:val="20"/>
              </w:rPr>
              <w:t>.</w:t>
            </w:r>
            <w:r w:rsidRPr="003230D3">
              <w:rPr>
                <w:color w:val="auto"/>
                <w:sz w:val="20"/>
                <w:szCs w:val="20"/>
              </w:rPr>
              <w:t xml:space="preserve"> </w:t>
            </w:r>
            <w:r w:rsidR="00BC4183" w:rsidRPr="003230D3">
              <w:rPr>
                <w:rFonts w:eastAsia="Times New Roman"/>
                <w:i w:val="0"/>
                <w:iCs w:val="0"/>
                <w:color w:val="auto"/>
                <w:sz w:val="20"/>
                <w:szCs w:val="20"/>
              </w:rPr>
              <w:t>Multicollinearity test using Variance Inflation Factors (VIFs)</w:t>
            </w:r>
          </w:p>
        </w:tc>
      </w:tr>
      <w:tr w:rsidR="001A6261" w:rsidRPr="00BC4183" w14:paraId="4070726F" w14:textId="77777777" w:rsidTr="00BC4183">
        <w:trPr>
          <w:trHeight w:val="277"/>
          <w:jc w:val="center"/>
        </w:trPr>
        <w:tc>
          <w:tcPr>
            <w:tcW w:w="3690" w:type="dxa"/>
            <w:tcBorders>
              <w:top w:val="single" w:sz="4" w:space="0" w:color="auto"/>
              <w:left w:val="nil"/>
              <w:bottom w:val="single" w:sz="4" w:space="0" w:color="auto"/>
              <w:right w:val="nil"/>
            </w:tcBorders>
            <w:noWrap/>
            <w:vAlign w:val="bottom"/>
            <w:hideMark/>
          </w:tcPr>
          <w:p w14:paraId="00E08AB7" w14:textId="77777777" w:rsidR="001A6261" w:rsidRPr="00BC4183" w:rsidRDefault="001A6261" w:rsidP="001A6261">
            <w:pPr>
              <w:spacing w:after="0" w:line="240" w:lineRule="auto"/>
              <w:rPr>
                <w:rFonts w:eastAsia="Times New Roman"/>
                <w:color w:val="000000"/>
                <w:sz w:val="20"/>
                <w:szCs w:val="20"/>
              </w:rPr>
            </w:pPr>
            <w:r w:rsidRPr="00BC4183">
              <w:rPr>
                <w:rFonts w:eastAsia="Times New Roman"/>
                <w:color w:val="000000"/>
                <w:sz w:val="20"/>
                <w:szCs w:val="20"/>
              </w:rPr>
              <w:t>Variable</w:t>
            </w:r>
          </w:p>
        </w:tc>
        <w:tc>
          <w:tcPr>
            <w:tcW w:w="1800" w:type="dxa"/>
            <w:tcBorders>
              <w:top w:val="single" w:sz="4" w:space="0" w:color="auto"/>
              <w:left w:val="nil"/>
              <w:bottom w:val="single" w:sz="4" w:space="0" w:color="auto"/>
              <w:right w:val="nil"/>
            </w:tcBorders>
            <w:noWrap/>
            <w:vAlign w:val="bottom"/>
            <w:hideMark/>
          </w:tcPr>
          <w:p w14:paraId="41363B4A" w14:textId="77777777" w:rsidR="001A6261" w:rsidRPr="00BC4183" w:rsidRDefault="001A6261" w:rsidP="001A6261">
            <w:pPr>
              <w:spacing w:after="0" w:line="240" w:lineRule="auto"/>
              <w:rPr>
                <w:rFonts w:eastAsia="Times New Roman"/>
                <w:color w:val="000000"/>
                <w:sz w:val="20"/>
                <w:szCs w:val="20"/>
              </w:rPr>
            </w:pPr>
            <w:r w:rsidRPr="00BC4183">
              <w:rPr>
                <w:rFonts w:eastAsia="Times New Roman"/>
                <w:color w:val="000000"/>
                <w:sz w:val="20"/>
                <w:szCs w:val="20"/>
              </w:rPr>
              <w:t>VIF</w:t>
            </w:r>
          </w:p>
        </w:tc>
        <w:tc>
          <w:tcPr>
            <w:tcW w:w="2430" w:type="dxa"/>
            <w:tcBorders>
              <w:top w:val="single" w:sz="4" w:space="0" w:color="auto"/>
              <w:left w:val="nil"/>
              <w:bottom w:val="single" w:sz="4" w:space="0" w:color="auto"/>
              <w:right w:val="nil"/>
            </w:tcBorders>
            <w:noWrap/>
            <w:vAlign w:val="bottom"/>
            <w:hideMark/>
          </w:tcPr>
          <w:p w14:paraId="588D5130" w14:textId="77777777" w:rsidR="001A6261" w:rsidRPr="00BC4183" w:rsidRDefault="001A6261" w:rsidP="001A6261">
            <w:pPr>
              <w:spacing w:after="0" w:line="240" w:lineRule="auto"/>
              <w:rPr>
                <w:rFonts w:eastAsia="Times New Roman"/>
                <w:color w:val="000000"/>
                <w:sz w:val="20"/>
                <w:szCs w:val="20"/>
              </w:rPr>
            </w:pPr>
            <w:r w:rsidRPr="00BC4183">
              <w:rPr>
                <w:rFonts w:eastAsia="Times New Roman"/>
                <w:color w:val="000000"/>
                <w:sz w:val="20"/>
                <w:szCs w:val="20"/>
              </w:rPr>
              <w:t>1/VIF</w:t>
            </w:r>
          </w:p>
        </w:tc>
      </w:tr>
      <w:tr w:rsidR="001A6261" w:rsidRPr="00BC4183" w14:paraId="4BE97308" w14:textId="77777777" w:rsidTr="00BC4183">
        <w:trPr>
          <w:trHeight w:val="277"/>
          <w:jc w:val="center"/>
        </w:trPr>
        <w:tc>
          <w:tcPr>
            <w:tcW w:w="3690" w:type="dxa"/>
            <w:tcBorders>
              <w:top w:val="single" w:sz="4" w:space="0" w:color="auto"/>
              <w:left w:val="nil"/>
              <w:bottom w:val="nil"/>
              <w:right w:val="nil"/>
            </w:tcBorders>
            <w:noWrap/>
            <w:vAlign w:val="bottom"/>
            <w:hideMark/>
          </w:tcPr>
          <w:p w14:paraId="34E2D78E" w14:textId="09ED2551" w:rsidR="001A6261" w:rsidRPr="00BC4183" w:rsidRDefault="00BC4183" w:rsidP="00BC4183">
            <w:pPr>
              <w:spacing w:after="0" w:line="240" w:lineRule="auto"/>
              <w:rPr>
                <w:rFonts w:eastAsia="Times New Roman"/>
                <w:color w:val="000000"/>
                <w:sz w:val="20"/>
                <w:szCs w:val="20"/>
              </w:rPr>
            </w:pPr>
            <w:r w:rsidRPr="00BC4183">
              <w:rPr>
                <w:rFonts w:eastAsia="Times New Roman"/>
                <w:color w:val="000000"/>
                <w:sz w:val="20"/>
                <w:szCs w:val="20"/>
              </w:rPr>
              <w:t xml:space="preserve">Husband </w:t>
            </w:r>
            <w:r w:rsidR="001A6261" w:rsidRPr="00BC4183">
              <w:rPr>
                <w:rFonts w:eastAsia="Times New Roman"/>
                <w:color w:val="000000"/>
                <w:sz w:val="20"/>
                <w:szCs w:val="20"/>
              </w:rPr>
              <w:t>edu</w:t>
            </w:r>
            <w:r w:rsidRPr="00BC4183">
              <w:rPr>
                <w:rFonts w:eastAsia="Times New Roman"/>
                <w:color w:val="000000"/>
                <w:sz w:val="20"/>
                <w:szCs w:val="20"/>
              </w:rPr>
              <w:t>cation</w:t>
            </w:r>
          </w:p>
        </w:tc>
        <w:tc>
          <w:tcPr>
            <w:tcW w:w="1800" w:type="dxa"/>
            <w:tcBorders>
              <w:top w:val="single" w:sz="4" w:space="0" w:color="auto"/>
              <w:left w:val="nil"/>
              <w:bottom w:val="nil"/>
              <w:right w:val="nil"/>
            </w:tcBorders>
            <w:noWrap/>
            <w:vAlign w:val="bottom"/>
            <w:hideMark/>
          </w:tcPr>
          <w:p w14:paraId="7D742425"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3.51</w:t>
            </w:r>
          </w:p>
        </w:tc>
        <w:tc>
          <w:tcPr>
            <w:tcW w:w="2430" w:type="dxa"/>
            <w:tcBorders>
              <w:top w:val="single" w:sz="4" w:space="0" w:color="auto"/>
              <w:left w:val="nil"/>
              <w:bottom w:val="nil"/>
              <w:right w:val="nil"/>
            </w:tcBorders>
            <w:noWrap/>
            <w:vAlign w:val="bottom"/>
            <w:hideMark/>
          </w:tcPr>
          <w:p w14:paraId="6B9B9D2B"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0.285</w:t>
            </w:r>
          </w:p>
        </w:tc>
      </w:tr>
      <w:tr w:rsidR="001A6261" w:rsidRPr="00BC4183" w14:paraId="68314BC9" w14:textId="77777777" w:rsidTr="00BC4183">
        <w:trPr>
          <w:trHeight w:val="277"/>
          <w:jc w:val="center"/>
        </w:trPr>
        <w:tc>
          <w:tcPr>
            <w:tcW w:w="3690" w:type="dxa"/>
            <w:tcBorders>
              <w:top w:val="nil"/>
              <w:left w:val="nil"/>
              <w:bottom w:val="nil"/>
              <w:right w:val="nil"/>
            </w:tcBorders>
            <w:noWrap/>
            <w:vAlign w:val="bottom"/>
            <w:hideMark/>
          </w:tcPr>
          <w:p w14:paraId="55EECFD9" w14:textId="6B4ACFD6" w:rsidR="001A6261" w:rsidRPr="00BC4183" w:rsidRDefault="00BC4183" w:rsidP="001A6261">
            <w:pPr>
              <w:spacing w:after="0" w:line="240" w:lineRule="auto"/>
              <w:rPr>
                <w:rFonts w:eastAsia="Times New Roman"/>
                <w:color w:val="000000"/>
                <w:sz w:val="20"/>
                <w:szCs w:val="20"/>
              </w:rPr>
            </w:pPr>
            <w:r w:rsidRPr="00BC4183">
              <w:rPr>
                <w:color w:val="000000"/>
                <w:sz w:val="20"/>
                <w:szCs w:val="20"/>
              </w:rPr>
              <w:t>Comparison of Partner’s Education</w:t>
            </w:r>
          </w:p>
        </w:tc>
        <w:tc>
          <w:tcPr>
            <w:tcW w:w="1800" w:type="dxa"/>
            <w:tcBorders>
              <w:top w:val="nil"/>
              <w:left w:val="nil"/>
              <w:bottom w:val="nil"/>
              <w:right w:val="nil"/>
            </w:tcBorders>
            <w:noWrap/>
            <w:vAlign w:val="bottom"/>
            <w:hideMark/>
          </w:tcPr>
          <w:p w14:paraId="45A89EC9"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3.06</w:t>
            </w:r>
          </w:p>
        </w:tc>
        <w:tc>
          <w:tcPr>
            <w:tcW w:w="2430" w:type="dxa"/>
            <w:tcBorders>
              <w:top w:val="nil"/>
              <w:left w:val="nil"/>
              <w:bottom w:val="nil"/>
              <w:right w:val="nil"/>
            </w:tcBorders>
            <w:noWrap/>
            <w:vAlign w:val="bottom"/>
            <w:hideMark/>
          </w:tcPr>
          <w:p w14:paraId="70E04E86"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0.326</w:t>
            </w:r>
          </w:p>
        </w:tc>
      </w:tr>
      <w:tr w:rsidR="001A6261" w:rsidRPr="00BC4183" w14:paraId="51305D12" w14:textId="77777777" w:rsidTr="00BC4183">
        <w:trPr>
          <w:trHeight w:val="277"/>
          <w:jc w:val="center"/>
        </w:trPr>
        <w:tc>
          <w:tcPr>
            <w:tcW w:w="3690" w:type="dxa"/>
            <w:tcBorders>
              <w:top w:val="nil"/>
              <w:left w:val="nil"/>
              <w:bottom w:val="nil"/>
              <w:right w:val="nil"/>
            </w:tcBorders>
            <w:noWrap/>
            <w:vAlign w:val="bottom"/>
            <w:hideMark/>
          </w:tcPr>
          <w:p w14:paraId="46354772" w14:textId="64FB9277" w:rsidR="001A6261" w:rsidRPr="00BC4183" w:rsidRDefault="00BC4183" w:rsidP="001A6261">
            <w:pPr>
              <w:spacing w:after="0" w:line="240" w:lineRule="auto"/>
              <w:rPr>
                <w:rFonts w:eastAsia="Times New Roman"/>
                <w:color w:val="000000"/>
                <w:sz w:val="20"/>
                <w:szCs w:val="20"/>
              </w:rPr>
            </w:pPr>
            <w:r>
              <w:rPr>
                <w:rFonts w:eastAsia="Times New Roman"/>
                <w:color w:val="000000"/>
                <w:sz w:val="20"/>
                <w:szCs w:val="20"/>
              </w:rPr>
              <w:t xml:space="preserve">Household </w:t>
            </w:r>
            <w:r w:rsidR="001A6261" w:rsidRPr="00BC4183">
              <w:rPr>
                <w:rFonts w:eastAsia="Times New Roman"/>
                <w:color w:val="000000"/>
                <w:sz w:val="20"/>
                <w:szCs w:val="20"/>
              </w:rPr>
              <w:t>wealth</w:t>
            </w:r>
            <w:r>
              <w:rPr>
                <w:rFonts w:eastAsia="Times New Roman"/>
                <w:color w:val="000000"/>
                <w:sz w:val="20"/>
                <w:szCs w:val="20"/>
              </w:rPr>
              <w:t xml:space="preserve"> index</w:t>
            </w:r>
          </w:p>
        </w:tc>
        <w:tc>
          <w:tcPr>
            <w:tcW w:w="1800" w:type="dxa"/>
            <w:tcBorders>
              <w:top w:val="nil"/>
              <w:left w:val="nil"/>
              <w:bottom w:val="nil"/>
              <w:right w:val="nil"/>
            </w:tcBorders>
            <w:noWrap/>
            <w:vAlign w:val="bottom"/>
            <w:hideMark/>
          </w:tcPr>
          <w:p w14:paraId="0502A9B3"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1.97</w:t>
            </w:r>
          </w:p>
        </w:tc>
        <w:tc>
          <w:tcPr>
            <w:tcW w:w="2430" w:type="dxa"/>
            <w:tcBorders>
              <w:top w:val="nil"/>
              <w:left w:val="nil"/>
              <w:bottom w:val="nil"/>
              <w:right w:val="nil"/>
            </w:tcBorders>
            <w:noWrap/>
            <w:vAlign w:val="bottom"/>
            <w:hideMark/>
          </w:tcPr>
          <w:p w14:paraId="5234DDDE"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0.507</w:t>
            </w:r>
          </w:p>
        </w:tc>
      </w:tr>
      <w:tr w:rsidR="001A6261" w:rsidRPr="00BC4183" w14:paraId="2F472676" w14:textId="77777777" w:rsidTr="00BC4183">
        <w:trPr>
          <w:trHeight w:val="277"/>
          <w:jc w:val="center"/>
        </w:trPr>
        <w:tc>
          <w:tcPr>
            <w:tcW w:w="3690" w:type="dxa"/>
            <w:tcBorders>
              <w:top w:val="nil"/>
              <w:left w:val="nil"/>
              <w:bottom w:val="nil"/>
              <w:right w:val="nil"/>
            </w:tcBorders>
            <w:noWrap/>
            <w:vAlign w:val="bottom"/>
            <w:hideMark/>
          </w:tcPr>
          <w:p w14:paraId="476F6A0F" w14:textId="1EB86C88" w:rsidR="001A6261" w:rsidRPr="00BC4183" w:rsidRDefault="00BC4183" w:rsidP="001A6261">
            <w:pPr>
              <w:spacing w:after="0" w:line="240" w:lineRule="auto"/>
              <w:rPr>
                <w:rFonts w:eastAsia="Times New Roman"/>
                <w:color w:val="000000"/>
                <w:sz w:val="20"/>
                <w:szCs w:val="20"/>
              </w:rPr>
            </w:pPr>
            <w:r>
              <w:rPr>
                <w:rFonts w:eastAsia="Times New Roman"/>
                <w:color w:val="000000"/>
                <w:sz w:val="20"/>
                <w:szCs w:val="20"/>
              </w:rPr>
              <w:t>IPV prevalence</w:t>
            </w:r>
          </w:p>
        </w:tc>
        <w:tc>
          <w:tcPr>
            <w:tcW w:w="1800" w:type="dxa"/>
            <w:tcBorders>
              <w:top w:val="nil"/>
              <w:left w:val="nil"/>
              <w:bottom w:val="nil"/>
              <w:right w:val="nil"/>
            </w:tcBorders>
            <w:noWrap/>
            <w:vAlign w:val="bottom"/>
            <w:hideMark/>
          </w:tcPr>
          <w:p w14:paraId="18449838"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1.63</w:t>
            </w:r>
          </w:p>
        </w:tc>
        <w:tc>
          <w:tcPr>
            <w:tcW w:w="2430" w:type="dxa"/>
            <w:tcBorders>
              <w:top w:val="nil"/>
              <w:left w:val="nil"/>
              <w:bottom w:val="nil"/>
              <w:right w:val="nil"/>
            </w:tcBorders>
            <w:noWrap/>
            <w:vAlign w:val="bottom"/>
            <w:hideMark/>
          </w:tcPr>
          <w:p w14:paraId="1A905CDC"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0.615</w:t>
            </w:r>
          </w:p>
        </w:tc>
      </w:tr>
      <w:tr w:rsidR="001A6261" w:rsidRPr="00BC4183" w14:paraId="37D18C37" w14:textId="77777777" w:rsidTr="00BC4183">
        <w:trPr>
          <w:trHeight w:val="277"/>
          <w:jc w:val="center"/>
        </w:trPr>
        <w:tc>
          <w:tcPr>
            <w:tcW w:w="3690" w:type="dxa"/>
            <w:tcBorders>
              <w:top w:val="nil"/>
              <w:left w:val="nil"/>
              <w:bottom w:val="nil"/>
              <w:right w:val="nil"/>
            </w:tcBorders>
            <w:noWrap/>
            <w:vAlign w:val="bottom"/>
            <w:hideMark/>
          </w:tcPr>
          <w:p w14:paraId="579B3BBB" w14:textId="78F13181" w:rsidR="001A6261" w:rsidRPr="00BC4183" w:rsidRDefault="00BC4183" w:rsidP="001A6261">
            <w:pPr>
              <w:spacing w:after="0" w:line="240" w:lineRule="auto"/>
              <w:rPr>
                <w:rFonts w:eastAsia="Times New Roman"/>
                <w:color w:val="000000"/>
                <w:sz w:val="20"/>
                <w:szCs w:val="20"/>
              </w:rPr>
            </w:pPr>
            <w:r w:rsidRPr="00BC4183">
              <w:rPr>
                <w:rFonts w:eastAsia="Times New Roman"/>
                <w:color w:val="000000"/>
                <w:sz w:val="20"/>
                <w:szCs w:val="20"/>
              </w:rPr>
              <w:t>R</w:t>
            </w:r>
            <w:r w:rsidR="001A6261" w:rsidRPr="00BC4183">
              <w:rPr>
                <w:rFonts w:eastAsia="Times New Roman"/>
                <w:color w:val="000000"/>
                <w:sz w:val="20"/>
                <w:szCs w:val="20"/>
              </w:rPr>
              <w:t>esidency</w:t>
            </w:r>
          </w:p>
        </w:tc>
        <w:tc>
          <w:tcPr>
            <w:tcW w:w="1800" w:type="dxa"/>
            <w:tcBorders>
              <w:top w:val="nil"/>
              <w:left w:val="nil"/>
              <w:bottom w:val="nil"/>
              <w:right w:val="nil"/>
            </w:tcBorders>
            <w:noWrap/>
            <w:vAlign w:val="bottom"/>
            <w:hideMark/>
          </w:tcPr>
          <w:p w14:paraId="794F5DFB"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1.61</w:t>
            </w:r>
          </w:p>
        </w:tc>
        <w:tc>
          <w:tcPr>
            <w:tcW w:w="2430" w:type="dxa"/>
            <w:tcBorders>
              <w:top w:val="nil"/>
              <w:left w:val="nil"/>
              <w:bottom w:val="nil"/>
              <w:right w:val="nil"/>
            </w:tcBorders>
            <w:noWrap/>
            <w:vAlign w:val="bottom"/>
            <w:hideMark/>
          </w:tcPr>
          <w:p w14:paraId="74D55958"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0.622</w:t>
            </w:r>
          </w:p>
        </w:tc>
      </w:tr>
      <w:tr w:rsidR="001A6261" w:rsidRPr="00BC4183" w14:paraId="4CD22082" w14:textId="77777777" w:rsidTr="00BC4183">
        <w:trPr>
          <w:trHeight w:val="277"/>
          <w:jc w:val="center"/>
        </w:trPr>
        <w:tc>
          <w:tcPr>
            <w:tcW w:w="3690" w:type="dxa"/>
            <w:tcBorders>
              <w:top w:val="nil"/>
              <w:left w:val="nil"/>
              <w:bottom w:val="nil"/>
              <w:right w:val="nil"/>
            </w:tcBorders>
            <w:noWrap/>
            <w:vAlign w:val="bottom"/>
            <w:hideMark/>
          </w:tcPr>
          <w:p w14:paraId="7CFCEE92" w14:textId="3172325C" w:rsidR="001A6261" w:rsidRPr="00BC4183" w:rsidRDefault="00BC4183" w:rsidP="001A6261">
            <w:pPr>
              <w:spacing w:after="0" w:line="240" w:lineRule="auto"/>
              <w:rPr>
                <w:rFonts w:eastAsia="Times New Roman"/>
                <w:color w:val="000000"/>
                <w:sz w:val="20"/>
                <w:szCs w:val="20"/>
              </w:rPr>
            </w:pPr>
            <w:r>
              <w:rPr>
                <w:rFonts w:eastAsia="Times New Roman"/>
                <w:color w:val="000000"/>
                <w:sz w:val="20"/>
                <w:szCs w:val="20"/>
              </w:rPr>
              <w:t>Women’s e</w:t>
            </w:r>
            <w:r w:rsidR="001A6261" w:rsidRPr="00BC4183">
              <w:rPr>
                <w:rFonts w:eastAsia="Times New Roman"/>
                <w:color w:val="000000"/>
                <w:sz w:val="20"/>
                <w:szCs w:val="20"/>
              </w:rPr>
              <w:t>du</w:t>
            </w:r>
            <w:r>
              <w:rPr>
                <w:rFonts w:eastAsia="Times New Roman"/>
                <w:color w:val="000000"/>
                <w:sz w:val="20"/>
                <w:szCs w:val="20"/>
              </w:rPr>
              <w:t>cation</w:t>
            </w:r>
          </w:p>
        </w:tc>
        <w:tc>
          <w:tcPr>
            <w:tcW w:w="1800" w:type="dxa"/>
            <w:tcBorders>
              <w:top w:val="nil"/>
              <w:left w:val="nil"/>
              <w:bottom w:val="nil"/>
              <w:right w:val="nil"/>
            </w:tcBorders>
            <w:noWrap/>
            <w:vAlign w:val="bottom"/>
            <w:hideMark/>
          </w:tcPr>
          <w:p w14:paraId="0E595A04"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1.6</w:t>
            </w:r>
          </w:p>
        </w:tc>
        <w:tc>
          <w:tcPr>
            <w:tcW w:w="2430" w:type="dxa"/>
            <w:tcBorders>
              <w:top w:val="nil"/>
              <w:left w:val="nil"/>
              <w:bottom w:val="nil"/>
              <w:right w:val="nil"/>
            </w:tcBorders>
            <w:noWrap/>
            <w:vAlign w:val="bottom"/>
            <w:hideMark/>
          </w:tcPr>
          <w:p w14:paraId="14DF126A"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0.625</w:t>
            </w:r>
          </w:p>
        </w:tc>
      </w:tr>
      <w:tr w:rsidR="001A6261" w:rsidRPr="00BC4183" w14:paraId="2EA4B304" w14:textId="77777777" w:rsidTr="00BC4183">
        <w:trPr>
          <w:trHeight w:val="277"/>
          <w:jc w:val="center"/>
        </w:trPr>
        <w:tc>
          <w:tcPr>
            <w:tcW w:w="3690" w:type="dxa"/>
            <w:tcBorders>
              <w:top w:val="nil"/>
              <w:left w:val="nil"/>
              <w:bottom w:val="nil"/>
              <w:right w:val="nil"/>
            </w:tcBorders>
            <w:noWrap/>
            <w:vAlign w:val="bottom"/>
            <w:hideMark/>
          </w:tcPr>
          <w:p w14:paraId="3435F751" w14:textId="1E472DC8" w:rsidR="001A6261" w:rsidRPr="00BC4183" w:rsidRDefault="00BC4183" w:rsidP="001A6261">
            <w:pPr>
              <w:spacing w:after="0" w:line="240" w:lineRule="auto"/>
              <w:rPr>
                <w:rFonts w:eastAsia="Times New Roman"/>
                <w:color w:val="000000"/>
                <w:sz w:val="20"/>
                <w:szCs w:val="20"/>
              </w:rPr>
            </w:pPr>
            <w:r>
              <w:rPr>
                <w:rFonts w:eastAsia="Times New Roman"/>
                <w:color w:val="000000"/>
                <w:sz w:val="20"/>
                <w:szCs w:val="20"/>
              </w:rPr>
              <w:t>Aggregated wealth</w:t>
            </w:r>
          </w:p>
        </w:tc>
        <w:tc>
          <w:tcPr>
            <w:tcW w:w="1800" w:type="dxa"/>
            <w:tcBorders>
              <w:top w:val="nil"/>
              <w:left w:val="nil"/>
              <w:bottom w:val="nil"/>
              <w:right w:val="nil"/>
            </w:tcBorders>
            <w:noWrap/>
            <w:vAlign w:val="bottom"/>
            <w:hideMark/>
          </w:tcPr>
          <w:p w14:paraId="155D9AF9"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1.54</w:t>
            </w:r>
          </w:p>
        </w:tc>
        <w:tc>
          <w:tcPr>
            <w:tcW w:w="2430" w:type="dxa"/>
            <w:tcBorders>
              <w:top w:val="nil"/>
              <w:left w:val="nil"/>
              <w:bottom w:val="nil"/>
              <w:right w:val="nil"/>
            </w:tcBorders>
            <w:noWrap/>
            <w:vAlign w:val="bottom"/>
            <w:hideMark/>
          </w:tcPr>
          <w:p w14:paraId="430EECF1"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0.649</w:t>
            </w:r>
          </w:p>
        </w:tc>
      </w:tr>
      <w:tr w:rsidR="001A6261" w:rsidRPr="00BC4183" w14:paraId="5653CA7E" w14:textId="77777777" w:rsidTr="00BC4183">
        <w:trPr>
          <w:trHeight w:val="277"/>
          <w:jc w:val="center"/>
        </w:trPr>
        <w:tc>
          <w:tcPr>
            <w:tcW w:w="3690" w:type="dxa"/>
            <w:tcBorders>
              <w:top w:val="nil"/>
              <w:left w:val="nil"/>
              <w:bottom w:val="nil"/>
              <w:right w:val="nil"/>
            </w:tcBorders>
            <w:noWrap/>
            <w:vAlign w:val="bottom"/>
            <w:hideMark/>
          </w:tcPr>
          <w:p w14:paraId="7F7475A5" w14:textId="42EEF777" w:rsidR="001A6261" w:rsidRPr="00BC4183" w:rsidRDefault="00BC4183" w:rsidP="001A6261">
            <w:pPr>
              <w:spacing w:after="0" w:line="240" w:lineRule="auto"/>
              <w:rPr>
                <w:rFonts w:eastAsia="Times New Roman"/>
                <w:color w:val="000000"/>
                <w:sz w:val="20"/>
                <w:szCs w:val="20"/>
              </w:rPr>
            </w:pPr>
            <w:r w:rsidRPr="00BC4183">
              <w:rPr>
                <w:rFonts w:eastAsia="Times New Roman"/>
                <w:color w:val="000000"/>
                <w:sz w:val="20"/>
                <w:szCs w:val="20"/>
              </w:rPr>
              <w:t>P</w:t>
            </w:r>
            <w:r>
              <w:rPr>
                <w:rFonts w:eastAsia="Times New Roman"/>
                <w:color w:val="000000"/>
                <w:sz w:val="20"/>
                <w:szCs w:val="20"/>
              </w:rPr>
              <w:t>hysical IPV</w:t>
            </w:r>
          </w:p>
        </w:tc>
        <w:tc>
          <w:tcPr>
            <w:tcW w:w="1800" w:type="dxa"/>
            <w:tcBorders>
              <w:top w:val="nil"/>
              <w:left w:val="nil"/>
              <w:bottom w:val="nil"/>
              <w:right w:val="nil"/>
            </w:tcBorders>
            <w:noWrap/>
            <w:vAlign w:val="bottom"/>
            <w:hideMark/>
          </w:tcPr>
          <w:p w14:paraId="31D228F0"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1.49</w:t>
            </w:r>
          </w:p>
        </w:tc>
        <w:tc>
          <w:tcPr>
            <w:tcW w:w="2430" w:type="dxa"/>
            <w:tcBorders>
              <w:top w:val="nil"/>
              <w:left w:val="nil"/>
              <w:bottom w:val="nil"/>
              <w:right w:val="nil"/>
            </w:tcBorders>
            <w:noWrap/>
            <w:vAlign w:val="bottom"/>
            <w:hideMark/>
          </w:tcPr>
          <w:p w14:paraId="66794B8A"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0.671</w:t>
            </w:r>
          </w:p>
        </w:tc>
      </w:tr>
      <w:tr w:rsidR="001A6261" w:rsidRPr="00BC4183" w14:paraId="3AEF7954" w14:textId="77777777" w:rsidTr="00BC4183">
        <w:trPr>
          <w:trHeight w:val="277"/>
          <w:jc w:val="center"/>
        </w:trPr>
        <w:tc>
          <w:tcPr>
            <w:tcW w:w="3690" w:type="dxa"/>
            <w:tcBorders>
              <w:top w:val="nil"/>
              <w:left w:val="nil"/>
              <w:bottom w:val="nil"/>
              <w:right w:val="nil"/>
            </w:tcBorders>
            <w:noWrap/>
            <w:vAlign w:val="bottom"/>
            <w:hideMark/>
          </w:tcPr>
          <w:p w14:paraId="678C2A0C" w14:textId="3A5B4715" w:rsidR="001A6261" w:rsidRPr="00BC4183" w:rsidRDefault="00BC4183" w:rsidP="001A6261">
            <w:pPr>
              <w:spacing w:after="0" w:line="240" w:lineRule="auto"/>
              <w:rPr>
                <w:rFonts w:eastAsia="Times New Roman"/>
                <w:color w:val="000000"/>
                <w:sz w:val="20"/>
                <w:szCs w:val="20"/>
              </w:rPr>
            </w:pPr>
            <w:r w:rsidRPr="00BC4183">
              <w:rPr>
                <w:rFonts w:eastAsia="Times New Roman"/>
                <w:color w:val="000000"/>
                <w:sz w:val="20"/>
                <w:szCs w:val="20"/>
              </w:rPr>
              <w:t>C</w:t>
            </w:r>
            <w:r w:rsidR="001A6261" w:rsidRPr="00BC4183">
              <w:rPr>
                <w:rFonts w:eastAsia="Times New Roman"/>
                <w:color w:val="000000"/>
                <w:sz w:val="20"/>
                <w:szCs w:val="20"/>
              </w:rPr>
              <w:t>onflict</w:t>
            </w:r>
            <w:r>
              <w:rPr>
                <w:rFonts w:eastAsia="Times New Roman"/>
                <w:color w:val="000000"/>
                <w:sz w:val="20"/>
                <w:szCs w:val="20"/>
              </w:rPr>
              <w:t xml:space="preserve"> severity</w:t>
            </w:r>
          </w:p>
        </w:tc>
        <w:tc>
          <w:tcPr>
            <w:tcW w:w="1800" w:type="dxa"/>
            <w:tcBorders>
              <w:top w:val="nil"/>
              <w:left w:val="nil"/>
              <w:bottom w:val="nil"/>
              <w:right w:val="nil"/>
            </w:tcBorders>
            <w:noWrap/>
            <w:vAlign w:val="bottom"/>
            <w:hideMark/>
          </w:tcPr>
          <w:p w14:paraId="07360C3E"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1.49</w:t>
            </w:r>
          </w:p>
        </w:tc>
        <w:tc>
          <w:tcPr>
            <w:tcW w:w="2430" w:type="dxa"/>
            <w:tcBorders>
              <w:top w:val="nil"/>
              <w:left w:val="nil"/>
              <w:bottom w:val="nil"/>
              <w:right w:val="nil"/>
            </w:tcBorders>
            <w:noWrap/>
            <w:vAlign w:val="bottom"/>
            <w:hideMark/>
          </w:tcPr>
          <w:p w14:paraId="3F805FFE"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0.673</w:t>
            </w:r>
          </w:p>
        </w:tc>
      </w:tr>
      <w:tr w:rsidR="001A6261" w:rsidRPr="00BC4183" w14:paraId="353C2F85" w14:textId="77777777" w:rsidTr="00BC4183">
        <w:trPr>
          <w:trHeight w:val="277"/>
          <w:jc w:val="center"/>
        </w:trPr>
        <w:tc>
          <w:tcPr>
            <w:tcW w:w="3690" w:type="dxa"/>
            <w:tcBorders>
              <w:top w:val="nil"/>
              <w:left w:val="nil"/>
              <w:bottom w:val="nil"/>
              <w:right w:val="nil"/>
            </w:tcBorders>
            <w:noWrap/>
            <w:vAlign w:val="bottom"/>
            <w:hideMark/>
          </w:tcPr>
          <w:p w14:paraId="100E4E21" w14:textId="1ADDA2CE" w:rsidR="001A6261" w:rsidRPr="00BC4183" w:rsidRDefault="00BC4183" w:rsidP="001A6261">
            <w:pPr>
              <w:spacing w:after="0" w:line="240" w:lineRule="auto"/>
              <w:rPr>
                <w:rFonts w:eastAsia="Times New Roman"/>
                <w:color w:val="000000"/>
                <w:sz w:val="20"/>
                <w:szCs w:val="20"/>
              </w:rPr>
            </w:pPr>
            <w:r>
              <w:rPr>
                <w:rFonts w:eastAsia="Times New Roman"/>
                <w:color w:val="000000"/>
                <w:sz w:val="20"/>
                <w:szCs w:val="20"/>
              </w:rPr>
              <w:t>Aggregated education</w:t>
            </w:r>
          </w:p>
        </w:tc>
        <w:tc>
          <w:tcPr>
            <w:tcW w:w="1800" w:type="dxa"/>
            <w:tcBorders>
              <w:top w:val="nil"/>
              <w:left w:val="nil"/>
              <w:bottom w:val="nil"/>
              <w:right w:val="nil"/>
            </w:tcBorders>
            <w:noWrap/>
            <w:vAlign w:val="bottom"/>
            <w:hideMark/>
          </w:tcPr>
          <w:p w14:paraId="0FD80DD3"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1.43</w:t>
            </w:r>
          </w:p>
        </w:tc>
        <w:tc>
          <w:tcPr>
            <w:tcW w:w="2430" w:type="dxa"/>
            <w:tcBorders>
              <w:top w:val="nil"/>
              <w:left w:val="nil"/>
              <w:bottom w:val="nil"/>
              <w:right w:val="nil"/>
            </w:tcBorders>
            <w:noWrap/>
            <w:vAlign w:val="bottom"/>
            <w:hideMark/>
          </w:tcPr>
          <w:p w14:paraId="6E971637"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0.698</w:t>
            </w:r>
          </w:p>
        </w:tc>
      </w:tr>
      <w:tr w:rsidR="001A6261" w:rsidRPr="00BC4183" w14:paraId="7E82CD1C" w14:textId="77777777" w:rsidTr="00BC4183">
        <w:trPr>
          <w:trHeight w:val="277"/>
          <w:jc w:val="center"/>
        </w:trPr>
        <w:tc>
          <w:tcPr>
            <w:tcW w:w="3690" w:type="dxa"/>
            <w:tcBorders>
              <w:top w:val="nil"/>
              <w:left w:val="nil"/>
              <w:bottom w:val="nil"/>
              <w:right w:val="nil"/>
            </w:tcBorders>
            <w:noWrap/>
            <w:vAlign w:val="bottom"/>
            <w:hideMark/>
          </w:tcPr>
          <w:p w14:paraId="60F7DEC0" w14:textId="00D7A4C8" w:rsidR="001A6261" w:rsidRPr="00BC4183" w:rsidRDefault="00BC4183" w:rsidP="001A6261">
            <w:pPr>
              <w:spacing w:after="0" w:line="240" w:lineRule="auto"/>
              <w:rPr>
                <w:rFonts w:eastAsia="Times New Roman"/>
                <w:color w:val="000000"/>
                <w:sz w:val="20"/>
                <w:szCs w:val="20"/>
              </w:rPr>
            </w:pPr>
            <w:r>
              <w:rPr>
                <w:rFonts w:eastAsia="Times New Roman"/>
                <w:color w:val="000000"/>
                <w:sz w:val="20"/>
                <w:szCs w:val="20"/>
              </w:rPr>
              <w:t>Aggregated IPV justification</w:t>
            </w:r>
          </w:p>
        </w:tc>
        <w:tc>
          <w:tcPr>
            <w:tcW w:w="1800" w:type="dxa"/>
            <w:tcBorders>
              <w:top w:val="nil"/>
              <w:left w:val="nil"/>
              <w:bottom w:val="nil"/>
              <w:right w:val="nil"/>
            </w:tcBorders>
            <w:noWrap/>
            <w:vAlign w:val="bottom"/>
            <w:hideMark/>
          </w:tcPr>
          <w:p w14:paraId="202958FF"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1.39</w:t>
            </w:r>
          </w:p>
        </w:tc>
        <w:tc>
          <w:tcPr>
            <w:tcW w:w="2430" w:type="dxa"/>
            <w:tcBorders>
              <w:top w:val="nil"/>
              <w:left w:val="nil"/>
              <w:bottom w:val="nil"/>
              <w:right w:val="nil"/>
            </w:tcBorders>
            <w:noWrap/>
            <w:vAlign w:val="bottom"/>
            <w:hideMark/>
          </w:tcPr>
          <w:p w14:paraId="6D480208"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0.719</w:t>
            </w:r>
          </w:p>
        </w:tc>
      </w:tr>
      <w:tr w:rsidR="001A6261" w:rsidRPr="00BC4183" w14:paraId="482035C2" w14:textId="77777777" w:rsidTr="00BC4183">
        <w:trPr>
          <w:trHeight w:val="277"/>
          <w:jc w:val="center"/>
        </w:trPr>
        <w:tc>
          <w:tcPr>
            <w:tcW w:w="3690" w:type="dxa"/>
            <w:tcBorders>
              <w:top w:val="nil"/>
              <w:left w:val="nil"/>
              <w:bottom w:val="nil"/>
              <w:right w:val="nil"/>
            </w:tcBorders>
            <w:noWrap/>
            <w:vAlign w:val="bottom"/>
            <w:hideMark/>
          </w:tcPr>
          <w:p w14:paraId="7B03B410" w14:textId="5B2D3DF4" w:rsidR="001A6261" w:rsidRPr="00BC4183" w:rsidRDefault="00BC4183" w:rsidP="001A6261">
            <w:pPr>
              <w:spacing w:after="0" w:line="240" w:lineRule="auto"/>
              <w:rPr>
                <w:rFonts w:eastAsia="Times New Roman"/>
                <w:color w:val="000000"/>
                <w:sz w:val="20"/>
                <w:szCs w:val="20"/>
              </w:rPr>
            </w:pPr>
            <w:r w:rsidRPr="00BC4183">
              <w:rPr>
                <w:rFonts w:eastAsia="Times New Roman"/>
                <w:color w:val="000000"/>
                <w:sz w:val="20"/>
                <w:szCs w:val="20"/>
              </w:rPr>
              <w:t>E</w:t>
            </w:r>
            <w:r w:rsidR="001A6261" w:rsidRPr="00BC4183">
              <w:rPr>
                <w:rFonts w:eastAsia="Times New Roman"/>
                <w:color w:val="000000"/>
                <w:sz w:val="20"/>
                <w:szCs w:val="20"/>
              </w:rPr>
              <w:t>thnicity</w:t>
            </w:r>
            <w:r>
              <w:rPr>
                <w:rFonts w:eastAsia="Times New Roman"/>
                <w:color w:val="000000"/>
                <w:sz w:val="20"/>
                <w:szCs w:val="20"/>
              </w:rPr>
              <w:t xml:space="preserve"> </w:t>
            </w:r>
          </w:p>
        </w:tc>
        <w:tc>
          <w:tcPr>
            <w:tcW w:w="1800" w:type="dxa"/>
            <w:tcBorders>
              <w:top w:val="nil"/>
              <w:left w:val="nil"/>
              <w:bottom w:val="nil"/>
              <w:right w:val="nil"/>
            </w:tcBorders>
            <w:noWrap/>
            <w:vAlign w:val="bottom"/>
            <w:hideMark/>
          </w:tcPr>
          <w:p w14:paraId="581FC49E"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1.32</w:t>
            </w:r>
          </w:p>
        </w:tc>
        <w:tc>
          <w:tcPr>
            <w:tcW w:w="2430" w:type="dxa"/>
            <w:tcBorders>
              <w:top w:val="nil"/>
              <w:left w:val="nil"/>
              <w:bottom w:val="nil"/>
              <w:right w:val="nil"/>
            </w:tcBorders>
            <w:noWrap/>
            <w:vAlign w:val="bottom"/>
            <w:hideMark/>
          </w:tcPr>
          <w:p w14:paraId="55C6D683"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0.755</w:t>
            </w:r>
          </w:p>
        </w:tc>
      </w:tr>
      <w:tr w:rsidR="001A6261" w:rsidRPr="00BC4183" w14:paraId="69B53A6B" w14:textId="77777777" w:rsidTr="00BC4183">
        <w:trPr>
          <w:trHeight w:val="277"/>
          <w:jc w:val="center"/>
        </w:trPr>
        <w:tc>
          <w:tcPr>
            <w:tcW w:w="3690" w:type="dxa"/>
            <w:tcBorders>
              <w:top w:val="nil"/>
              <w:left w:val="nil"/>
              <w:bottom w:val="nil"/>
              <w:right w:val="nil"/>
            </w:tcBorders>
            <w:noWrap/>
            <w:vAlign w:val="bottom"/>
            <w:hideMark/>
          </w:tcPr>
          <w:p w14:paraId="16BB28F9" w14:textId="1F4EB5BD" w:rsidR="001A6261" w:rsidRPr="00BC4183" w:rsidRDefault="00BC4183" w:rsidP="001A6261">
            <w:pPr>
              <w:spacing w:after="0" w:line="240" w:lineRule="auto"/>
              <w:rPr>
                <w:rFonts w:eastAsia="Times New Roman"/>
                <w:color w:val="000000"/>
                <w:sz w:val="20"/>
                <w:szCs w:val="20"/>
              </w:rPr>
            </w:pPr>
            <w:r w:rsidRPr="00BC4183">
              <w:rPr>
                <w:rFonts w:eastAsia="Times New Roman"/>
                <w:color w:val="000000"/>
                <w:sz w:val="20"/>
                <w:szCs w:val="20"/>
              </w:rPr>
              <w:t>C</w:t>
            </w:r>
            <w:r w:rsidR="001A6261" w:rsidRPr="00BC4183">
              <w:rPr>
                <w:rFonts w:eastAsia="Times New Roman"/>
                <w:color w:val="000000"/>
                <w:sz w:val="20"/>
                <w:szCs w:val="20"/>
              </w:rPr>
              <w:t>ontrol</w:t>
            </w:r>
            <w:r>
              <w:rPr>
                <w:rFonts w:eastAsia="Times New Roman"/>
                <w:color w:val="000000"/>
                <w:sz w:val="20"/>
                <w:szCs w:val="20"/>
              </w:rPr>
              <w:t>ling behavior</w:t>
            </w:r>
          </w:p>
        </w:tc>
        <w:tc>
          <w:tcPr>
            <w:tcW w:w="1800" w:type="dxa"/>
            <w:tcBorders>
              <w:top w:val="nil"/>
              <w:left w:val="nil"/>
              <w:bottom w:val="nil"/>
              <w:right w:val="nil"/>
            </w:tcBorders>
            <w:noWrap/>
            <w:vAlign w:val="bottom"/>
            <w:hideMark/>
          </w:tcPr>
          <w:p w14:paraId="251F959A"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1.29</w:t>
            </w:r>
          </w:p>
        </w:tc>
        <w:tc>
          <w:tcPr>
            <w:tcW w:w="2430" w:type="dxa"/>
            <w:tcBorders>
              <w:top w:val="nil"/>
              <w:left w:val="nil"/>
              <w:bottom w:val="nil"/>
              <w:right w:val="nil"/>
            </w:tcBorders>
            <w:noWrap/>
            <w:vAlign w:val="bottom"/>
            <w:hideMark/>
          </w:tcPr>
          <w:p w14:paraId="47BAF0D0"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0.776</w:t>
            </w:r>
          </w:p>
        </w:tc>
      </w:tr>
      <w:tr w:rsidR="001A6261" w:rsidRPr="00BC4183" w14:paraId="1A39B683" w14:textId="77777777" w:rsidTr="00BC4183">
        <w:trPr>
          <w:trHeight w:val="277"/>
          <w:jc w:val="center"/>
        </w:trPr>
        <w:tc>
          <w:tcPr>
            <w:tcW w:w="3690" w:type="dxa"/>
            <w:tcBorders>
              <w:top w:val="nil"/>
              <w:left w:val="nil"/>
              <w:bottom w:val="nil"/>
              <w:right w:val="nil"/>
            </w:tcBorders>
            <w:noWrap/>
            <w:vAlign w:val="bottom"/>
            <w:hideMark/>
          </w:tcPr>
          <w:p w14:paraId="688F196C" w14:textId="4039CF46" w:rsidR="001A6261" w:rsidRPr="00BC4183" w:rsidRDefault="00BC4183" w:rsidP="001A6261">
            <w:pPr>
              <w:spacing w:after="0" w:line="240" w:lineRule="auto"/>
              <w:rPr>
                <w:rFonts w:eastAsia="Times New Roman"/>
                <w:color w:val="000000"/>
                <w:sz w:val="20"/>
                <w:szCs w:val="20"/>
              </w:rPr>
            </w:pPr>
            <w:r w:rsidRPr="00BC4183">
              <w:rPr>
                <w:rFonts w:eastAsia="Times New Roman"/>
                <w:color w:val="000000"/>
                <w:sz w:val="20"/>
                <w:szCs w:val="20"/>
              </w:rPr>
              <w:t>S</w:t>
            </w:r>
            <w:r w:rsidR="001A6261" w:rsidRPr="00BC4183">
              <w:rPr>
                <w:rFonts w:eastAsia="Times New Roman"/>
                <w:color w:val="000000"/>
                <w:sz w:val="20"/>
                <w:szCs w:val="20"/>
              </w:rPr>
              <w:t>exual</w:t>
            </w:r>
            <w:r>
              <w:rPr>
                <w:rFonts w:eastAsia="Times New Roman"/>
                <w:color w:val="000000"/>
                <w:sz w:val="20"/>
                <w:szCs w:val="20"/>
              </w:rPr>
              <w:t xml:space="preserve"> IPV</w:t>
            </w:r>
          </w:p>
        </w:tc>
        <w:tc>
          <w:tcPr>
            <w:tcW w:w="1800" w:type="dxa"/>
            <w:tcBorders>
              <w:top w:val="nil"/>
              <w:left w:val="nil"/>
              <w:bottom w:val="nil"/>
              <w:right w:val="nil"/>
            </w:tcBorders>
            <w:noWrap/>
            <w:vAlign w:val="bottom"/>
            <w:hideMark/>
          </w:tcPr>
          <w:p w14:paraId="54CF3C6B"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1.19</w:t>
            </w:r>
          </w:p>
        </w:tc>
        <w:tc>
          <w:tcPr>
            <w:tcW w:w="2430" w:type="dxa"/>
            <w:tcBorders>
              <w:top w:val="nil"/>
              <w:left w:val="nil"/>
              <w:bottom w:val="nil"/>
              <w:right w:val="nil"/>
            </w:tcBorders>
            <w:noWrap/>
            <w:vAlign w:val="bottom"/>
            <w:hideMark/>
          </w:tcPr>
          <w:p w14:paraId="2D4DBC33"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0.838</w:t>
            </w:r>
          </w:p>
        </w:tc>
      </w:tr>
      <w:tr w:rsidR="001A6261" w:rsidRPr="00BC4183" w14:paraId="382F66A8" w14:textId="77777777" w:rsidTr="00BC4183">
        <w:trPr>
          <w:trHeight w:val="277"/>
          <w:jc w:val="center"/>
        </w:trPr>
        <w:tc>
          <w:tcPr>
            <w:tcW w:w="3690" w:type="dxa"/>
            <w:tcBorders>
              <w:top w:val="nil"/>
              <w:left w:val="nil"/>
              <w:bottom w:val="nil"/>
              <w:right w:val="nil"/>
            </w:tcBorders>
            <w:noWrap/>
            <w:vAlign w:val="bottom"/>
            <w:hideMark/>
          </w:tcPr>
          <w:p w14:paraId="331B8C18" w14:textId="52F390E3" w:rsidR="001A6261" w:rsidRPr="00BC4183" w:rsidRDefault="00BC4183" w:rsidP="001A6261">
            <w:pPr>
              <w:spacing w:after="0" w:line="240" w:lineRule="auto"/>
              <w:rPr>
                <w:rFonts w:eastAsia="Times New Roman"/>
                <w:color w:val="000000"/>
                <w:sz w:val="20"/>
                <w:szCs w:val="20"/>
              </w:rPr>
            </w:pPr>
            <w:r>
              <w:rPr>
                <w:rFonts w:eastAsia="Times New Roman"/>
                <w:color w:val="000000"/>
                <w:sz w:val="20"/>
                <w:szCs w:val="20"/>
              </w:rPr>
              <w:t xml:space="preserve">IPV </w:t>
            </w:r>
            <w:r w:rsidR="001A6261" w:rsidRPr="00BC4183">
              <w:rPr>
                <w:rFonts w:eastAsia="Times New Roman"/>
                <w:color w:val="000000"/>
                <w:sz w:val="20"/>
                <w:szCs w:val="20"/>
              </w:rPr>
              <w:t>justif</w:t>
            </w:r>
            <w:r>
              <w:rPr>
                <w:rFonts w:eastAsia="Times New Roman"/>
                <w:color w:val="000000"/>
                <w:sz w:val="20"/>
                <w:szCs w:val="20"/>
              </w:rPr>
              <w:t xml:space="preserve">ication </w:t>
            </w:r>
          </w:p>
        </w:tc>
        <w:tc>
          <w:tcPr>
            <w:tcW w:w="1800" w:type="dxa"/>
            <w:tcBorders>
              <w:top w:val="nil"/>
              <w:left w:val="nil"/>
              <w:bottom w:val="nil"/>
              <w:right w:val="nil"/>
            </w:tcBorders>
            <w:noWrap/>
            <w:vAlign w:val="bottom"/>
            <w:hideMark/>
          </w:tcPr>
          <w:p w14:paraId="42DA39A7"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1.17</w:t>
            </w:r>
          </w:p>
        </w:tc>
        <w:tc>
          <w:tcPr>
            <w:tcW w:w="2430" w:type="dxa"/>
            <w:tcBorders>
              <w:top w:val="nil"/>
              <w:left w:val="nil"/>
              <w:bottom w:val="nil"/>
              <w:right w:val="nil"/>
            </w:tcBorders>
            <w:noWrap/>
            <w:vAlign w:val="bottom"/>
            <w:hideMark/>
          </w:tcPr>
          <w:p w14:paraId="48E299B4"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0.852</w:t>
            </w:r>
          </w:p>
        </w:tc>
      </w:tr>
      <w:tr w:rsidR="001A6261" w:rsidRPr="00BC4183" w14:paraId="33A6791E" w14:textId="77777777" w:rsidTr="00BC4183">
        <w:trPr>
          <w:trHeight w:val="277"/>
          <w:jc w:val="center"/>
        </w:trPr>
        <w:tc>
          <w:tcPr>
            <w:tcW w:w="3690" w:type="dxa"/>
            <w:tcBorders>
              <w:top w:val="nil"/>
              <w:left w:val="nil"/>
              <w:bottom w:val="nil"/>
              <w:right w:val="nil"/>
            </w:tcBorders>
            <w:noWrap/>
            <w:vAlign w:val="bottom"/>
            <w:hideMark/>
          </w:tcPr>
          <w:p w14:paraId="0D8213D3" w14:textId="24A64FD6" w:rsidR="001A6261" w:rsidRPr="00BC4183" w:rsidRDefault="00BC4183" w:rsidP="001A6261">
            <w:pPr>
              <w:spacing w:after="0" w:line="240" w:lineRule="auto"/>
              <w:rPr>
                <w:rFonts w:eastAsia="Times New Roman"/>
                <w:color w:val="000000"/>
                <w:sz w:val="20"/>
                <w:szCs w:val="20"/>
              </w:rPr>
            </w:pPr>
            <w:r>
              <w:rPr>
                <w:rFonts w:eastAsia="Times New Roman"/>
                <w:color w:val="000000"/>
                <w:sz w:val="20"/>
                <w:szCs w:val="20"/>
              </w:rPr>
              <w:t xml:space="preserve">Women’s </w:t>
            </w:r>
            <w:r w:rsidR="001A6261" w:rsidRPr="00BC4183">
              <w:rPr>
                <w:rFonts w:eastAsia="Times New Roman"/>
                <w:color w:val="000000"/>
                <w:sz w:val="20"/>
                <w:szCs w:val="20"/>
              </w:rPr>
              <w:t>autonomy</w:t>
            </w:r>
          </w:p>
        </w:tc>
        <w:tc>
          <w:tcPr>
            <w:tcW w:w="1800" w:type="dxa"/>
            <w:tcBorders>
              <w:top w:val="nil"/>
              <w:left w:val="nil"/>
              <w:bottom w:val="nil"/>
              <w:right w:val="nil"/>
            </w:tcBorders>
            <w:noWrap/>
            <w:vAlign w:val="bottom"/>
            <w:hideMark/>
          </w:tcPr>
          <w:p w14:paraId="523F427E"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1.15</w:t>
            </w:r>
          </w:p>
        </w:tc>
        <w:tc>
          <w:tcPr>
            <w:tcW w:w="2430" w:type="dxa"/>
            <w:tcBorders>
              <w:top w:val="nil"/>
              <w:left w:val="nil"/>
              <w:bottom w:val="nil"/>
              <w:right w:val="nil"/>
            </w:tcBorders>
            <w:noWrap/>
            <w:vAlign w:val="bottom"/>
            <w:hideMark/>
          </w:tcPr>
          <w:p w14:paraId="5FE6C87E"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0.866</w:t>
            </w:r>
          </w:p>
        </w:tc>
      </w:tr>
      <w:tr w:rsidR="001A6261" w:rsidRPr="00BC4183" w14:paraId="25B13FC7" w14:textId="77777777" w:rsidTr="00BC4183">
        <w:trPr>
          <w:trHeight w:val="277"/>
          <w:jc w:val="center"/>
        </w:trPr>
        <w:tc>
          <w:tcPr>
            <w:tcW w:w="3690" w:type="dxa"/>
            <w:tcBorders>
              <w:top w:val="nil"/>
              <w:left w:val="nil"/>
              <w:bottom w:val="nil"/>
              <w:right w:val="nil"/>
            </w:tcBorders>
            <w:noWrap/>
            <w:vAlign w:val="bottom"/>
            <w:hideMark/>
          </w:tcPr>
          <w:p w14:paraId="14814A98" w14:textId="1B67A8C7" w:rsidR="001A6261" w:rsidRPr="00BC4183" w:rsidRDefault="00BC4183" w:rsidP="001A6261">
            <w:pPr>
              <w:spacing w:after="0" w:line="240" w:lineRule="auto"/>
              <w:rPr>
                <w:rFonts w:eastAsia="Times New Roman"/>
                <w:color w:val="000000"/>
                <w:sz w:val="20"/>
                <w:szCs w:val="20"/>
              </w:rPr>
            </w:pPr>
            <w:r w:rsidRPr="00BC4183">
              <w:rPr>
                <w:rFonts w:eastAsia="Times New Roman"/>
                <w:color w:val="000000"/>
                <w:sz w:val="20"/>
                <w:szCs w:val="20"/>
              </w:rPr>
              <w:t>W</w:t>
            </w:r>
            <w:r w:rsidR="001A6261" w:rsidRPr="00BC4183">
              <w:rPr>
                <w:rFonts w:eastAsia="Times New Roman"/>
                <w:color w:val="000000"/>
                <w:sz w:val="20"/>
                <w:szCs w:val="20"/>
              </w:rPr>
              <w:t>ork</w:t>
            </w:r>
            <w:r>
              <w:rPr>
                <w:rFonts w:eastAsia="Times New Roman"/>
                <w:color w:val="000000"/>
                <w:sz w:val="20"/>
                <w:szCs w:val="20"/>
              </w:rPr>
              <w:t xml:space="preserve"> status</w:t>
            </w:r>
          </w:p>
        </w:tc>
        <w:tc>
          <w:tcPr>
            <w:tcW w:w="1800" w:type="dxa"/>
            <w:tcBorders>
              <w:top w:val="nil"/>
              <w:left w:val="nil"/>
              <w:bottom w:val="nil"/>
              <w:right w:val="nil"/>
            </w:tcBorders>
            <w:noWrap/>
            <w:vAlign w:val="bottom"/>
            <w:hideMark/>
          </w:tcPr>
          <w:p w14:paraId="3F1762C4"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1.13</w:t>
            </w:r>
          </w:p>
        </w:tc>
        <w:tc>
          <w:tcPr>
            <w:tcW w:w="2430" w:type="dxa"/>
            <w:tcBorders>
              <w:top w:val="nil"/>
              <w:left w:val="nil"/>
              <w:bottom w:val="nil"/>
              <w:right w:val="nil"/>
            </w:tcBorders>
            <w:noWrap/>
            <w:vAlign w:val="bottom"/>
            <w:hideMark/>
          </w:tcPr>
          <w:p w14:paraId="7F34BFDB"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0.882</w:t>
            </w:r>
          </w:p>
        </w:tc>
      </w:tr>
      <w:tr w:rsidR="001A6261" w:rsidRPr="00BC4183" w14:paraId="490F228B" w14:textId="77777777" w:rsidTr="00BC4183">
        <w:trPr>
          <w:trHeight w:val="277"/>
          <w:jc w:val="center"/>
        </w:trPr>
        <w:tc>
          <w:tcPr>
            <w:tcW w:w="3690" w:type="dxa"/>
            <w:tcBorders>
              <w:top w:val="nil"/>
              <w:left w:val="nil"/>
              <w:bottom w:val="nil"/>
              <w:right w:val="nil"/>
            </w:tcBorders>
            <w:noWrap/>
            <w:vAlign w:val="bottom"/>
            <w:hideMark/>
          </w:tcPr>
          <w:p w14:paraId="1BE87BA7" w14:textId="5ED3CADA" w:rsidR="001A6261" w:rsidRPr="00BC4183" w:rsidRDefault="00BC4183" w:rsidP="001A6261">
            <w:pPr>
              <w:spacing w:after="0" w:line="240" w:lineRule="auto"/>
              <w:rPr>
                <w:rFonts w:eastAsia="Times New Roman"/>
                <w:color w:val="000000"/>
                <w:sz w:val="20"/>
                <w:szCs w:val="20"/>
              </w:rPr>
            </w:pPr>
            <w:r w:rsidRPr="00BC4183">
              <w:rPr>
                <w:rFonts w:eastAsia="Times New Roman"/>
                <w:color w:val="000000"/>
                <w:sz w:val="20"/>
                <w:szCs w:val="20"/>
              </w:rPr>
              <w:t>C</w:t>
            </w:r>
            <w:r w:rsidR="001A6261" w:rsidRPr="00BC4183">
              <w:rPr>
                <w:rFonts w:eastAsia="Times New Roman"/>
                <w:color w:val="000000"/>
                <w:sz w:val="20"/>
                <w:szCs w:val="20"/>
              </w:rPr>
              <w:t>ur</w:t>
            </w:r>
            <w:r>
              <w:rPr>
                <w:rFonts w:eastAsia="Times New Roman"/>
                <w:color w:val="000000"/>
                <w:sz w:val="20"/>
                <w:szCs w:val="20"/>
              </w:rPr>
              <w:t>rent age (in year)</w:t>
            </w:r>
          </w:p>
        </w:tc>
        <w:tc>
          <w:tcPr>
            <w:tcW w:w="1800" w:type="dxa"/>
            <w:tcBorders>
              <w:top w:val="nil"/>
              <w:left w:val="nil"/>
              <w:bottom w:val="nil"/>
              <w:right w:val="nil"/>
            </w:tcBorders>
            <w:noWrap/>
            <w:vAlign w:val="bottom"/>
            <w:hideMark/>
          </w:tcPr>
          <w:p w14:paraId="40DC7EA6"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1.11</w:t>
            </w:r>
          </w:p>
        </w:tc>
        <w:tc>
          <w:tcPr>
            <w:tcW w:w="2430" w:type="dxa"/>
            <w:tcBorders>
              <w:top w:val="nil"/>
              <w:left w:val="nil"/>
              <w:bottom w:val="nil"/>
              <w:right w:val="nil"/>
            </w:tcBorders>
            <w:noWrap/>
            <w:vAlign w:val="bottom"/>
            <w:hideMark/>
          </w:tcPr>
          <w:p w14:paraId="65F37CFF"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0.902</w:t>
            </w:r>
          </w:p>
        </w:tc>
      </w:tr>
      <w:tr w:rsidR="001A6261" w:rsidRPr="00BC4183" w14:paraId="2F43C930" w14:textId="77777777" w:rsidTr="00BC4183">
        <w:trPr>
          <w:trHeight w:val="277"/>
          <w:jc w:val="center"/>
        </w:trPr>
        <w:tc>
          <w:tcPr>
            <w:tcW w:w="3690" w:type="dxa"/>
            <w:tcBorders>
              <w:top w:val="nil"/>
              <w:left w:val="nil"/>
              <w:bottom w:val="nil"/>
              <w:right w:val="nil"/>
            </w:tcBorders>
            <w:noWrap/>
            <w:vAlign w:val="bottom"/>
            <w:hideMark/>
          </w:tcPr>
          <w:p w14:paraId="64AD1B84" w14:textId="50D53A72" w:rsidR="001A6261" w:rsidRPr="00BC4183" w:rsidRDefault="00BC4183" w:rsidP="001A6261">
            <w:pPr>
              <w:spacing w:after="0" w:line="240" w:lineRule="auto"/>
              <w:rPr>
                <w:rFonts w:eastAsia="Times New Roman"/>
                <w:color w:val="000000"/>
                <w:sz w:val="20"/>
                <w:szCs w:val="20"/>
              </w:rPr>
            </w:pPr>
            <w:r>
              <w:rPr>
                <w:rFonts w:eastAsia="Times New Roman"/>
                <w:color w:val="000000"/>
                <w:sz w:val="20"/>
                <w:szCs w:val="20"/>
              </w:rPr>
              <w:t xml:space="preserve">Asset </w:t>
            </w:r>
            <w:r w:rsidR="001A6261" w:rsidRPr="00BC4183">
              <w:rPr>
                <w:rFonts w:eastAsia="Times New Roman"/>
                <w:color w:val="000000"/>
                <w:sz w:val="20"/>
                <w:szCs w:val="20"/>
              </w:rPr>
              <w:t>ownership</w:t>
            </w:r>
          </w:p>
        </w:tc>
        <w:tc>
          <w:tcPr>
            <w:tcW w:w="1800" w:type="dxa"/>
            <w:tcBorders>
              <w:top w:val="nil"/>
              <w:left w:val="nil"/>
              <w:bottom w:val="nil"/>
              <w:right w:val="nil"/>
            </w:tcBorders>
            <w:noWrap/>
            <w:vAlign w:val="bottom"/>
            <w:hideMark/>
          </w:tcPr>
          <w:p w14:paraId="60057BCE"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1.1</w:t>
            </w:r>
          </w:p>
        </w:tc>
        <w:tc>
          <w:tcPr>
            <w:tcW w:w="2430" w:type="dxa"/>
            <w:tcBorders>
              <w:top w:val="nil"/>
              <w:left w:val="nil"/>
              <w:bottom w:val="nil"/>
              <w:right w:val="nil"/>
            </w:tcBorders>
            <w:noWrap/>
            <w:vAlign w:val="bottom"/>
            <w:hideMark/>
          </w:tcPr>
          <w:p w14:paraId="4D6B7A68"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0.909</w:t>
            </w:r>
          </w:p>
        </w:tc>
      </w:tr>
      <w:tr w:rsidR="001A6261" w:rsidRPr="00BC4183" w14:paraId="026152C7" w14:textId="77777777" w:rsidTr="00BC4183">
        <w:trPr>
          <w:trHeight w:val="277"/>
          <w:jc w:val="center"/>
        </w:trPr>
        <w:tc>
          <w:tcPr>
            <w:tcW w:w="3690" w:type="dxa"/>
            <w:tcBorders>
              <w:top w:val="nil"/>
              <w:left w:val="nil"/>
              <w:bottom w:val="nil"/>
              <w:right w:val="nil"/>
            </w:tcBorders>
            <w:noWrap/>
            <w:vAlign w:val="bottom"/>
            <w:hideMark/>
          </w:tcPr>
          <w:p w14:paraId="568A155F" w14:textId="0E43AA47" w:rsidR="001A6261" w:rsidRPr="00BC4183" w:rsidRDefault="00BC4183" w:rsidP="001A6261">
            <w:pPr>
              <w:spacing w:after="0" w:line="240" w:lineRule="auto"/>
              <w:rPr>
                <w:rFonts w:eastAsia="Times New Roman"/>
                <w:color w:val="000000"/>
                <w:sz w:val="20"/>
                <w:szCs w:val="20"/>
              </w:rPr>
            </w:pPr>
            <w:r w:rsidRPr="00EB625C">
              <w:rPr>
                <w:sz w:val="20"/>
                <w:szCs w:val="20"/>
              </w:rPr>
              <w:t>Rank among co-wives</w:t>
            </w:r>
          </w:p>
        </w:tc>
        <w:tc>
          <w:tcPr>
            <w:tcW w:w="1800" w:type="dxa"/>
            <w:tcBorders>
              <w:top w:val="nil"/>
              <w:left w:val="nil"/>
              <w:bottom w:val="nil"/>
              <w:right w:val="nil"/>
            </w:tcBorders>
            <w:noWrap/>
            <w:vAlign w:val="bottom"/>
            <w:hideMark/>
          </w:tcPr>
          <w:p w14:paraId="0A62BCAD"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1.01</w:t>
            </w:r>
          </w:p>
        </w:tc>
        <w:tc>
          <w:tcPr>
            <w:tcW w:w="2430" w:type="dxa"/>
            <w:tcBorders>
              <w:top w:val="nil"/>
              <w:left w:val="nil"/>
              <w:bottom w:val="nil"/>
              <w:right w:val="nil"/>
            </w:tcBorders>
            <w:noWrap/>
            <w:vAlign w:val="bottom"/>
            <w:hideMark/>
          </w:tcPr>
          <w:p w14:paraId="08ECE030"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0.986</w:t>
            </w:r>
          </w:p>
        </w:tc>
      </w:tr>
      <w:tr w:rsidR="001A6261" w:rsidRPr="00BC4183" w14:paraId="0465D34D" w14:textId="77777777" w:rsidTr="00BC4183">
        <w:trPr>
          <w:trHeight w:val="277"/>
          <w:jc w:val="center"/>
        </w:trPr>
        <w:tc>
          <w:tcPr>
            <w:tcW w:w="3690" w:type="dxa"/>
            <w:tcBorders>
              <w:top w:val="nil"/>
              <w:left w:val="nil"/>
              <w:bottom w:val="single" w:sz="4" w:space="0" w:color="auto"/>
              <w:right w:val="nil"/>
            </w:tcBorders>
            <w:noWrap/>
            <w:vAlign w:val="bottom"/>
            <w:hideMark/>
          </w:tcPr>
          <w:p w14:paraId="6AB15EC1" w14:textId="58E2B095" w:rsidR="001A6261" w:rsidRPr="00BC4183" w:rsidRDefault="00BC4183" w:rsidP="001A6261">
            <w:pPr>
              <w:spacing w:after="0" w:line="240" w:lineRule="auto"/>
              <w:rPr>
                <w:rFonts w:eastAsia="Times New Roman"/>
                <w:color w:val="000000"/>
                <w:sz w:val="20"/>
                <w:szCs w:val="20"/>
              </w:rPr>
            </w:pPr>
            <w:r w:rsidRPr="00BC4183">
              <w:rPr>
                <w:color w:val="000000"/>
                <w:sz w:val="20"/>
                <w:szCs w:val="20"/>
              </w:rPr>
              <w:t>Husband drinks alcohol</w:t>
            </w:r>
          </w:p>
        </w:tc>
        <w:tc>
          <w:tcPr>
            <w:tcW w:w="1800" w:type="dxa"/>
            <w:tcBorders>
              <w:top w:val="nil"/>
              <w:left w:val="nil"/>
              <w:bottom w:val="single" w:sz="4" w:space="0" w:color="auto"/>
              <w:right w:val="nil"/>
            </w:tcBorders>
            <w:noWrap/>
            <w:vAlign w:val="bottom"/>
            <w:hideMark/>
          </w:tcPr>
          <w:p w14:paraId="318CF060"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1.01</w:t>
            </w:r>
          </w:p>
        </w:tc>
        <w:tc>
          <w:tcPr>
            <w:tcW w:w="2430" w:type="dxa"/>
            <w:tcBorders>
              <w:top w:val="nil"/>
              <w:left w:val="nil"/>
              <w:bottom w:val="single" w:sz="4" w:space="0" w:color="auto"/>
              <w:right w:val="nil"/>
            </w:tcBorders>
            <w:noWrap/>
            <w:vAlign w:val="bottom"/>
            <w:hideMark/>
          </w:tcPr>
          <w:p w14:paraId="06EE70B0" w14:textId="77777777" w:rsidR="001A6261" w:rsidRPr="00BC4183" w:rsidRDefault="001A6261" w:rsidP="001A6261">
            <w:pPr>
              <w:spacing w:after="0" w:line="240" w:lineRule="auto"/>
              <w:jc w:val="right"/>
              <w:rPr>
                <w:rFonts w:eastAsia="Times New Roman"/>
                <w:color w:val="000000"/>
                <w:sz w:val="20"/>
                <w:szCs w:val="20"/>
              </w:rPr>
            </w:pPr>
            <w:r w:rsidRPr="00BC4183">
              <w:rPr>
                <w:rFonts w:eastAsia="Times New Roman"/>
                <w:color w:val="000000"/>
                <w:sz w:val="20"/>
                <w:szCs w:val="20"/>
              </w:rPr>
              <w:t>0.988</w:t>
            </w:r>
          </w:p>
        </w:tc>
      </w:tr>
      <w:tr w:rsidR="001A6261" w:rsidRPr="00BC4183" w14:paraId="387AD877" w14:textId="77777777" w:rsidTr="00BC4183">
        <w:trPr>
          <w:trHeight w:val="277"/>
          <w:jc w:val="center"/>
        </w:trPr>
        <w:tc>
          <w:tcPr>
            <w:tcW w:w="3690" w:type="dxa"/>
            <w:tcBorders>
              <w:top w:val="single" w:sz="4" w:space="0" w:color="auto"/>
              <w:left w:val="nil"/>
              <w:bottom w:val="single" w:sz="4" w:space="0" w:color="auto"/>
              <w:right w:val="nil"/>
            </w:tcBorders>
            <w:noWrap/>
            <w:vAlign w:val="bottom"/>
            <w:hideMark/>
          </w:tcPr>
          <w:p w14:paraId="5167EFC3" w14:textId="77777777" w:rsidR="001A6261" w:rsidRPr="00BC4183" w:rsidRDefault="001A6261" w:rsidP="001A6261">
            <w:pPr>
              <w:spacing w:after="0" w:line="240" w:lineRule="auto"/>
              <w:rPr>
                <w:rFonts w:eastAsia="Times New Roman"/>
                <w:b/>
                <w:bCs/>
                <w:color w:val="000000"/>
                <w:sz w:val="20"/>
                <w:szCs w:val="20"/>
              </w:rPr>
            </w:pPr>
            <w:r w:rsidRPr="00BC4183">
              <w:rPr>
                <w:rFonts w:eastAsia="Times New Roman"/>
                <w:b/>
                <w:bCs/>
                <w:color w:val="000000"/>
                <w:sz w:val="20"/>
                <w:szCs w:val="20"/>
              </w:rPr>
              <w:t>Mean VIF</w:t>
            </w:r>
          </w:p>
        </w:tc>
        <w:tc>
          <w:tcPr>
            <w:tcW w:w="1800" w:type="dxa"/>
            <w:tcBorders>
              <w:top w:val="single" w:sz="4" w:space="0" w:color="auto"/>
              <w:left w:val="nil"/>
              <w:bottom w:val="single" w:sz="4" w:space="0" w:color="auto"/>
              <w:right w:val="nil"/>
            </w:tcBorders>
            <w:noWrap/>
            <w:vAlign w:val="bottom"/>
            <w:hideMark/>
          </w:tcPr>
          <w:p w14:paraId="1B65EDEC" w14:textId="77777777" w:rsidR="001A6261" w:rsidRPr="00BC4183" w:rsidRDefault="001A6261" w:rsidP="001A6261">
            <w:pPr>
              <w:spacing w:after="0" w:line="240" w:lineRule="auto"/>
              <w:jc w:val="right"/>
              <w:rPr>
                <w:rFonts w:eastAsia="Times New Roman"/>
                <w:b/>
                <w:bCs/>
                <w:color w:val="000000"/>
                <w:sz w:val="20"/>
                <w:szCs w:val="20"/>
              </w:rPr>
            </w:pPr>
            <w:r w:rsidRPr="00BC4183">
              <w:rPr>
                <w:rFonts w:eastAsia="Times New Roman"/>
                <w:b/>
                <w:bCs/>
                <w:color w:val="000000"/>
                <w:sz w:val="20"/>
                <w:szCs w:val="20"/>
              </w:rPr>
              <w:t>1.53</w:t>
            </w:r>
          </w:p>
        </w:tc>
        <w:tc>
          <w:tcPr>
            <w:tcW w:w="2430" w:type="dxa"/>
            <w:tcBorders>
              <w:top w:val="single" w:sz="4" w:space="0" w:color="auto"/>
              <w:left w:val="nil"/>
              <w:bottom w:val="single" w:sz="4" w:space="0" w:color="auto"/>
              <w:right w:val="nil"/>
            </w:tcBorders>
            <w:noWrap/>
            <w:vAlign w:val="bottom"/>
            <w:hideMark/>
          </w:tcPr>
          <w:p w14:paraId="306547A9" w14:textId="77777777" w:rsidR="001A6261" w:rsidRPr="00BC4183" w:rsidRDefault="001A6261" w:rsidP="001A6261">
            <w:pPr>
              <w:spacing w:after="0" w:line="240" w:lineRule="auto"/>
              <w:jc w:val="right"/>
              <w:rPr>
                <w:rFonts w:eastAsia="Times New Roman"/>
                <w:b/>
                <w:bCs/>
                <w:color w:val="000000"/>
                <w:sz w:val="20"/>
                <w:szCs w:val="20"/>
              </w:rPr>
            </w:pPr>
          </w:p>
        </w:tc>
      </w:tr>
      <w:tr w:rsidR="00BC4183" w:rsidRPr="00BC4183" w14:paraId="5730371E" w14:textId="77777777" w:rsidTr="00DA31F1">
        <w:trPr>
          <w:trHeight w:val="277"/>
          <w:jc w:val="center"/>
        </w:trPr>
        <w:tc>
          <w:tcPr>
            <w:tcW w:w="7920" w:type="dxa"/>
            <w:gridSpan w:val="3"/>
            <w:tcBorders>
              <w:top w:val="single" w:sz="4" w:space="0" w:color="auto"/>
              <w:left w:val="nil"/>
              <w:right w:val="nil"/>
            </w:tcBorders>
            <w:noWrap/>
            <w:vAlign w:val="bottom"/>
          </w:tcPr>
          <w:p w14:paraId="226D53AF" w14:textId="77777777" w:rsidR="00BC4183" w:rsidRPr="00BC4183" w:rsidRDefault="00BC4183" w:rsidP="003230D3">
            <w:pPr>
              <w:keepNext/>
              <w:spacing w:after="0" w:line="240" w:lineRule="auto"/>
              <w:jc w:val="right"/>
              <w:rPr>
                <w:rFonts w:eastAsia="Times New Roman"/>
                <w:b/>
                <w:bCs/>
                <w:color w:val="000000"/>
                <w:sz w:val="20"/>
                <w:szCs w:val="20"/>
              </w:rPr>
            </w:pPr>
          </w:p>
        </w:tc>
      </w:tr>
    </w:tbl>
    <w:p w14:paraId="711253BF" w14:textId="77777777" w:rsidR="00EB625C" w:rsidRDefault="00EB625C"/>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2340"/>
        <w:gridCol w:w="6840"/>
      </w:tblGrid>
      <w:tr w:rsidR="00EB625C" w:rsidRPr="00531CDD" w14:paraId="6B911BAF" w14:textId="77777777" w:rsidTr="00C6510A">
        <w:trPr>
          <w:jc w:val="center"/>
        </w:trPr>
        <w:tc>
          <w:tcPr>
            <w:tcW w:w="9180" w:type="dxa"/>
            <w:gridSpan w:val="2"/>
          </w:tcPr>
          <w:p w14:paraId="2043FEC2" w14:textId="33A6397F" w:rsidR="00EB625C" w:rsidRPr="00531CDD" w:rsidRDefault="00EB625C" w:rsidP="00C6510A">
            <w:pPr>
              <w:rPr>
                <w:rFonts w:ascii="Times New Roman" w:hAnsi="Times New Roman" w:cs="Times New Roman"/>
                <w:b/>
                <w:bCs/>
                <w:sz w:val="20"/>
                <w:szCs w:val="20"/>
              </w:rPr>
            </w:pPr>
            <w:r w:rsidRPr="00531CDD">
              <w:rPr>
                <w:rFonts w:ascii="Times New Roman" w:hAnsi="Times New Roman" w:cs="Times New Roman"/>
                <w:b/>
                <w:bCs/>
                <w:sz w:val="20"/>
                <w:szCs w:val="20"/>
              </w:rPr>
              <w:t xml:space="preserve">Table S </w:t>
            </w:r>
            <w:r w:rsidRPr="00531CDD">
              <w:rPr>
                <w:rFonts w:ascii="Times New Roman" w:hAnsi="Times New Roman" w:cs="Times New Roman"/>
                <w:b/>
                <w:bCs/>
                <w:sz w:val="20"/>
                <w:szCs w:val="20"/>
              </w:rPr>
              <w:fldChar w:fldCharType="begin"/>
            </w:r>
            <w:r w:rsidRPr="00531CDD">
              <w:rPr>
                <w:rFonts w:ascii="Times New Roman" w:hAnsi="Times New Roman" w:cs="Times New Roman"/>
                <w:b/>
                <w:bCs/>
                <w:sz w:val="20"/>
                <w:szCs w:val="20"/>
              </w:rPr>
              <w:instrText xml:space="preserve"> SEQ Table_S \* ARABIC </w:instrText>
            </w:r>
            <w:r w:rsidRPr="00531CDD">
              <w:rPr>
                <w:rFonts w:ascii="Times New Roman" w:hAnsi="Times New Roman" w:cs="Times New Roman"/>
                <w:b/>
                <w:bCs/>
                <w:sz w:val="20"/>
                <w:szCs w:val="20"/>
              </w:rPr>
              <w:fldChar w:fldCharType="separate"/>
            </w:r>
            <w:r w:rsidR="003230D3" w:rsidRPr="00531CDD">
              <w:rPr>
                <w:rFonts w:ascii="Times New Roman" w:hAnsi="Times New Roman" w:cs="Times New Roman"/>
                <w:b/>
                <w:bCs/>
                <w:noProof/>
                <w:sz w:val="20"/>
                <w:szCs w:val="20"/>
              </w:rPr>
              <w:t>4</w:t>
            </w:r>
            <w:r w:rsidRPr="00531CDD">
              <w:rPr>
                <w:rFonts w:ascii="Times New Roman" w:hAnsi="Times New Roman" w:cs="Times New Roman"/>
                <w:b/>
                <w:bCs/>
                <w:sz w:val="20"/>
                <w:szCs w:val="20"/>
              </w:rPr>
              <w:fldChar w:fldCharType="end"/>
            </w:r>
            <w:r w:rsidRPr="00531CDD">
              <w:rPr>
                <w:rFonts w:ascii="Times New Roman" w:hAnsi="Times New Roman" w:cs="Times New Roman"/>
                <w:b/>
                <w:bCs/>
                <w:sz w:val="20"/>
                <w:szCs w:val="20"/>
              </w:rPr>
              <w:t>.</w:t>
            </w:r>
            <w:r w:rsidRPr="00531CDD">
              <w:rPr>
                <w:rFonts w:ascii="Times New Roman" w:hAnsi="Times New Roman" w:cs="Times New Roman"/>
                <w:sz w:val="20"/>
                <w:szCs w:val="20"/>
              </w:rPr>
              <w:t xml:space="preserve"> Definition and measurement of variables</w:t>
            </w:r>
          </w:p>
        </w:tc>
      </w:tr>
      <w:tr w:rsidR="00EB625C" w:rsidRPr="00531CDD" w14:paraId="400EE1F2" w14:textId="77777777" w:rsidTr="00C6510A">
        <w:trPr>
          <w:jc w:val="center"/>
        </w:trPr>
        <w:tc>
          <w:tcPr>
            <w:tcW w:w="2340" w:type="dxa"/>
          </w:tcPr>
          <w:p w14:paraId="38E00628" w14:textId="77777777" w:rsidR="00EB625C" w:rsidRPr="00531CDD" w:rsidRDefault="00EB625C" w:rsidP="00C6510A">
            <w:pPr>
              <w:rPr>
                <w:rFonts w:ascii="Times New Roman" w:hAnsi="Times New Roman" w:cs="Times New Roman"/>
                <w:b/>
                <w:bCs/>
                <w:sz w:val="20"/>
                <w:szCs w:val="20"/>
              </w:rPr>
            </w:pPr>
            <w:r w:rsidRPr="00531CDD">
              <w:rPr>
                <w:rFonts w:ascii="Times New Roman" w:hAnsi="Times New Roman" w:cs="Times New Roman"/>
                <w:b/>
                <w:bCs/>
                <w:sz w:val="20"/>
                <w:szCs w:val="20"/>
              </w:rPr>
              <w:t>Variables</w:t>
            </w:r>
          </w:p>
        </w:tc>
        <w:tc>
          <w:tcPr>
            <w:tcW w:w="6840" w:type="dxa"/>
          </w:tcPr>
          <w:p w14:paraId="0558F07F" w14:textId="77777777" w:rsidR="00EB625C" w:rsidRPr="00531CDD" w:rsidRDefault="00EB625C" w:rsidP="00C6510A">
            <w:pPr>
              <w:rPr>
                <w:rFonts w:ascii="Times New Roman" w:hAnsi="Times New Roman" w:cs="Times New Roman"/>
                <w:b/>
                <w:bCs/>
                <w:sz w:val="20"/>
                <w:szCs w:val="20"/>
              </w:rPr>
            </w:pPr>
            <w:r w:rsidRPr="00531CDD">
              <w:rPr>
                <w:rFonts w:ascii="Times New Roman" w:hAnsi="Times New Roman" w:cs="Times New Roman"/>
                <w:b/>
                <w:bCs/>
                <w:sz w:val="20"/>
                <w:szCs w:val="20"/>
              </w:rPr>
              <w:t>Definition and measurement</w:t>
            </w:r>
          </w:p>
        </w:tc>
      </w:tr>
      <w:tr w:rsidR="00EB625C" w:rsidRPr="00531CDD" w14:paraId="6F26183F" w14:textId="77777777" w:rsidTr="00C6510A">
        <w:trPr>
          <w:jc w:val="center"/>
        </w:trPr>
        <w:tc>
          <w:tcPr>
            <w:tcW w:w="9180" w:type="dxa"/>
            <w:gridSpan w:val="2"/>
          </w:tcPr>
          <w:p w14:paraId="15FEE865" w14:textId="77777777" w:rsidR="00EB625C" w:rsidRPr="00531CDD" w:rsidRDefault="00EB625C" w:rsidP="00C6510A">
            <w:pPr>
              <w:rPr>
                <w:rStyle w:val="fontstyle01"/>
                <w:rFonts w:ascii="Times New Roman" w:hAnsi="Times New Roman" w:cs="Times New Roman"/>
                <w:sz w:val="20"/>
                <w:szCs w:val="20"/>
              </w:rPr>
            </w:pPr>
            <w:r w:rsidRPr="00531CDD">
              <w:rPr>
                <w:rStyle w:val="fontstyle01"/>
                <w:rFonts w:ascii="Times New Roman" w:hAnsi="Times New Roman" w:cs="Times New Roman"/>
                <w:sz w:val="20"/>
                <w:szCs w:val="20"/>
              </w:rPr>
              <w:t>Dependent variables</w:t>
            </w:r>
          </w:p>
        </w:tc>
      </w:tr>
      <w:tr w:rsidR="00EB625C" w:rsidRPr="00531CDD" w14:paraId="22939C0D" w14:textId="77777777" w:rsidTr="00C6510A">
        <w:trPr>
          <w:jc w:val="center"/>
        </w:trPr>
        <w:tc>
          <w:tcPr>
            <w:tcW w:w="2340" w:type="dxa"/>
          </w:tcPr>
          <w:p w14:paraId="07163B3B" w14:textId="3C7393B9"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Emotional IPV</w:t>
            </w:r>
          </w:p>
        </w:tc>
        <w:tc>
          <w:tcPr>
            <w:tcW w:w="6840" w:type="dxa"/>
          </w:tcPr>
          <w:p w14:paraId="7AEAF3B0" w14:textId="38F6E930"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This variable indicates the emotional violence’s experience of IPV by respondents, this was measured by three items on humiliation, threats, and insults. The respondents who answered “no” coded 0 and who responses “yes” coded 1.</w:t>
            </w:r>
          </w:p>
        </w:tc>
      </w:tr>
      <w:tr w:rsidR="00EB625C" w:rsidRPr="00531CDD" w14:paraId="24D4D149" w14:textId="77777777" w:rsidTr="00C6510A">
        <w:trPr>
          <w:jc w:val="center"/>
        </w:trPr>
        <w:tc>
          <w:tcPr>
            <w:tcW w:w="2340" w:type="dxa"/>
          </w:tcPr>
          <w:p w14:paraId="4B30ED94" w14:textId="735CAD20"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Sexual IPV</w:t>
            </w:r>
          </w:p>
        </w:tc>
        <w:tc>
          <w:tcPr>
            <w:tcW w:w="6840" w:type="dxa"/>
          </w:tcPr>
          <w:p w14:paraId="2F171D89" w14:textId="456AAAE6"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It is a dichotomous variable, indicating the respondents’ sexual violence of IPV, it included three items on forced sex or unwanted sexual acts. Who response “Yes” codded 1 and who said “No” codded 0.</w:t>
            </w:r>
          </w:p>
        </w:tc>
      </w:tr>
      <w:tr w:rsidR="00EB625C" w:rsidRPr="00531CDD" w14:paraId="606FCF32" w14:textId="77777777" w:rsidTr="00C6510A">
        <w:trPr>
          <w:jc w:val="center"/>
        </w:trPr>
        <w:tc>
          <w:tcPr>
            <w:tcW w:w="2340" w:type="dxa"/>
          </w:tcPr>
          <w:p w14:paraId="5374F1C2" w14:textId="282B0037"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Physical IPV</w:t>
            </w:r>
          </w:p>
        </w:tc>
        <w:tc>
          <w:tcPr>
            <w:tcW w:w="6840" w:type="dxa"/>
          </w:tcPr>
          <w:p w14:paraId="486B88E7" w14:textId="14B3FC79"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 xml:space="preserve">This variable measured the respondents’ experience of physical violence in their intimate relationship 12 months preceding the interview, it included seven items, </w:t>
            </w:r>
            <w:r w:rsidRPr="00531CDD">
              <w:rPr>
                <w:rFonts w:ascii="Times New Roman" w:hAnsi="Times New Roman" w:cs="Times New Roman"/>
                <w:sz w:val="20"/>
                <w:szCs w:val="20"/>
              </w:rPr>
              <w:lastRenderedPageBreak/>
              <w:t>such as being pushed, slapped, kicked, or attacked. It was described as a dichotomous variable (1= Yes vs. No=0)</w:t>
            </w:r>
          </w:p>
        </w:tc>
      </w:tr>
      <w:tr w:rsidR="00EB625C" w:rsidRPr="00531CDD" w14:paraId="26665C3F" w14:textId="77777777" w:rsidTr="00C6510A">
        <w:trPr>
          <w:jc w:val="center"/>
        </w:trPr>
        <w:tc>
          <w:tcPr>
            <w:tcW w:w="2340" w:type="dxa"/>
          </w:tcPr>
          <w:p w14:paraId="6ECC14E8" w14:textId="57E9742A"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lastRenderedPageBreak/>
              <w:t>Any form of IPV</w:t>
            </w:r>
          </w:p>
        </w:tc>
        <w:tc>
          <w:tcPr>
            <w:tcW w:w="6840" w:type="dxa"/>
          </w:tcPr>
          <w:p w14:paraId="264B00B1" w14:textId="321A50AA"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This variable is a dichotomous variable, generated from the three forms of IPV, which captures whether the respondent experienced at least one form of IPV (emotional, physical, or sexual), if the respondent experienced at least one type of IPV codded 1= Yes, otherwise codded 0 = No.</w:t>
            </w:r>
          </w:p>
        </w:tc>
      </w:tr>
      <w:tr w:rsidR="00EB625C" w:rsidRPr="00531CDD" w14:paraId="38C64A8D" w14:textId="77777777" w:rsidTr="00C6510A">
        <w:trPr>
          <w:jc w:val="center"/>
        </w:trPr>
        <w:tc>
          <w:tcPr>
            <w:tcW w:w="2340" w:type="dxa"/>
          </w:tcPr>
          <w:p w14:paraId="5677AB2F" w14:textId="2E378547" w:rsidR="00EB625C" w:rsidRPr="00531CDD" w:rsidRDefault="00EB625C" w:rsidP="00EB625C">
            <w:pPr>
              <w:rPr>
                <w:rFonts w:ascii="Times New Roman" w:hAnsi="Times New Roman" w:cs="Times New Roman"/>
                <w:sz w:val="20"/>
                <w:szCs w:val="20"/>
              </w:rPr>
            </w:pPr>
            <w:r w:rsidRPr="00531CDD">
              <w:rPr>
                <w:rStyle w:val="fontstyle01"/>
                <w:rFonts w:ascii="Times New Roman" w:hAnsi="Times New Roman" w:cs="Times New Roman"/>
                <w:sz w:val="20"/>
                <w:szCs w:val="20"/>
              </w:rPr>
              <w:t>Independent variable</w:t>
            </w:r>
          </w:p>
        </w:tc>
        <w:tc>
          <w:tcPr>
            <w:tcW w:w="6840" w:type="dxa"/>
          </w:tcPr>
          <w:p w14:paraId="47EF0CAE" w14:textId="77777777" w:rsidR="00EB625C" w:rsidRPr="00531CDD" w:rsidRDefault="00EB625C" w:rsidP="00EB625C">
            <w:pPr>
              <w:jc w:val="both"/>
              <w:rPr>
                <w:rFonts w:ascii="Times New Roman" w:hAnsi="Times New Roman" w:cs="Times New Roman"/>
                <w:sz w:val="20"/>
                <w:szCs w:val="20"/>
              </w:rPr>
            </w:pPr>
          </w:p>
        </w:tc>
      </w:tr>
      <w:tr w:rsidR="00EB625C" w:rsidRPr="00531CDD" w14:paraId="1C96AFFC" w14:textId="77777777" w:rsidTr="00C6510A">
        <w:trPr>
          <w:jc w:val="center"/>
        </w:trPr>
        <w:tc>
          <w:tcPr>
            <w:tcW w:w="2340" w:type="dxa"/>
          </w:tcPr>
          <w:p w14:paraId="08A2E0B8" w14:textId="76C48B01"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Rank among co-wives</w:t>
            </w:r>
          </w:p>
        </w:tc>
        <w:tc>
          <w:tcPr>
            <w:tcW w:w="6840" w:type="dxa"/>
          </w:tcPr>
          <w:p w14:paraId="6B93B514" w14:textId="7E364F4A"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This variable categorizes the position or order of a wife in a polygamous marriage as follows: the first wife refers to the woman who is the first to be married to the husband in a polygamous union; otherwise, she is the second or later-order wife. Only wife refers to a woman who is the only wife in a monogamous marriage. This variable was categorized as “1= First wife; 2=Second or later-order; 3=Only wife.”</w:t>
            </w:r>
          </w:p>
        </w:tc>
      </w:tr>
      <w:tr w:rsidR="00EB625C" w:rsidRPr="00531CDD" w14:paraId="25B662B4" w14:textId="77777777" w:rsidTr="00C6510A">
        <w:trPr>
          <w:jc w:val="center"/>
        </w:trPr>
        <w:tc>
          <w:tcPr>
            <w:tcW w:w="2340" w:type="dxa"/>
          </w:tcPr>
          <w:p w14:paraId="1282D592" w14:textId="60064E03" w:rsidR="00EB625C" w:rsidRPr="00531CDD" w:rsidRDefault="00EB625C" w:rsidP="00EB625C">
            <w:pPr>
              <w:rPr>
                <w:rStyle w:val="fontstyle01"/>
                <w:rFonts w:ascii="Times New Roman" w:hAnsi="Times New Roman" w:cs="Times New Roman"/>
                <w:sz w:val="20"/>
                <w:szCs w:val="20"/>
              </w:rPr>
            </w:pPr>
            <w:r w:rsidRPr="00531CDD">
              <w:rPr>
                <w:rStyle w:val="fontstyle01"/>
                <w:rFonts w:ascii="Times New Roman" w:hAnsi="Times New Roman" w:cs="Times New Roman"/>
                <w:sz w:val="20"/>
                <w:szCs w:val="20"/>
              </w:rPr>
              <w:t xml:space="preserve">Control variables  </w:t>
            </w:r>
          </w:p>
        </w:tc>
        <w:tc>
          <w:tcPr>
            <w:tcW w:w="6840" w:type="dxa"/>
          </w:tcPr>
          <w:p w14:paraId="40480360" w14:textId="77777777" w:rsidR="00EB625C" w:rsidRPr="00531CDD" w:rsidRDefault="00EB625C" w:rsidP="00EB625C">
            <w:pPr>
              <w:jc w:val="both"/>
              <w:rPr>
                <w:rFonts w:ascii="Times New Roman" w:hAnsi="Times New Roman" w:cs="Times New Roman"/>
                <w:sz w:val="20"/>
                <w:szCs w:val="20"/>
              </w:rPr>
            </w:pPr>
          </w:p>
        </w:tc>
      </w:tr>
      <w:tr w:rsidR="00EB625C" w:rsidRPr="00531CDD" w14:paraId="2C240A39" w14:textId="77777777" w:rsidTr="00C6510A">
        <w:trPr>
          <w:jc w:val="center"/>
        </w:trPr>
        <w:tc>
          <w:tcPr>
            <w:tcW w:w="2340" w:type="dxa"/>
          </w:tcPr>
          <w:p w14:paraId="53F0DD20" w14:textId="4BF8A16E" w:rsidR="00EB625C" w:rsidRPr="00531CDD" w:rsidRDefault="00EB625C" w:rsidP="00EB625C">
            <w:pPr>
              <w:rPr>
                <w:rStyle w:val="fontstyle01"/>
                <w:rFonts w:ascii="Times New Roman" w:hAnsi="Times New Roman" w:cs="Times New Roman"/>
                <w:sz w:val="20"/>
                <w:szCs w:val="20"/>
              </w:rPr>
            </w:pPr>
            <w:r w:rsidRPr="00531CDD">
              <w:rPr>
                <w:rStyle w:val="fontstyle01"/>
                <w:rFonts w:ascii="Times New Roman" w:hAnsi="Times New Roman" w:cs="Times New Roman"/>
                <w:sz w:val="20"/>
                <w:szCs w:val="20"/>
              </w:rPr>
              <w:t>Community-level factors</w:t>
            </w:r>
          </w:p>
        </w:tc>
        <w:tc>
          <w:tcPr>
            <w:tcW w:w="6840" w:type="dxa"/>
          </w:tcPr>
          <w:p w14:paraId="5A5FE6BF" w14:textId="77777777" w:rsidR="00EB625C" w:rsidRPr="00531CDD" w:rsidRDefault="00EB625C" w:rsidP="00EB625C">
            <w:pPr>
              <w:jc w:val="both"/>
              <w:rPr>
                <w:rFonts w:ascii="Times New Roman" w:hAnsi="Times New Roman" w:cs="Times New Roman"/>
                <w:sz w:val="20"/>
                <w:szCs w:val="20"/>
              </w:rPr>
            </w:pPr>
          </w:p>
        </w:tc>
      </w:tr>
      <w:tr w:rsidR="00EB625C" w:rsidRPr="00531CDD" w14:paraId="1D7CFF14" w14:textId="77777777" w:rsidTr="00C6510A">
        <w:trPr>
          <w:jc w:val="center"/>
        </w:trPr>
        <w:tc>
          <w:tcPr>
            <w:tcW w:w="2340" w:type="dxa"/>
          </w:tcPr>
          <w:p w14:paraId="6FCBC67D" w14:textId="6C6034D7" w:rsidR="00EB625C" w:rsidRPr="00531CDD" w:rsidRDefault="00EB625C" w:rsidP="00EB625C">
            <w:pPr>
              <w:jc w:val="both"/>
              <w:rPr>
                <w:rFonts w:ascii="Times New Roman" w:hAnsi="Times New Roman" w:cs="Times New Roman"/>
                <w:b/>
                <w:sz w:val="20"/>
                <w:szCs w:val="20"/>
              </w:rPr>
            </w:pPr>
            <w:r w:rsidRPr="00531CDD">
              <w:rPr>
                <w:rFonts w:ascii="Times New Roman" w:hAnsi="Times New Roman" w:cs="Times New Roman"/>
                <w:sz w:val="20"/>
                <w:szCs w:val="20"/>
              </w:rPr>
              <w:t>Prevalence</w:t>
            </w:r>
            <w:r w:rsidRPr="00531CDD">
              <w:rPr>
                <w:rFonts w:ascii="Times New Roman" w:hAnsi="Times New Roman" w:cs="Times New Roman"/>
                <w:b/>
                <w:sz w:val="20"/>
                <w:szCs w:val="20"/>
              </w:rPr>
              <w:t xml:space="preserve"> </w:t>
            </w:r>
            <w:r w:rsidRPr="00531CDD">
              <w:rPr>
                <w:rFonts w:ascii="Times New Roman" w:hAnsi="Times New Roman" w:cs="Times New Roman"/>
                <w:sz w:val="20"/>
                <w:szCs w:val="20"/>
              </w:rPr>
              <w:t>of IPV (any form)</w:t>
            </w:r>
          </w:p>
        </w:tc>
        <w:tc>
          <w:tcPr>
            <w:tcW w:w="6840" w:type="dxa"/>
          </w:tcPr>
          <w:p w14:paraId="778AA8DC" w14:textId="5D397914" w:rsidR="00EB625C" w:rsidRPr="00531CDD" w:rsidRDefault="00AE1F60" w:rsidP="00EB625C">
            <w:pPr>
              <w:jc w:val="both"/>
              <w:rPr>
                <w:rFonts w:ascii="Times New Roman" w:hAnsi="Times New Roman" w:cs="Times New Roman"/>
                <w:sz w:val="20"/>
                <w:szCs w:val="20"/>
              </w:rPr>
            </w:pPr>
            <w:r w:rsidRPr="00531CDD">
              <w:rPr>
                <w:rFonts w:ascii="Times New Roman" w:hAnsi="Times New Roman" w:cs="Times New Roman"/>
                <w:sz w:val="20"/>
                <w:szCs w:val="20"/>
              </w:rPr>
              <w:t>The prevalence of IPV refers to the percentage of ever-married women aged 15–49 who have experienced emotional, sexual, or physical forms of IPV. This measure was derived from the subnational map in the AFDHS final report, which presents provincial-level IPV rates. Each province was assigned an IPV prevalence score ranging from 1 (lower prevalence) to 5 (higher prevalence) based on these reported rates</w:t>
            </w:r>
          </w:p>
        </w:tc>
      </w:tr>
      <w:tr w:rsidR="00EB625C" w:rsidRPr="00531CDD" w14:paraId="29C2A5FF" w14:textId="77777777" w:rsidTr="00C6510A">
        <w:trPr>
          <w:jc w:val="center"/>
        </w:trPr>
        <w:tc>
          <w:tcPr>
            <w:tcW w:w="2340" w:type="dxa"/>
          </w:tcPr>
          <w:p w14:paraId="586620A2" w14:textId="16EA1F82" w:rsidR="00EB625C" w:rsidRPr="00531CDD" w:rsidRDefault="00EB625C" w:rsidP="00EB625C">
            <w:pPr>
              <w:jc w:val="both"/>
              <w:rPr>
                <w:rFonts w:ascii="Times New Roman" w:hAnsi="Times New Roman" w:cs="Times New Roman"/>
                <w:b/>
                <w:sz w:val="20"/>
                <w:szCs w:val="20"/>
              </w:rPr>
            </w:pPr>
            <w:r w:rsidRPr="00531CDD">
              <w:rPr>
                <w:rFonts w:ascii="Times New Roman" w:hAnsi="Times New Roman" w:cs="Times New Roman"/>
                <w:sz w:val="20"/>
                <w:szCs w:val="20"/>
              </w:rPr>
              <w:t xml:space="preserve">Provincial Conflict severity </w:t>
            </w:r>
          </w:p>
        </w:tc>
        <w:tc>
          <w:tcPr>
            <w:tcW w:w="6840" w:type="dxa"/>
          </w:tcPr>
          <w:p w14:paraId="60FECB1B" w14:textId="0D4DDC39"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 xml:space="preserve">Conflict severity was assessed using a weighted index from the United Nations Office for the Coordination of Humanitarian Affairs </w:t>
            </w:r>
            <w:r w:rsidRPr="00531CDD">
              <w:rPr>
                <w:rFonts w:ascii="Times New Roman" w:hAnsi="Times New Roman" w:cs="Times New Roman"/>
                <w:sz w:val="20"/>
                <w:szCs w:val="20"/>
              </w:rPr>
              <w:fldChar w:fldCharType="begin"/>
            </w:r>
            <w:r w:rsidRPr="00531CDD">
              <w:rPr>
                <w:rFonts w:ascii="Times New Roman" w:hAnsi="Times New Roman" w:cs="Times New Roman"/>
                <w:sz w:val="20"/>
                <w:szCs w:val="20"/>
              </w:rPr>
              <w:instrText xml:space="preserve"> ADDIN ZOTERO_ITEM CSL_CITATION {"citationID":"Utxgfd15","properties":{"formattedCitation":"(OCHA, 2014)","plainCitation":"(OCHA, 2014)","dontUpdate":true,"noteIndex":0},"citationItems":[{"id":6909,"uris":["http://zotero.org/users/6777602/items/2GL6YAV7"],"itemData":{"id":6909,"type":"report","abstract":"Analysis in English on Afghanistan and 1 other country about Agriculture, Coordination, Flash Flood, Flood and more; published on 23 Nov 2014 by OCHA","language":"en","publisher":"United Nations Office for the Coordination of Humanitarian Affairs","title":"2015 Afghanistan humanitarian needs overview - Afghanistan","URL":"https://reliefweb.int/report/afghanistan/2015-afghanistan-humanitarian-needs-overview","author":[{"literal":"OCHA"}],"accessed":{"date-parts":[["2025",2,11]]},"issued":{"date-parts":[["2014"]]}}}],"schema":"https://github.com/citation-style-language/schema/raw/master/csl-citation.json"} </w:instrText>
            </w:r>
            <w:r w:rsidRPr="00531CDD">
              <w:rPr>
                <w:rFonts w:ascii="Times New Roman" w:hAnsi="Times New Roman" w:cs="Times New Roman"/>
                <w:sz w:val="20"/>
                <w:szCs w:val="20"/>
              </w:rPr>
              <w:fldChar w:fldCharType="separate"/>
            </w:r>
            <w:r w:rsidRPr="00531CDD">
              <w:rPr>
                <w:rFonts w:ascii="Times New Roman" w:hAnsi="Times New Roman" w:cs="Times New Roman"/>
                <w:sz w:val="20"/>
                <w:szCs w:val="20"/>
              </w:rPr>
              <w:t>(OCHA 2014)</w:t>
            </w:r>
            <w:r w:rsidRPr="00531CDD">
              <w:rPr>
                <w:rFonts w:ascii="Times New Roman" w:hAnsi="Times New Roman" w:cs="Times New Roman"/>
                <w:sz w:val="20"/>
                <w:szCs w:val="20"/>
              </w:rPr>
              <w:fldChar w:fldCharType="end"/>
            </w:r>
            <w:r w:rsidRPr="00531CDD">
              <w:rPr>
                <w:rFonts w:ascii="Times New Roman" w:hAnsi="Times New Roman" w:cs="Times New Roman"/>
                <w:sz w:val="20"/>
                <w:szCs w:val="20"/>
              </w:rPr>
              <w:t>. This humanitarian report presents the weighted indices of conflict for each province when the DHS data were collected. The index relies on three primary indicators: 1) civilian casualties directly caused by armed conflict, 2) the presence of landmines or unexploded ordnances, and 3) population displacement due to conflict. The variables were classified on a scale ranging from 1 (very low) to 5 (very high)</w:t>
            </w:r>
          </w:p>
        </w:tc>
      </w:tr>
      <w:tr w:rsidR="00EB625C" w:rsidRPr="00531CDD" w14:paraId="391D8899" w14:textId="77777777" w:rsidTr="00C6510A">
        <w:trPr>
          <w:jc w:val="center"/>
        </w:trPr>
        <w:tc>
          <w:tcPr>
            <w:tcW w:w="2340" w:type="dxa"/>
          </w:tcPr>
          <w:p w14:paraId="5873F222" w14:textId="4AAC8B05" w:rsidR="00EB625C" w:rsidRPr="00531CDD" w:rsidRDefault="00EB625C" w:rsidP="00EB625C">
            <w:pPr>
              <w:jc w:val="both"/>
              <w:rPr>
                <w:rFonts w:ascii="Times New Roman" w:hAnsi="Times New Roman" w:cs="Times New Roman"/>
                <w:b/>
                <w:sz w:val="20"/>
                <w:szCs w:val="20"/>
              </w:rPr>
            </w:pPr>
            <w:r w:rsidRPr="00531CDD">
              <w:rPr>
                <w:rFonts w:ascii="Times New Roman" w:hAnsi="Times New Roman" w:cs="Times New Roman"/>
                <w:sz w:val="20"/>
                <w:szCs w:val="20"/>
              </w:rPr>
              <w:t>Place of residence</w:t>
            </w:r>
          </w:p>
        </w:tc>
        <w:tc>
          <w:tcPr>
            <w:tcW w:w="6840" w:type="dxa"/>
          </w:tcPr>
          <w:p w14:paraId="731CF630" w14:textId="558606AB"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This variable quantifies the respondent's residential location, categorized as either urban (coded 1) or rural (coded 0).</w:t>
            </w:r>
          </w:p>
        </w:tc>
      </w:tr>
      <w:tr w:rsidR="00EB625C" w:rsidRPr="00531CDD" w14:paraId="7CD794B7" w14:textId="77777777" w:rsidTr="00C6510A">
        <w:trPr>
          <w:jc w:val="center"/>
        </w:trPr>
        <w:tc>
          <w:tcPr>
            <w:tcW w:w="2340" w:type="dxa"/>
          </w:tcPr>
          <w:p w14:paraId="716FBB19" w14:textId="0BD0A7D6" w:rsidR="00EB625C" w:rsidRPr="00531CDD" w:rsidRDefault="00EB625C" w:rsidP="00EB625C">
            <w:pPr>
              <w:jc w:val="both"/>
              <w:rPr>
                <w:rFonts w:ascii="Times New Roman" w:hAnsi="Times New Roman" w:cs="Times New Roman"/>
                <w:b/>
                <w:sz w:val="20"/>
                <w:szCs w:val="20"/>
              </w:rPr>
            </w:pPr>
            <w:r w:rsidRPr="00531CDD">
              <w:rPr>
                <w:rFonts w:ascii="Times New Roman" w:hAnsi="Times New Roman" w:cs="Times New Roman"/>
                <w:sz w:val="20"/>
                <w:szCs w:val="20"/>
              </w:rPr>
              <w:t>Aggregated education</w:t>
            </w:r>
          </w:p>
        </w:tc>
        <w:tc>
          <w:tcPr>
            <w:tcW w:w="6840" w:type="dxa"/>
          </w:tcPr>
          <w:p w14:paraId="66699DCC" w14:textId="260F8C86"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 xml:space="preserve">To capture the educational context, we aggregated individual women’s years of schooling across provinces. This variable represents the </w:t>
            </w:r>
            <w:r w:rsidRPr="00531CDD">
              <w:rPr>
                <w:rStyle w:val="Emphasis"/>
                <w:rFonts w:ascii="Times New Roman" w:hAnsi="Times New Roman" w:cs="Times New Roman"/>
                <w:sz w:val="20"/>
                <w:szCs w:val="20"/>
              </w:rPr>
              <w:t>average level of education among women in a given province</w:t>
            </w:r>
            <w:r w:rsidRPr="00531CDD">
              <w:rPr>
                <w:rFonts w:ascii="Times New Roman" w:hAnsi="Times New Roman" w:cs="Times New Roman"/>
                <w:sz w:val="20"/>
                <w:szCs w:val="20"/>
              </w:rPr>
              <w:t>. Higher values correspond to provinces where women are, on average, better educated.</w:t>
            </w:r>
          </w:p>
        </w:tc>
      </w:tr>
      <w:tr w:rsidR="00EB625C" w:rsidRPr="00531CDD" w14:paraId="5F99FD33" w14:textId="77777777" w:rsidTr="00C6510A">
        <w:trPr>
          <w:jc w:val="center"/>
        </w:trPr>
        <w:tc>
          <w:tcPr>
            <w:tcW w:w="2340" w:type="dxa"/>
          </w:tcPr>
          <w:p w14:paraId="168512D1" w14:textId="4F533152" w:rsidR="00EB625C" w:rsidRPr="00531CDD" w:rsidRDefault="00EB625C" w:rsidP="00EB625C">
            <w:pPr>
              <w:jc w:val="both"/>
              <w:rPr>
                <w:rFonts w:ascii="Times New Roman" w:hAnsi="Times New Roman" w:cs="Times New Roman"/>
                <w:b/>
                <w:sz w:val="20"/>
                <w:szCs w:val="20"/>
              </w:rPr>
            </w:pPr>
            <w:r w:rsidRPr="00531CDD">
              <w:rPr>
                <w:rFonts w:ascii="Times New Roman" w:hAnsi="Times New Roman" w:cs="Times New Roman"/>
                <w:sz w:val="20"/>
                <w:szCs w:val="20"/>
              </w:rPr>
              <w:t>Aggregated IPV justification</w:t>
            </w:r>
          </w:p>
        </w:tc>
        <w:tc>
          <w:tcPr>
            <w:tcW w:w="6840" w:type="dxa"/>
          </w:tcPr>
          <w:p w14:paraId="0A2F9CAB" w14:textId="15EAA5E3"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 xml:space="preserve">This variable is derived from women’s attitudes toward IPV. Respondents were asked whether a husband is justified in beating his wife under specific circumstances (e.g., neglecting the children, refusing sex, or arguing). Individual responses were aggregated at the provincial level to create a composite measure that reflects the </w:t>
            </w:r>
            <w:r w:rsidRPr="00531CDD">
              <w:rPr>
                <w:rStyle w:val="Emphasis"/>
                <w:rFonts w:ascii="Times New Roman" w:hAnsi="Times New Roman" w:cs="Times New Roman"/>
                <w:sz w:val="20"/>
                <w:szCs w:val="20"/>
              </w:rPr>
              <w:t>prevailing community norms regarding wife-beating</w:t>
            </w:r>
            <w:r w:rsidRPr="00531CDD">
              <w:rPr>
                <w:rFonts w:ascii="Times New Roman" w:hAnsi="Times New Roman" w:cs="Times New Roman"/>
                <w:sz w:val="20"/>
                <w:szCs w:val="20"/>
              </w:rPr>
              <w:t>. Higher values indicate greater acceptance of IPV within the community.</w:t>
            </w:r>
          </w:p>
        </w:tc>
      </w:tr>
      <w:tr w:rsidR="00EB625C" w:rsidRPr="00531CDD" w14:paraId="1291945E" w14:textId="77777777" w:rsidTr="00C6510A">
        <w:trPr>
          <w:jc w:val="center"/>
        </w:trPr>
        <w:tc>
          <w:tcPr>
            <w:tcW w:w="2340" w:type="dxa"/>
          </w:tcPr>
          <w:p w14:paraId="17634BCE" w14:textId="0D52A7E3" w:rsidR="00EB625C" w:rsidRPr="00531CDD" w:rsidRDefault="00EB625C" w:rsidP="00EB625C">
            <w:pPr>
              <w:jc w:val="both"/>
              <w:rPr>
                <w:rFonts w:ascii="Times New Roman" w:hAnsi="Times New Roman" w:cs="Times New Roman"/>
                <w:b/>
                <w:sz w:val="20"/>
                <w:szCs w:val="20"/>
              </w:rPr>
            </w:pPr>
            <w:r w:rsidRPr="00531CDD">
              <w:rPr>
                <w:rFonts w:ascii="Times New Roman" w:hAnsi="Times New Roman" w:cs="Times New Roman"/>
                <w:sz w:val="20"/>
                <w:szCs w:val="20"/>
              </w:rPr>
              <w:t>Aggregated wealth</w:t>
            </w:r>
          </w:p>
        </w:tc>
        <w:tc>
          <w:tcPr>
            <w:tcW w:w="6840" w:type="dxa"/>
          </w:tcPr>
          <w:p w14:paraId="575FD595" w14:textId="2980E550" w:rsidR="00EB625C" w:rsidRPr="00531CDD" w:rsidRDefault="00EB625C" w:rsidP="00EB625C">
            <w:pPr>
              <w:jc w:val="both"/>
              <w:rPr>
                <w:rFonts w:ascii="Times New Roman" w:hAnsi="Times New Roman" w:cs="Times New Roman"/>
                <w:sz w:val="20"/>
                <w:szCs w:val="20"/>
                <w:rtl/>
                <w:lang w:bidi="fa-IR"/>
              </w:rPr>
            </w:pPr>
            <w:r w:rsidRPr="00531CDD">
              <w:rPr>
                <w:rFonts w:ascii="Times New Roman" w:hAnsi="Times New Roman" w:cs="Times New Roman"/>
                <w:sz w:val="20"/>
                <w:szCs w:val="20"/>
              </w:rPr>
              <w:t xml:space="preserve">Household wealth quintiles from DHS were aggregated to the provincial level, yielding an indicator of </w:t>
            </w:r>
            <w:r w:rsidRPr="00531CDD">
              <w:rPr>
                <w:rStyle w:val="Emphasis"/>
                <w:rFonts w:ascii="Times New Roman" w:hAnsi="Times New Roman" w:cs="Times New Roman"/>
                <w:sz w:val="20"/>
                <w:szCs w:val="20"/>
              </w:rPr>
              <w:t>average wealth status across households within each province</w:t>
            </w:r>
            <w:r w:rsidRPr="00531CDD">
              <w:rPr>
                <w:rFonts w:ascii="Times New Roman" w:hAnsi="Times New Roman" w:cs="Times New Roman"/>
                <w:sz w:val="20"/>
                <w:szCs w:val="20"/>
              </w:rPr>
              <w:t>. This measure reflects the socioeconomic environment in which women reside.</w:t>
            </w:r>
          </w:p>
        </w:tc>
      </w:tr>
      <w:tr w:rsidR="00EB625C" w:rsidRPr="00531CDD" w14:paraId="128A7D84" w14:textId="77777777" w:rsidTr="00C6510A">
        <w:trPr>
          <w:jc w:val="center"/>
        </w:trPr>
        <w:tc>
          <w:tcPr>
            <w:tcW w:w="2340" w:type="dxa"/>
          </w:tcPr>
          <w:p w14:paraId="1E547FEC" w14:textId="1012A539" w:rsidR="00EB625C" w:rsidRPr="00531CDD" w:rsidRDefault="00EB625C" w:rsidP="00EB625C">
            <w:pPr>
              <w:rPr>
                <w:rStyle w:val="fontstyle01"/>
                <w:rFonts w:ascii="Times New Roman" w:hAnsi="Times New Roman" w:cs="Times New Roman"/>
                <w:sz w:val="20"/>
                <w:szCs w:val="20"/>
              </w:rPr>
            </w:pPr>
            <w:r w:rsidRPr="00531CDD">
              <w:rPr>
                <w:rStyle w:val="fontstyle01"/>
                <w:rFonts w:ascii="Times New Roman" w:hAnsi="Times New Roman" w:cs="Times New Roman"/>
                <w:sz w:val="20"/>
                <w:szCs w:val="20"/>
              </w:rPr>
              <w:t>Household-level factors</w:t>
            </w:r>
          </w:p>
        </w:tc>
        <w:tc>
          <w:tcPr>
            <w:tcW w:w="6840" w:type="dxa"/>
          </w:tcPr>
          <w:p w14:paraId="2ABC3D5A" w14:textId="77777777" w:rsidR="00EB625C" w:rsidRPr="00531CDD" w:rsidRDefault="00EB625C" w:rsidP="00EB625C">
            <w:pPr>
              <w:jc w:val="both"/>
              <w:rPr>
                <w:rFonts w:ascii="Times New Roman" w:hAnsi="Times New Roman" w:cs="Times New Roman"/>
                <w:sz w:val="20"/>
                <w:szCs w:val="20"/>
              </w:rPr>
            </w:pPr>
          </w:p>
        </w:tc>
      </w:tr>
      <w:tr w:rsidR="00EB625C" w:rsidRPr="00531CDD" w14:paraId="5749C7AD" w14:textId="77777777" w:rsidTr="00C6510A">
        <w:trPr>
          <w:jc w:val="center"/>
        </w:trPr>
        <w:tc>
          <w:tcPr>
            <w:tcW w:w="2340" w:type="dxa"/>
          </w:tcPr>
          <w:p w14:paraId="5DB54E10" w14:textId="60261EC5" w:rsidR="00EB625C" w:rsidRPr="00531CDD" w:rsidRDefault="00EB625C" w:rsidP="00EB625C">
            <w:pPr>
              <w:rPr>
                <w:rStyle w:val="fontstyle01"/>
                <w:rFonts w:ascii="Times New Roman" w:hAnsi="Times New Roman" w:cs="Times New Roman"/>
                <w:sz w:val="20"/>
                <w:szCs w:val="20"/>
              </w:rPr>
            </w:pPr>
            <w:r w:rsidRPr="00531CDD">
              <w:rPr>
                <w:rFonts w:ascii="Times New Roman" w:hAnsi="Times New Roman" w:cs="Times New Roman"/>
                <w:sz w:val="20"/>
                <w:szCs w:val="20"/>
              </w:rPr>
              <w:t>Husband’s education level</w:t>
            </w:r>
          </w:p>
        </w:tc>
        <w:tc>
          <w:tcPr>
            <w:tcW w:w="6840" w:type="dxa"/>
          </w:tcPr>
          <w:p w14:paraId="0F80B26D" w14:textId="444481FD"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This variable quantifies the educational attainment of respondents' husbands, it categorized as: 0=no education, 1= primary, 2= secondary, and 3= higher education. .</w:t>
            </w:r>
          </w:p>
        </w:tc>
      </w:tr>
      <w:tr w:rsidR="00EB625C" w:rsidRPr="00531CDD" w14:paraId="2ED94648" w14:textId="77777777" w:rsidTr="00C6510A">
        <w:trPr>
          <w:jc w:val="center"/>
        </w:trPr>
        <w:tc>
          <w:tcPr>
            <w:tcW w:w="2340" w:type="dxa"/>
          </w:tcPr>
          <w:p w14:paraId="211AF43F" w14:textId="5D480D48" w:rsidR="00EB625C" w:rsidRPr="00531CDD" w:rsidRDefault="00EB625C" w:rsidP="00EB625C">
            <w:pPr>
              <w:rPr>
                <w:rStyle w:val="fontstyle01"/>
                <w:rFonts w:ascii="Times New Roman" w:hAnsi="Times New Roman" w:cs="Times New Roman"/>
                <w:sz w:val="20"/>
                <w:szCs w:val="20"/>
              </w:rPr>
            </w:pPr>
            <w:r w:rsidRPr="00531CDD">
              <w:rPr>
                <w:rFonts w:ascii="Times New Roman" w:hAnsi="Times New Roman" w:cs="Times New Roman"/>
                <w:sz w:val="20"/>
                <w:szCs w:val="20"/>
              </w:rPr>
              <w:t>Controlling behavior</w:t>
            </w:r>
          </w:p>
        </w:tc>
        <w:tc>
          <w:tcPr>
            <w:tcW w:w="6840" w:type="dxa"/>
          </w:tcPr>
          <w:p w14:paraId="2218DCBF" w14:textId="14D597BF" w:rsidR="00EB625C" w:rsidRPr="00531CDD" w:rsidRDefault="00531CDD" w:rsidP="00531CDD">
            <w:pPr>
              <w:jc w:val="both"/>
              <w:rPr>
                <w:rFonts w:ascii="Times New Roman" w:hAnsi="Times New Roman" w:cs="Times New Roman"/>
                <w:sz w:val="20"/>
                <w:szCs w:val="20"/>
              </w:rPr>
            </w:pPr>
            <w:r w:rsidRPr="00531CDD">
              <w:rPr>
                <w:rFonts w:ascii="Times New Roman" w:hAnsi="Times New Roman" w:cs="Times New Roman"/>
                <w:sz w:val="20"/>
                <w:szCs w:val="20"/>
              </w:rPr>
              <w:t>Spousal controlling behavior was assessed through five items that inquired whether the husband demonstrated specific controlling actions, such as jealousy, accusations of infidelity, and restrictions on social interactions. Each item was coded as 0 for "No" and 1 for "Yes," while responses coded as 8 for "Don't know" were considered missing data. A continuous index was subsequently developed by calculating the mean of the five items, with higher values signifying greater levels of controlling behavior.</w:t>
            </w:r>
          </w:p>
        </w:tc>
      </w:tr>
      <w:tr w:rsidR="00EB625C" w:rsidRPr="00531CDD" w14:paraId="78179134" w14:textId="77777777" w:rsidTr="00C6510A">
        <w:trPr>
          <w:jc w:val="center"/>
        </w:trPr>
        <w:tc>
          <w:tcPr>
            <w:tcW w:w="2340" w:type="dxa"/>
          </w:tcPr>
          <w:p w14:paraId="2F3EBDFE" w14:textId="2A71A105" w:rsidR="00EB625C" w:rsidRPr="00531CDD" w:rsidRDefault="00EB625C" w:rsidP="00EB625C">
            <w:pPr>
              <w:rPr>
                <w:rStyle w:val="fontstyle01"/>
                <w:rFonts w:ascii="Times New Roman" w:hAnsi="Times New Roman" w:cs="Times New Roman"/>
                <w:sz w:val="20"/>
                <w:szCs w:val="20"/>
              </w:rPr>
            </w:pPr>
            <w:r w:rsidRPr="00531CDD">
              <w:rPr>
                <w:rFonts w:ascii="Times New Roman" w:hAnsi="Times New Roman" w:cs="Times New Roman"/>
                <w:sz w:val="20"/>
                <w:szCs w:val="20"/>
              </w:rPr>
              <w:lastRenderedPageBreak/>
              <w:t xml:space="preserve">Household wealth index </w:t>
            </w:r>
          </w:p>
        </w:tc>
        <w:tc>
          <w:tcPr>
            <w:tcW w:w="6840" w:type="dxa"/>
          </w:tcPr>
          <w:p w14:paraId="150B931E" w14:textId="643B0B1D"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A household’s cumulative living standard is measured compositely by the wealth index, which is evaluated in five categories (poorest = 1, poorer = 2, middle = 3, richer = 4, richest = 5).</w:t>
            </w:r>
          </w:p>
        </w:tc>
      </w:tr>
      <w:tr w:rsidR="00EB625C" w:rsidRPr="00531CDD" w14:paraId="01BB7B8E" w14:textId="77777777" w:rsidTr="00C6510A">
        <w:trPr>
          <w:jc w:val="center"/>
        </w:trPr>
        <w:tc>
          <w:tcPr>
            <w:tcW w:w="2340" w:type="dxa"/>
          </w:tcPr>
          <w:p w14:paraId="1F07B1F8" w14:textId="30C21AB3" w:rsidR="00EB625C" w:rsidRPr="00531CDD" w:rsidRDefault="00EB625C" w:rsidP="00EB625C">
            <w:pPr>
              <w:rPr>
                <w:rStyle w:val="fontstyle01"/>
                <w:rFonts w:ascii="Times New Roman" w:hAnsi="Times New Roman" w:cs="Times New Roman"/>
                <w:sz w:val="20"/>
                <w:szCs w:val="20"/>
              </w:rPr>
            </w:pPr>
            <w:r w:rsidRPr="00531CDD">
              <w:rPr>
                <w:rFonts w:ascii="Times New Roman" w:hAnsi="Times New Roman" w:cs="Times New Roman"/>
                <w:color w:val="000000"/>
                <w:sz w:val="20"/>
                <w:szCs w:val="20"/>
              </w:rPr>
              <w:t>Women asset o</w:t>
            </w:r>
            <w:r w:rsidRPr="00531CDD">
              <w:rPr>
                <w:rFonts w:ascii="Times New Roman" w:eastAsia="Times New Roman" w:hAnsi="Times New Roman" w:cs="Times New Roman"/>
                <w:sz w:val="20"/>
                <w:szCs w:val="20"/>
              </w:rPr>
              <w:t xml:space="preserve">wnership </w:t>
            </w:r>
          </w:p>
        </w:tc>
        <w:tc>
          <w:tcPr>
            <w:tcW w:w="6840" w:type="dxa"/>
          </w:tcPr>
          <w:p w14:paraId="05434BB1" w14:textId="21871B0C"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Survey participants were presented with two inquiries regarding asset ownership. The questions aimed to ascertain whether respondents possessed a house independently or in conjunction with others. The response options were: 1- no ownership, 2- sole ownership, 3- joint ownership only, or 4- both sole and joint ownership. This classification was derived from queries concerning both house and land ownership, resulting in three categories: 1= non-owner, 2= exclusive owner, and 3= co-owner.</w:t>
            </w:r>
          </w:p>
        </w:tc>
      </w:tr>
      <w:tr w:rsidR="00EB625C" w:rsidRPr="00531CDD" w14:paraId="7B31E9A0" w14:textId="77777777" w:rsidTr="00C6510A">
        <w:trPr>
          <w:jc w:val="center"/>
        </w:trPr>
        <w:tc>
          <w:tcPr>
            <w:tcW w:w="2340" w:type="dxa"/>
          </w:tcPr>
          <w:p w14:paraId="6CF5DDBA" w14:textId="6CC59EB2" w:rsidR="00EB625C" w:rsidRPr="00531CDD" w:rsidRDefault="00EB625C" w:rsidP="00EB625C">
            <w:pPr>
              <w:rPr>
                <w:rStyle w:val="fontstyle01"/>
                <w:rFonts w:ascii="Times New Roman" w:hAnsi="Times New Roman" w:cs="Times New Roman"/>
                <w:sz w:val="20"/>
                <w:szCs w:val="20"/>
              </w:rPr>
            </w:pPr>
            <w:r w:rsidRPr="00531CDD">
              <w:rPr>
                <w:rFonts w:ascii="Times New Roman" w:hAnsi="Times New Roman" w:cs="Times New Roman"/>
                <w:color w:val="000000"/>
                <w:kern w:val="0"/>
                <w:sz w:val="20"/>
                <w:szCs w:val="20"/>
              </w:rPr>
              <w:t>Husband/partner drinks alcohol</w:t>
            </w:r>
          </w:p>
        </w:tc>
        <w:tc>
          <w:tcPr>
            <w:tcW w:w="6840" w:type="dxa"/>
          </w:tcPr>
          <w:p w14:paraId="2F4813F2" w14:textId="392AAC8E"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Regarding alcohol consumption, spouses were assigned a binary code: 1 if they consumed alcohol, and 0 if they did not</w:t>
            </w:r>
          </w:p>
        </w:tc>
      </w:tr>
      <w:tr w:rsidR="00EB625C" w:rsidRPr="00531CDD" w14:paraId="1B7488D5" w14:textId="77777777" w:rsidTr="00C6510A">
        <w:trPr>
          <w:jc w:val="center"/>
        </w:trPr>
        <w:tc>
          <w:tcPr>
            <w:tcW w:w="2340" w:type="dxa"/>
          </w:tcPr>
          <w:p w14:paraId="767F7ACC" w14:textId="3D82C65A" w:rsidR="00EB625C" w:rsidRPr="00531CDD" w:rsidRDefault="00EB625C" w:rsidP="00EB625C">
            <w:pPr>
              <w:rPr>
                <w:rStyle w:val="fontstyle01"/>
                <w:rFonts w:ascii="Times New Roman" w:hAnsi="Times New Roman" w:cs="Times New Roman"/>
                <w:sz w:val="20"/>
                <w:szCs w:val="20"/>
              </w:rPr>
            </w:pPr>
            <w:r w:rsidRPr="00531CDD">
              <w:rPr>
                <w:rFonts w:ascii="Times New Roman" w:hAnsi="Times New Roman" w:cs="Times New Roman"/>
                <w:color w:val="000000"/>
                <w:kern w:val="0"/>
                <w:sz w:val="20"/>
                <w:szCs w:val="20"/>
              </w:rPr>
              <w:t>Comparison of Partner’s Education</w:t>
            </w:r>
          </w:p>
        </w:tc>
        <w:tc>
          <w:tcPr>
            <w:tcW w:w="6840" w:type="dxa"/>
          </w:tcPr>
          <w:p w14:paraId="1396CE49" w14:textId="0B1E286D"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The gap in educational attainment between the participant and their spouse was classified as 0 (equally educated), 1 (husband more educated), or 2 (wife more educated).</w:t>
            </w:r>
          </w:p>
        </w:tc>
      </w:tr>
      <w:tr w:rsidR="00EB625C" w:rsidRPr="00531CDD" w14:paraId="15990A19" w14:textId="77777777" w:rsidTr="00C6510A">
        <w:trPr>
          <w:jc w:val="center"/>
        </w:trPr>
        <w:tc>
          <w:tcPr>
            <w:tcW w:w="2340" w:type="dxa"/>
          </w:tcPr>
          <w:p w14:paraId="281A44CF" w14:textId="5D2E9C16" w:rsidR="00EB625C" w:rsidRPr="00531CDD" w:rsidRDefault="00EB625C" w:rsidP="00EB625C">
            <w:pPr>
              <w:rPr>
                <w:rStyle w:val="fontstyle01"/>
                <w:rFonts w:ascii="Times New Roman" w:hAnsi="Times New Roman" w:cs="Times New Roman"/>
                <w:sz w:val="20"/>
                <w:szCs w:val="20"/>
              </w:rPr>
            </w:pPr>
            <w:r w:rsidRPr="00531CDD">
              <w:rPr>
                <w:rFonts w:ascii="Times New Roman" w:hAnsi="Times New Roman" w:cs="Times New Roman"/>
                <w:b/>
                <w:bCs/>
                <w:i/>
                <w:iCs/>
                <w:color w:val="000000"/>
                <w:kern w:val="0"/>
                <w:sz w:val="20"/>
                <w:szCs w:val="20"/>
              </w:rPr>
              <w:t>Individual-level factors</w:t>
            </w:r>
          </w:p>
        </w:tc>
        <w:tc>
          <w:tcPr>
            <w:tcW w:w="6840" w:type="dxa"/>
          </w:tcPr>
          <w:p w14:paraId="12CE7632" w14:textId="77777777" w:rsidR="00EB625C" w:rsidRPr="00531CDD" w:rsidRDefault="00EB625C" w:rsidP="00EB625C">
            <w:pPr>
              <w:jc w:val="both"/>
              <w:rPr>
                <w:rFonts w:ascii="Times New Roman" w:hAnsi="Times New Roman" w:cs="Times New Roman"/>
                <w:sz w:val="20"/>
                <w:szCs w:val="20"/>
              </w:rPr>
            </w:pPr>
          </w:p>
        </w:tc>
      </w:tr>
      <w:tr w:rsidR="00EB625C" w:rsidRPr="00531CDD" w14:paraId="39D7B47F" w14:textId="77777777" w:rsidTr="00C6510A">
        <w:trPr>
          <w:jc w:val="center"/>
        </w:trPr>
        <w:tc>
          <w:tcPr>
            <w:tcW w:w="2340" w:type="dxa"/>
          </w:tcPr>
          <w:p w14:paraId="10F124A5" w14:textId="00F88F88" w:rsidR="00EB625C" w:rsidRPr="00531CDD" w:rsidRDefault="00EB625C" w:rsidP="00EB625C">
            <w:pPr>
              <w:rPr>
                <w:rFonts w:ascii="Times New Roman" w:hAnsi="Times New Roman" w:cs="Times New Roman"/>
                <w:b/>
                <w:bCs/>
                <w:i/>
                <w:iCs/>
                <w:color w:val="000000"/>
                <w:sz w:val="20"/>
                <w:szCs w:val="20"/>
              </w:rPr>
            </w:pPr>
            <w:r w:rsidRPr="00531CDD">
              <w:rPr>
                <w:rFonts w:ascii="Times New Roman" w:eastAsia="Times New Roman" w:hAnsi="Times New Roman" w:cs="Times New Roman"/>
                <w:sz w:val="20"/>
                <w:szCs w:val="20"/>
              </w:rPr>
              <w:t>Women’s autonomy</w:t>
            </w:r>
          </w:p>
        </w:tc>
        <w:tc>
          <w:tcPr>
            <w:tcW w:w="6840" w:type="dxa"/>
          </w:tcPr>
          <w:p w14:paraId="0E1795BA" w14:textId="5AA70901"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In the 2015 AFDHS, female respondents were queried regarding decision-making across four domains of autonomy: personal healthcare, household purchases, visits to family or relatives, and the allocation of spousal earnings. These responses were subsequently utilized to construct a decision autonomy index, with aggregate scores ranging from 0 to 8.</w:t>
            </w:r>
          </w:p>
        </w:tc>
      </w:tr>
      <w:tr w:rsidR="00EB625C" w:rsidRPr="00531CDD" w14:paraId="67FE13D9" w14:textId="77777777" w:rsidTr="00C6510A">
        <w:trPr>
          <w:jc w:val="center"/>
        </w:trPr>
        <w:tc>
          <w:tcPr>
            <w:tcW w:w="2340" w:type="dxa"/>
          </w:tcPr>
          <w:p w14:paraId="640F7244" w14:textId="6E982095" w:rsidR="00EB625C" w:rsidRPr="00531CDD" w:rsidRDefault="00EB625C" w:rsidP="00EB625C">
            <w:pPr>
              <w:rPr>
                <w:rFonts w:ascii="Times New Roman" w:eastAsia="Times New Roman" w:hAnsi="Times New Roman" w:cs="Times New Roman"/>
                <w:sz w:val="20"/>
                <w:szCs w:val="20"/>
              </w:rPr>
            </w:pPr>
            <w:r w:rsidRPr="00531CDD">
              <w:rPr>
                <w:rFonts w:ascii="Times New Roman" w:hAnsi="Times New Roman" w:cs="Times New Roman"/>
                <w:sz w:val="20"/>
                <w:szCs w:val="20"/>
              </w:rPr>
              <w:t>Current age (in year)</w:t>
            </w:r>
          </w:p>
        </w:tc>
        <w:tc>
          <w:tcPr>
            <w:tcW w:w="6840" w:type="dxa"/>
          </w:tcPr>
          <w:p w14:paraId="3F9F9403" w14:textId="5D26D54F"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The respondents’ age in the number of years (15-49)</w:t>
            </w:r>
          </w:p>
        </w:tc>
      </w:tr>
      <w:tr w:rsidR="00EB625C" w:rsidRPr="00531CDD" w14:paraId="57BEA494" w14:textId="77777777" w:rsidTr="00C6510A">
        <w:trPr>
          <w:jc w:val="center"/>
        </w:trPr>
        <w:tc>
          <w:tcPr>
            <w:tcW w:w="2340" w:type="dxa"/>
          </w:tcPr>
          <w:p w14:paraId="53719C8F" w14:textId="05978408" w:rsidR="00EB625C" w:rsidRPr="00531CDD" w:rsidRDefault="00EB625C" w:rsidP="00EB625C">
            <w:pPr>
              <w:rPr>
                <w:rFonts w:ascii="Times New Roman" w:hAnsi="Times New Roman" w:cs="Times New Roman"/>
                <w:sz w:val="20"/>
                <w:szCs w:val="20"/>
              </w:rPr>
            </w:pPr>
            <w:r w:rsidRPr="00531CDD">
              <w:rPr>
                <w:rFonts w:ascii="Times New Roman" w:hAnsi="Times New Roman" w:cs="Times New Roman"/>
                <w:color w:val="000000"/>
                <w:sz w:val="20"/>
                <w:szCs w:val="20"/>
              </w:rPr>
              <w:t>Work status</w:t>
            </w:r>
          </w:p>
        </w:tc>
        <w:tc>
          <w:tcPr>
            <w:tcW w:w="6840" w:type="dxa"/>
          </w:tcPr>
          <w:p w14:paraId="4890028D" w14:textId="20B0DC42"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 xml:space="preserve">Those who had a job during the interview coded 1 and those who were not working coded 0. </w:t>
            </w:r>
          </w:p>
        </w:tc>
      </w:tr>
      <w:tr w:rsidR="00EB625C" w:rsidRPr="00531CDD" w14:paraId="3751ACAD" w14:textId="77777777" w:rsidTr="00C6510A">
        <w:trPr>
          <w:jc w:val="center"/>
        </w:trPr>
        <w:tc>
          <w:tcPr>
            <w:tcW w:w="2340" w:type="dxa"/>
          </w:tcPr>
          <w:p w14:paraId="0A54E0C8" w14:textId="383EB6BA" w:rsidR="00EB625C" w:rsidRPr="00531CDD" w:rsidRDefault="00EB625C" w:rsidP="00EB625C">
            <w:pPr>
              <w:rPr>
                <w:rFonts w:ascii="Times New Roman" w:hAnsi="Times New Roman" w:cs="Times New Roman"/>
                <w:sz w:val="20"/>
                <w:szCs w:val="20"/>
              </w:rPr>
            </w:pPr>
            <w:r w:rsidRPr="00531CDD">
              <w:rPr>
                <w:rFonts w:ascii="Times New Roman" w:hAnsi="Times New Roman" w:cs="Times New Roman"/>
                <w:color w:val="000000"/>
                <w:sz w:val="20"/>
                <w:szCs w:val="20"/>
              </w:rPr>
              <w:t>Women’s education attainment</w:t>
            </w:r>
          </w:p>
        </w:tc>
        <w:tc>
          <w:tcPr>
            <w:tcW w:w="6840" w:type="dxa"/>
          </w:tcPr>
          <w:p w14:paraId="75401AD1" w14:textId="58F4C92C"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The first moderator (W) used education, all women were asked about their highest educational level. This was categorized as 0 = no education, 1= primary education, and 2= higher education.</w:t>
            </w:r>
          </w:p>
        </w:tc>
      </w:tr>
      <w:tr w:rsidR="00EB625C" w:rsidRPr="00531CDD" w14:paraId="26648A4B" w14:textId="77777777" w:rsidTr="00EB625C">
        <w:trPr>
          <w:jc w:val="center"/>
        </w:trPr>
        <w:tc>
          <w:tcPr>
            <w:tcW w:w="2340" w:type="dxa"/>
            <w:tcBorders>
              <w:bottom w:val="single" w:sz="2" w:space="0" w:color="auto"/>
            </w:tcBorders>
          </w:tcPr>
          <w:p w14:paraId="237D1383" w14:textId="77777777"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IPV justification</w:t>
            </w:r>
          </w:p>
        </w:tc>
        <w:tc>
          <w:tcPr>
            <w:tcW w:w="6840" w:type="dxa"/>
            <w:tcBorders>
              <w:bottom w:val="single" w:sz="2" w:space="0" w:color="auto"/>
            </w:tcBorders>
          </w:tcPr>
          <w:p w14:paraId="10624E5A" w14:textId="77777777" w:rsidR="00EB625C" w:rsidRPr="00531CDD" w:rsidRDefault="00EB625C" w:rsidP="00EB625C">
            <w:pPr>
              <w:jc w:val="both"/>
              <w:rPr>
                <w:rFonts w:ascii="Times New Roman" w:hAnsi="Times New Roman" w:cs="Times New Roman"/>
                <w:sz w:val="20"/>
                <w:szCs w:val="20"/>
              </w:rPr>
            </w:pPr>
            <w:r w:rsidRPr="00531CDD">
              <w:rPr>
                <w:rFonts w:ascii="Times New Roman" w:hAnsi="Times New Roman" w:cs="Times New Roman"/>
                <w:sz w:val="20"/>
                <w:szCs w:val="20"/>
              </w:rPr>
              <w:t>This variable indicates attitudes toward IPV among women in Afghanistan.  Participants were asked if, in certain situations, a husband may become irritated or angry because of his wife's actions. Do you believe it is acceptable for a husband to strike or physically abuse his wife under the following circumstances?"  1) If she goes out without telling the husband, 2) if she neglects children, 3) if she argues with her husband, 4) if she refuses to have sex with her husband, and 5) if she burnt food. Responses to these five scenarios were constructed as composite variables: "Yes" (coded as 1) or "No" (coded as 0)</w:t>
            </w:r>
          </w:p>
        </w:tc>
      </w:tr>
      <w:tr w:rsidR="00EB625C" w:rsidRPr="00531CDD" w14:paraId="2893C41A" w14:textId="77777777" w:rsidTr="00EB625C">
        <w:trPr>
          <w:jc w:val="center"/>
        </w:trPr>
        <w:tc>
          <w:tcPr>
            <w:tcW w:w="2340" w:type="dxa"/>
            <w:tcBorders>
              <w:top w:val="single" w:sz="2" w:space="0" w:color="auto"/>
              <w:bottom w:val="single" w:sz="4" w:space="0" w:color="auto"/>
            </w:tcBorders>
          </w:tcPr>
          <w:p w14:paraId="3D686029" w14:textId="77777777" w:rsidR="00EB625C" w:rsidRPr="00531CDD" w:rsidRDefault="00EB625C" w:rsidP="00EB625C">
            <w:pPr>
              <w:jc w:val="both"/>
              <w:rPr>
                <w:rFonts w:ascii="Times New Roman" w:hAnsi="Times New Roman" w:cs="Times New Roman"/>
                <w:color w:val="000000"/>
                <w:sz w:val="20"/>
                <w:szCs w:val="20"/>
              </w:rPr>
            </w:pPr>
            <w:r w:rsidRPr="00531CDD">
              <w:rPr>
                <w:rFonts w:ascii="Times New Roman" w:hAnsi="Times New Roman" w:cs="Times New Roman"/>
                <w:color w:val="000000"/>
                <w:sz w:val="20"/>
                <w:szCs w:val="20"/>
              </w:rPr>
              <w:t>Ethnicity</w:t>
            </w:r>
          </w:p>
        </w:tc>
        <w:tc>
          <w:tcPr>
            <w:tcW w:w="6840" w:type="dxa"/>
            <w:tcBorders>
              <w:top w:val="single" w:sz="2" w:space="0" w:color="auto"/>
              <w:bottom w:val="single" w:sz="4" w:space="0" w:color="auto"/>
            </w:tcBorders>
          </w:tcPr>
          <w:p w14:paraId="683DDEA8" w14:textId="77777777" w:rsidR="00EB625C" w:rsidRPr="00531CDD" w:rsidRDefault="00EB625C" w:rsidP="00EB625C">
            <w:pPr>
              <w:jc w:val="both"/>
              <w:rPr>
                <w:rFonts w:ascii="Times New Roman" w:hAnsi="Times New Roman" w:cs="Times New Roman"/>
                <w:b/>
                <w:sz w:val="20"/>
                <w:szCs w:val="20"/>
              </w:rPr>
            </w:pPr>
            <w:r w:rsidRPr="00531CDD">
              <w:rPr>
                <w:rFonts w:ascii="Times New Roman" w:hAnsi="Times New Roman" w:cs="Times New Roman"/>
                <w:sz w:val="20"/>
                <w:szCs w:val="20"/>
              </w:rPr>
              <w:t>This variable represents the respondent's ethnicity and includes the following categories: Pashtun = 1, Tajik = 2, Hazara = 3, Uzbek = 4, and Other = 5.</w:t>
            </w:r>
          </w:p>
        </w:tc>
      </w:tr>
    </w:tbl>
    <w:p w14:paraId="3361AB9B" w14:textId="77777777" w:rsidR="00A93125" w:rsidRDefault="00A93125"/>
    <w:p w14:paraId="6FDBE37F" w14:textId="77777777" w:rsidR="00EB625C" w:rsidRDefault="00EB625C"/>
    <w:sectPr w:rsidR="00EB6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14C"/>
    <w:multiLevelType w:val="hybridMultilevel"/>
    <w:tmpl w:val="FABA381A"/>
    <w:lvl w:ilvl="0" w:tplc="1EB42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01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92"/>
    <w:rsid w:val="001A6261"/>
    <w:rsid w:val="003230D3"/>
    <w:rsid w:val="00403FCC"/>
    <w:rsid w:val="004573B3"/>
    <w:rsid w:val="004E4ECD"/>
    <w:rsid w:val="00531CDD"/>
    <w:rsid w:val="006606CC"/>
    <w:rsid w:val="00705445"/>
    <w:rsid w:val="008443CA"/>
    <w:rsid w:val="00A93125"/>
    <w:rsid w:val="00AE1F60"/>
    <w:rsid w:val="00B25792"/>
    <w:rsid w:val="00B84D72"/>
    <w:rsid w:val="00BC4183"/>
    <w:rsid w:val="00C577C9"/>
    <w:rsid w:val="00D327D3"/>
    <w:rsid w:val="00EB625C"/>
    <w:rsid w:val="00F10EDB"/>
    <w:rsid w:val="00F85EFF"/>
    <w:rsid w:val="00F92B49"/>
    <w:rsid w:val="00FC26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517F"/>
  <w15:chartTrackingRefBased/>
  <w15:docId w15:val="{8DB4309E-E357-45D8-90B3-D88FF406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5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57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257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57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57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57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57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57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57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7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57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57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57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57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57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5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7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7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5792"/>
    <w:pPr>
      <w:spacing w:before="160"/>
      <w:jc w:val="center"/>
    </w:pPr>
    <w:rPr>
      <w:i/>
      <w:iCs/>
      <w:color w:val="404040" w:themeColor="text1" w:themeTint="BF"/>
    </w:rPr>
  </w:style>
  <w:style w:type="character" w:customStyle="1" w:styleId="QuoteChar">
    <w:name w:val="Quote Char"/>
    <w:basedOn w:val="DefaultParagraphFont"/>
    <w:link w:val="Quote"/>
    <w:uiPriority w:val="29"/>
    <w:rsid w:val="00B25792"/>
    <w:rPr>
      <w:i/>
      <w:iCs/>
      <w:color w:val="404040" w:themeColor="text1" w:themeTint="BF"/>
    </w:rPr>
  </w:style>
  <w:style w:type="paragraph" w:styleId="ListParagraph">
    <w:name w:val="List Paragraph"/>
    <w:basedOn w:val="Normal"/>
    <w:uiPriority w:val="34"/>
    <w:qFormat/>
    <w:rsid w:val="00B25792"/>
    <w:pPr>
      <w:ind w:left="720"/>
      <w:contextualSpacing/>
    </w:pPr>
  </w:style>
  <w:style w:type="character" w:styleId="IntenseEmphasis">
    <w:name w:val="Intense Emphasis"/>
    <w:basedOn w:val="DefaultParagraphFont"/>
    <w:uiPriority w:val="21"/>
    <w:qFormat/>
    <w:rsid w:val="00B25792"/>
    <w:rPr>
      <w:i/>
      <w:iCs/>
      <w:color w:val="0F4761" w:themeColor="accent1" w:themeShade="BF"/>
    </w:rPr>
  </w:style>
  <w:style w:type="paragraph" w:styleId="IntenseQuote">
    <w:name w:val="Intense Quote"/>
    <w:basedOn w:val="Normal"/>
    <w:next w:val="Normal"/>
    <w:link w:val="IntenseQuoteChar"/>
    <w:uiPriority w:val="30"/>
    <w:qFormat/>
    <w:rsid w:val="00B25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792"/>
    <w:rPr>
      <w:i/>
      <w:iCs/>
      <w:color w:val="0F4761" w:themeColor="accent1" w:themeShade="BF"/>
    </w:rPr>
  </w:style>
  <w:style w:type="character" w:styleId="IntenseReference">
    <w:name w:val="Intense Reference"/>
    <w:basedOn w:val="DefaultParagraphFont"/>
    <w:uiPriority w:val="32"/>
    <w:qFormat/>
    <w:rsid w:val="00B25792"/>
    <w:rPr>
      <w:b/>
      <w:bCs/>
      <w:smallCaps/>
      <w:color w:val="0F4761" w:themeColor="accent1" w:themeShade="BF"/>
      <w:spacing w:val="5"/>
    </w:rPr>
  </w:style>
  <w:style w:type="character" w:customStyle="1" w:styleId="fontstyle01">
    <w:name w:val="fontstyle01"/>
    <w:rsid w:val="00EB625C"/>
    <w:rPr>
      <w:rFonts w:ascii="TimesNewRomanPS-BoldMT" w:hAnsi="TimesNewRomanPS-BoldMT"/>
      <w:b/>
      <w:color w:val="000000"/>
      <w:sz w:val="22"/>
    </w:rPr>
  </w:style>
  <w:style w:type="table" w:styleId="TableGrid">
    <w:name w:val="Table Grid"/>
    <w:basedOn w:val="TableNormal"/>
    <w:uiPriority w:val="39"/>
    <w:rsid w:val="00EB625C"/>
    <w:pPr>
      <w:spacing w:after="0" w:line="240" w:lineRule="auto"/>
    </w:pPr>
    <w:rPr>
      <w:rFonts w:asciiTheme="minorHAnsi" w:hAnsiTheme="minorHAnsi"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B625C"/>
    <w:rPr>
      <w:i/>
      <w:iCs/>
    </w:rPr>
  </w:style>
  <w:style w:type="paragraph" w:styleId="Caption">
    <w:name w:val="caption"/>
    <w:basedOn w:val="Normal"/>
    <w:next w:val="Normal"/>
    <w:uiPriority w:val="35"/>
    <w:unhideWhenUsed/>
    <w:qFormat/>
    <w:rsid w:val="003230D3"/>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962</TotalTime>
  <Pages>4</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Fazel Akbary</dc:creator>
  <cp:keywords/>
  <dc:description/>
  <cp:lastModifiedBy>Mohammad Fazel Akbary</cp:lastModifiedBy>
  <cp:revision>7</cp:revision>
  <dcterms:created xsi:type="dcterms:W3CDTF">2025-08-20T06:28:00Z</dcterms:created>
  <dcterms:modified xsi:type="dcterms:W3CDTF">2025-10-11T13:17:00Z</dcterms:modified>
</cp:coreProperties>
</file>