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0BBE0" w14:textId="3174466F"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54BEE3CB" w14:textId="3A35C9EC"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3C904125" w14:textId="051FFD30"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3740DEA0" w14:textId="4EA95ED7"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52A83938" w14:textId="1AA7EE64"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37712C06" w14:textId="0BB2B6C7"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621AA68A" w14:textId="77777777" w:rsidR="00782F55" w:rsidRDefault="00782F55" w:rsidP="006C4F2B">
      <w:pPr>
        <w:widowControl/>
        <w:tabs>
          <w:tab w:val="left" w:pos="696"/>
        </w:tabs>
        <w:jc w:val="center"/>
        <w:rPr>
          <w:rFonts w:ascii="Arial" w:hAnsi="Arial" w:cs="Arial"/>
          <w:color w:val="000000"/>
          <w:spacing w:val="15"/>
          <w:sz w:val="32"/>
          <w:szCs w:val="32"/>
          <w:shd w:val="clear" w:color="auto" w:fill="FFFFFF"/>
        </w:rPr>
      </w:pPr>
    </w:p>
    <w:p w14:paraId="0235C724" w14:textId="73F9550D" w:rsidR="00224B5D" w:rsidRPr="00224B5D" w:rsidRDefault="00224B5D" w:rsidP="006C4F2B">
      <w:pPr>
        <w:widowControl/>
        <w:tabs>
          <w:tab w:val="left" w:pos="696"/>
        </w:tabs>
        <w:jc w:val="center"/>
        <w:rPr>
          <w:rFonts w:ascii="Arial" w:hAnsi="Arial" w:cs="Arial"/>
          <w:color w:val="000000"/>
          <w:spacing w:val="15"/>
          <w:sz w:val="32"/>
          <w:szCs w:val="32"/>
          <w:shd w:val="clear" w:color="auto" w:fill="FFFFFF"/>
        </w:rPr>
      </w:pPr>
      <w:r w:rsidRPr="00224B5D">
        <w:rPr>
          <w:rFonts w:ascii="Arial" w:hAnsi="Arial" w:cs="Arial"/>
          <w:color w:val="000000"/>
          <w:spacing w:val="15"/>
          <w:sz w:val="32"/>
          <w:szCs w:val="32"/>
          <w:shd w:val="clear" w:color="auto" w:fill="FFFFFF"/>
        </w:rPr>
        <w:t>Supporting Information</w:t>
      </w:r>
    </w:p>
    <w:p w14:paraId="4CBA7898" w14:textId="5380AF6B" w:rsidR="00396E8A" w:rsidRDefault="006C4F2B" w:rsidP="006C4F2B">
      <w:pPr>
        <w:widowControl/>
        <w:tabs>
          <w:tab w:val="left" w:pos="696"/>
        </w:tabs>
        <w:jc w:val="center"/>
        <w:rPr>
          <w:rFonts w:ascii="Arial" w:hAnsi="Arial" w:cs="Arial"/>
          <w:b/>
          <w:bCs/>
          <w:sz w:val="32"/>
          <w:szCs w:val="36"/>
        </w:rPr>
      </w:pPr>
      <w:r w:rsidRPr="00224B5D">
        <w:rPr>
          <w:rFonts w:ascii="Arial" w:hAnsi="Arial" w:cs="Arial"/>
          <w:b/>
          <w:bCs/>
          <w:sz w:val="32"/>
          <w:szCs w:val="36"/>
        </w:rPr>
        <w:t>Printable Newtonian fluid photocatalysts for scale-up solar CO</w:t>
      </w:r>
      <w:r w:rsidRPr="00224B5D">
        <w:rPr>
          <w:rFonts w:ascii="Arial" w:hAnsi="Arial" w:cs="Arial"/>
          <w:b/>
          <w:bCs/>
          <w:sz w:val="32"/>
          <w:szCs w:val="36"/>
          <w:vertAlign w:val="subscript"/>
        </w:rPr>
        <w:t>2</w:t>
      </w:r>
      <w:r w:rsidRPr="00224B5D">
        <w:rPr>
          <w:rFonts w:ascii="Arial" w:hAnsi="Arial" w:cs="Arial"/>
          <w:b/>
          <w:bCs/>
          <w:sz w:val="32"/>
          <w:szCs w:val="36"/>
        </w:rPr>
        <w:t xml:space="preserve"> conversion</w:t>
      </w:r>
    </w:p>
    <w:p w14:paraId="0AD67B1C" w14:textId="77777777" w:rsidR="00224B5D" w:rsidRPr="00224B5D" w:rsidRDefault="00224B5D" w:rsidP="006C4F2B">
      <w:pPr>
        <w:widowControl/>
        <w:tabs>
          <w:tab w:val="left" w:pos="696"/>
        </w:tabs>
        <w:jc w:val="center"/>
        <w:rPr>
          <w:rFonts w:ascii="Arial" w:hAnsi="Arial" w:cs="Arial"/>
          <w:b/>
          <w:bCs/>
          <w:sz w:val="32"/>
          <w:szCs w:val="36"/>
        </w:rPr>
      </w:pPr>
    </w:p>
    <w:p w14:paraId="4040E438" w14:textId="72CD92AB" w:rsidR="00224B5D" w:rsidRPr="00224B5D" w:rsidRDefault="00224B5D" w:rsidP="006C4F2B">
      <w:pPr>
        <w:widowControl/>
        <w:tabs>
          <w:tab w:val="left" w:pos="696"/>
        </w:tabs>
        <w:jc w:val="center"/>
        <w:rPr>
          <w:rFonts w:ascii="Arial" w:hAnsi="Arial" w:cs="Arial"/>
          <w:sz w:val="24"/>
          <w:szCs w:val="28"/>
        </w:rPr>
      </w:pPr>
      <w:r w:rsidRPr="00224B5D">
        <w:rPr>
          <w:rFonts w:ascii="Arial" w:hAnsi="Arial" w:cs="Arial"/>
          <w:sz w:val="24"/>
          <w:szCs w:val="28"/>
        </w:rPr>
        <w:t xml:space="preserve">Ziyang Lu, Yu Cheng, </w:t>
      </w:r>
      <w:proofErr w:type="spellStart"/>
      <w:r w:rsidRPr="00224B5D">
        <w:rPr>
          <w:rFonts w:ascii="Arial" w:hAnsi="Arial" w:cs="Arial"/>
          <w:sz w:val="24"/>
          <w:szCs w:val="28"/>
        </w:rPr>
        <w:t>Yangrui</w:t>
      </w:r>
      <w:proofErr w:type="spellEnd"/>
      <w:r w:rsidRPr="00224B5D">
        <w:rPr>
          <w:rFonts w:ascii="Arial" w:hAnsi="Arial" w:cs="Arial"/>
          <w:sz w:val="24"/>
          <w:szCs w:val="28"/>
        </w:rPr>
        <w:t xml:space="preserve"> Xu, </w:t>
      </w:r>
      <w:proofErr w:type="spellStart"/>
      <w:r w:rsidRPr="00224B5D">
        <w:rPr>
          <w:rFonts w:ascii="Arial" w:hAnsi="Arial" w:cs="Arial"/>
          <w:sz w:val="24"/>
          <w:szCs w:val="28"/>
        </w:rPr>
        <w:t>Liguang</w:t>
      </w:r>
      <w:proofErr w:type="spellEnd"/>
      <w:r w:rsidRPr="00224B5D">
        <w:rPr>
          <w:rFonts w:ascii="Arial" w:hAnsi="Arial" w:cs="Arial"/>
          <w:sz w:val="24"/>
          <w:szCs w:val="28"/>
        </w:rPr>
        <w:t xml:space="preserve"> Tang, </w:t>
      </w:r>
      <w:proofErr w:type="spellStart"/>
      <w:r w:rsidRPr="00224B5D">
        <w:rPr>
          <w:rFonts w:ascii="Arial" w:hAnsi="Arial" w:cs="Arial"/>
          <w:sz w:val="24"/>
          <w:szCs w:val="28"/>
        </w:rPr>
        <w:t>Hongping</w:t>
      </w:r>
      <w:proofErr w:type="spellEnd"/>
      <w:r w:rsidRPr="00224B5D">
        <w:rPr>
          <w:rFonts w:ascii="Arial" w:hAnsi="Arial" w:cs="Arial"/>
          <w:sz w:val="24"/>
          <w:szCs w:val="28"/>
        </w:rPr>
        <w:t xml:space="preserve"> Li, </w:t>
      </w:r>
      <w:proofErr w:type="spellStart"/>
      <w:r w:rsidRPr="00224B5D">
        <w:rPr>
          <w:rFonts w:ascii="Arial" w:hAnsi="Arial" w:cs="Arial"/>
          <w:sz w:val="24"/>
          <w:szCs w:val="28"/>
        </w:rPr>
        <w:t>Tianhua</w:t>
      </w:r>
      <w:proofErr w:type="spellEnd"/>
      <w:r w:rsidRPr="00224B5D">
        <w:rPr>
          <w:rFonts w:ascii="Arial" w:hAnsi="Arial" w:cs="Arial"/>
          <w:sz w:val="24"/>
          <w:szCs w:val="28"/>
        </w:rPr>
        <w:t xml:space="preserve"> Zhou, Kan Zhang, Weidong Shi</w:t>
      </w:r>
    </w:p>
    <w:p w14:paraId="36DACD8A" w14:textId="77777777" w:rsidR="006C4F2B" w:rsidRPr="006C4F2B" w:rsidRDefault="006C4F2B" w:rsidP="00396E8A">
      <w:pPr>
        <w:widowControl/>
        <w:tabs>
          <w:tab w:val="left" w:pos="696"/>
        </w:tabs>
        <w:jc w:val="left"/>
        <w:rPr>
          <w:rFonts w:ascii="Arial" w:hAnsi="Arial" w:cs="Arial"/>
          <w:b/>
          <w:bCs/>
          <w:sz w:val="32"/>
          <w:szCs w:val="36"/>
        </w:rPr>
      </w:pPr>
    </w:p>
    <w:p w14:paraId="6D0B391A" w14:textId="77777777" w:rsidR="00396E8A" w:rsidRDefault="00396E8A" w:rsidP="00396E8A">
      <w:pPr>
        <w:widowControl/>
        <w:tabs>
          <w:tab w:val="left" w:pos="696"/>
        </w:tabs>
        <w:jc w:val="left"/>
        <w:rPr>
          <w:rFonts w:ascii="Arial" w:hAnsi="Arial" w:cs="Arial"/>
        </w:rPr>
        <w:sectPr w:rsidR="00396E8A" w:rsidSect="00396E8A">
          <w:footerReference w:type="default" r:id="rId7"/>
          <w:pgSz w:w="11906" w:h="16838"/>
          <w:pgMar w:top="1440" w:right="1800" w:bottom="1440" w:left="1800" w:header="851" w:footer="992" w:gutter="0"/>
          <w:pgNumType w:start="2"/>
          <w:cols w:space="425"/>
          <w:docGrid w:type="lines" w:linePitch="312"/>
        </w:sectPr>
      </w:pPr>
    </w:p>
    <w:p w14:paraId="2DE3C9CB" w14:textId="7C88B81E" w:rsidR="001C640F" w:rsidRPr="00877130" w:rsidRDefault="001D6E09" w:rsidP="006C4F2B">
      <w:pPr>
        <w:jc w:val="center"/>
        <w:rPr>
          <w:rFonts w:ascii="Arial" w:hAnsi="Arial" w:cs="Arial"/>
        </w:rPr>
      </w:pPr>
      <w:r w:rsidRPr="00877130">
        <w:rPr>
          <w:rFonts w:ascii="Arial" w:hAnsi="Arial" w:cs="Arial"/>
          <w:noProof/>
        </w:rPr>
        <w:lastRenderedPageBreak/>
        <w:drawing>
          <wp:inline distT="0" distB="0" distL="0" distR="0" wp14:anchorId="34AFD231" wp14:editId="6B83215A">
            <wp:extent cx="5274310" cy="1423035"/>
            <wp:effectExtent l="0" t="0" r="2540" b="5715"/>
            <wp:docPr id="3" name="图片 2">
              <a:extLst xmlns:a="http://schemas.openxmlformats.org/drawingml/2006/main">
                <a:ext uri="{FF2B5EF4-FFF2-40B4-BE49-F238E27FC236}">
                  <a16:creationId xmlns:a16="http://schemas.microsoft.com/office/drawing/2014/main" id="{09AEFE40-FBDA-4C7E-9ACA-024B5B140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9AEFE40-FBDA-4C7E-9ACA-024B5B14060D}"/>
                        </a:ext>
                      </a:extLst>
                    </pic:cNvPr>
                    <pic:cNvPicPr>
                      <a:picLocks noChangeAspect="1"/>
                    </pic:cNvPicPr>
                  </pic:nvPicPr>
                  <pic:blipFill>
                    <a:blip r:embed="rId8"/>
                    <a:stretch>
                      <a:fillRect/>
                    </a:stretch>
                  </pic:blipFill>
                  <pic:spPr>
                    <a:xfrm>
                      <a:off x="0" y="0"/>
                      <a:ext cx="5274310" cy="1423035"/>
                    </a:xfrm>
                    <a:prstGeom prst="rect">
                      <a:avLst/>
                    </a:prstGeom>
                  </pic:spPr>
                </pic:pic>
              </a:graphicData>
            </a:graphic>
          </wp:inline>
        </w:drawing>
      </w:r>
    </w:p>
    <w:p w14:paraId="5F173782" w14:textId="0F9613A8" w:rsidR="000D0E54" w:rsidRPr="003C5286" w:rsidRDefault="001D6E09" w:rsidP="00221EAE">
      <w:pPr>
        <w:jc w:val="center"/>
        <w:rPr>
          <w:rFonts w:ascii="Arial" w:hAnsi="Arial" w:cs="Arial"/>
        </w:rPr>
      </w:pPr>
      <w:r w:rsidRPr="00877130">
        <w:rPr>
          <w:rFonts w:ascii="Arial" w:hAnsi="Arial" w:cs="Arial"/>
        </w:rPr>
        <w:t>Fig.S1</w:t>
      </w:r>
      <w:r w:rsidR="00A57461" w:rsidRPr="00A57461">
        <w:rPr>
          <w:rFonts w:ascii="Arial" w:hAnsi="Arial" w:cs="Arial"/>
        </w:rPr>
        <w:t xml:space="preserve"> </w:t>
      </w:r>
      <w:r w:rsidR="003C5286">
        <w:rPr>
          <w:rFonts w:ascii="Arial" w:hAnsi="Arial" w:cs="Arial"/>
        </w:rPr>
        <w:t>T</w:t>
      </w:r>
      <w:r w:rsidR="00A57461" w:rsidRPr="00A57461">
        <w:rPr>
          <w:rFonts w:ascii="Arial" w:hAnsi="Arial" w:cs="Arial"/>
        </w:rPr>
        <w:t xml:space="preserve">he preparation process of </w:t>
      </w:r>
      <w:r w:rsidR="00A57461">
        <w:rPr>
          <w:rFonts w:ascii="Arial" w:hAnsi="Arial" w:cs="Arial"/>
        </w:rPr>
        <w:t>PIL-</w:t>
      </w:r>
      <w:r w:rsidR="00A57461" w:rsidRPr="00A57461">
        <w:rPr>
          <w:rFonts w:ascii="Arial" w:hAnsi="Arial" w:cs="Arial"/>
        </w:rPr>
        <w:t>EY[M]</w:t>
      </w:r>
      <w:r w:rsidR="00A57461">
        <w:rPr>
          <w:rFonts w:ascii="Arial" w:hAnsi="Arial" w:cs="Arial"/>
        </w:rPr>
        <w:t>.</w:t>
      </w:r>
    </w:p>
    <w:p w14:paraId="1CA57249" w14:textId="121E2AC5" w:rsidR="000D0E54" w:rsidRPr="00877130" w:rsidRDefault="000D0E54">
      <w:pPr>
        <w:rPr>
          <w:rFonts w:ascii="Arial" w:hAnsi="Arial" w:cs="Arial"/>
        </w:rPr>
      </w:pPr>
    </w:p>
    <w:p w14:paraId="2A5B8FA6" w14:textId="2BEB1AD9" w:rsidR="000D0E54" w:rsidRPr="00877130" w:rsidRDefault="00A57461" w:rsidP="000D0E54">
      <w:pPr>
        <w:jc w:val="center"/>
        <w:rPr>
          <w:rFonts w:ascii="Arial" w:hAnsi="Arial" w:cs="Arial"/>
        </w:rPr>
      </w:pPr>
      <w:r w:rsidRPr="00A57461">
        <w:rPr>
          <w:rFonts w:ascii="Arial" w:hAnsi="Arial" w:cs="Arial"/>
          <w:noProof/>
        </w:rPr>
        <w:drawing>
          <wp:inline distT="0" distB="0" distL="0" distR="0" wp14:anchorId="7571AFED" wp14:editId="030FDCDD">
            <wp:extent cx="5274310" cy="2282190"/>
            <wp:effectExtent l="0" t="0" r="2540" b="0"/>
            <wp:docPr id="26" name="图片 41">
              <a:extLst xmlns:a="http://schemas.openxmlformats.org/drawingml/2006/main">
                <a:ext uri="{FF2B5EF4-FFF2-40B4-BE49-F238E27FC236}">
                  <a16:creationId xmlns:a16="http://schemas.microsoft.com/office/drawing/2014/main" id="{5427D348-6288-4AF1-935D-9F08BECFA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id="{5427D348-6288-4AF1-935D-9F08BECFAB50}"/>
                        </a:ext>
                      </a:extLst>
                    </pic:cNvPr>
                    <pic:cNvPicPr>
                      <a:picLocks noChangeAspect="1"/>
                    </pic:cNvPicPr>
                  </pic:nvPicPr>
                  <pic:blipFill>
                    <a:blip r:embed="rId9"/>
                    <a:stretch>
                      <a:fillRect/>
                    </a:stretch>
                  </pic:blipFill>
                  <pic:spPr>
                    <a:xfrm>
                      <a:off x="0" y="0"/>
                      <a:ext cx="5274310" cy="2282190"/>
                    </a:xfrm>
                    <a:prstGeom prst="rect">
                      <a:avLst/>
                    </a:prstGeom>
                  </pic:spPr>
                </pic:pic>
              </a:graphicData>
            </a:graphic>
          </wp:inline>
        </w:drawing>
      </w:r>
    </w:p>
    <w:p w14:paraId="086D747C" w14:textId="101E5F36" w:rsidR="000D0E54" w:rsidRPr="00877130" w:rsidRDefault="000D0E54" w:rsidP="00326084">
      <w:pPr>
        <w:jc w:val="center"/>
        <w:rPr>
          <w:rFonts w:ascii="Arial" w:hAnsi="Arial" w:cs="Arial"/>
        </w:rPr>
      </w:pPr>
      <w:r w:rsidRPr="00877130">
        <w:rPr>
          <w:rFonts w:ascii="Arial" w:hAnsi="Arial" w:cs="Arial"/>
        </w:rPr>
        <w:t>Fig.S2</w:t>
      </w:r>
      <w:r w:rsidR="006958B6">
        <w:rPr>
          <w:rFonts w:ascii="Arial" w:hAnsi="Arial" w:cs="Arial"/>
        </w:rPr>
        <w:t xml:space="preserve"> T</w:t>
      </w:r>
      <w:r w:rsidR="00A57461" w:rsidRPr="00A57461">
        <w:rPr>
          <w:rFonts w:ascii="Arial" w:hAnsi="Arial" w:cs="Arial"/>
        </w:rPr>
        <w:t xml:space="preserve">he preparation process of EY[M] by </w:t>
      </w:r>
      <w:r w:rsidR="00A57461">
        <w:rPr>
          <w:rFonts w:ascii="Arial" w:hAnsi="Arial" w:cs="Arial"/>
        </w:rPr>
        <w:t>d</w:t>
      </w:r>
      <w:r w:rsidR="00A57461" w:rsidRPr="00A57461">
        <w:rPr>
          <w:rFonts w:ascii="Arial" w:hAnsi="Arial" w:cs="Arial"/>
        </w:rPr>
        <w:t>ehydration condensation reaction</w:t>
      </w:r>
      <w:r w:rsidR="00A57461">
        <w:rPr>
          <w:rFonts w:ascii="Arial" w:hAnsi="Arial" w:cs="Arial"/>
        </w:rPr>
        <w:t>.</w:t>
      </w:r>
    </w:p>
    <w:p w14:paraId="75BE62F2" w14:textId="1990660B" w:rsidR="00326084" w:rsidRDefault="00326084" w:rsidP="000D0E54">
      <w:pPr>
        <w:jc w:val="center"/>
        <w:rPr>
          <w:rFonts w:ascii="Arial" w:hAnsi="Arial" w:cs="Arial"/>
        </w:rPr>
      </w:pPr>
    </w:p>
    <w:p w14:paraId="5792A621" w14:textId="77777777" w:rsidR="00221EAE" w:rsidRPr="00877130" w:rsidRDefault="00221EAE" w:rsidP="00221EAE">
      <w:pPr>
        <w:jc w:val="center"/>
        <w:rPr>
          <w:rFonts w:ascii="Arial" w:hAnsi="Arial" w:cs="Arial"/>
        </w:rPr>
      </w:pPr>
      <w:r w:rsidRPr="00877130">
        <w:rPr>
          <w:rFonts w:ascii="Arial" w:hAnsi="Arial" w:cs="Arial"/>
          <w:noProof/>
        </w:rPr>
        <w:drawing>
          <wp:inline distT="0" distB="0" distL="0" distR="0" wp14:anchorId="76B99D33" wp14:editId="49D0AC15">
            <wp:extent cx="3377477" cy="2383743"/>
            <wp:effectExtent l="0" t="0" r="0" b="0"/>
            <wp:docPr id="2" name="图片 1">
              <a:extLst xmlns:a="http://schemas.openxmlformats.org/drawingml/2006/main">
                <a:ext uri="{FF2B5EF4-FFF2-40B4-BE49-F238E27FC236}">
                  <a16:creationId xmlns:a16="http://schemas.microsoft.com/office/drawing/2014/main" id="{64E4AEE1-C106-4D86-BC20-8B3D73C81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4E4AEE1-C106-4D86-BC20-8B3D73C8125C}"/>
                        </a:ext>
                      </a:extLst>
                    </pic:cNvPr>
                    <pic:cNvPicPr>
                      <a:picLocks noChangeAspect="1"/>
                    </pic:cNvPicPr>
                  </pic:nvPicPr>
                  <pic:blipFill>
                    <a:blip r:embed="rId10"/>
                    <a:stretch>
                      <a:fillRect/>
                    </a:stretch>
                  </pic:blipFill>
                  <pic:spPr>
                    <a:xfrm>
                      <a:off x="0" y="0"/>
                      <a:ext cx="3377477" cy="2383743"/>
                    </a:xfrm>
                    <a:prstGeom prst="rect">
                      <a:avLst/>
                    </a:prstGeom>
                  </pic:spPr>
                </pic:pic>
              </a:graphicData>
            </a:graphic>
          </wp:inline>
        </w:drawing>
      </w:r>
    </w:p>
    <w:p w14:paraId="2FFC2238" w14:textId="64D91D19" w:rsidR="00221EAE" w:rsidRPr="00877130" w:rsidRDefault="00221EAE" w:rsidP="00221EAE">
      <w:pPr>
        <w:jc w:val="center"/>
        <w:rPr>
          <w:rFonts w:ascii="Arial" w:hAnsi="Arial" w:cs="Arial"/>
        </w:rPr>
      </w:pPr>
      <w:r w:rsidRPr="00877130">
        <w:rPr>
          <w:rFonts w:ascii="Arial" w:hAnsi="Arial" w:cs="Arial"/>
        </w:rPr>
        <w:t>Fig.S</w:t>
      </w:r>
      <w:r>
        <w:rPr>
          <w:rFonts w:ascii="Arial" w:hAnsi="Arial" w:cs="Arial"/>
        </w:rPr>
        <w:t xml:space="preserve">3 </w:t>
      </w:r>
      <w:r w:rsidRPr="00000945">
        <w:rPr>
          <w:rFonts w:ascii="Arial" w:hAnsi="Arial" w:cs="Arial"/>
        </w:rPr>
        <w:t>Search Engine Marketing</w:t>
      </w:r>
      <w:r>
        <w:rPr>
          <w:rFonts w:ascii="Arial" w:hAnsi="Arial" w:cs="Arial"/>
        </w:rPr>
        <w:t xml:space="preserve"> (SEM) and mapping images of PIL.</w:t>
      </w:r>
    </w:p>
    <w:p w14:paraId="265DDE69" w14:textId="77777777" w:rsidR="00221EAE" w:rsidRDefault="00221EAE" w:rsidP="00221EAE">
      <w:pPr>
        <w:jc w:val="center"/>
        <w:rPr>
          <w:rFonts w:ascii="Arial" w:hAnsi="Arial" w:cs="Arial"/>
        </w:rPr>
      </w:pPr>
      <w:r>
        <w:rPr>
          <w:noProof/>
        </w:rPr>
        <w:lastRenderedPageBreak/>
        <w:drawing>
          <wp:inline distT="0" distB="0" distL="0" distR="0" wp14:anchorId="44848EEF" wp14:editId="2C6C4C47">
            <wp:extent cx="2458192" cy="1985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285" cy="2000467"/>
                    </a:xfrm>
                    <a:prstGeom prst="rect">
                      <a:avLst/>
                    </a:prstGeom>
                  </pic:spPr>
                </pic:pic>
              </a:graphicData>
            </a:graphic>
          </wp:inline>
        </w:drawing>
      </w:r>
    </w:p>
    <w:p w14:paraId="7A2A1A43" w14:textId="7808F166" w:rsidR="00221EAE" w:rsidRDefault="00221EAE" w:rsidP="00221EAE">
      <w:pPr>
        <w:jc w:val="center"/>
        <w:rPr>
          <w:rFonts w:ascii="Arial" w:hAnsi="Arial" w:cs="Arial"/>
        </w:rPr>
      </w:pPr>
      <w:r w:rsidRPr="00877130">
        <w:rPr>
          <w:rFonts w:ascii="Arial" w:hAnsi="Arial" w:cs="Arial"/>
        </w:rPr>
        <w:t>Fig.S</w:t>
      </w:r>
      <w:r>
        <w:rPr>
          <w:rFonts w:ascii="Arial" w:hAnsi="Arial" w:cs="Arial"/>
        </w:rPr>
        <w:t xml:space="preserve">4 </w:t>
      </w:r>
      <w:r w:rsidRPr="00F957FD">
        <w:rPr>
          <w:rFonts w:ascii="Arial" w:hAnsi="Arial" w:cs="Arial"/>
        </w:rPr>
        <w:t>N</w:t>
      </w:r>
      <w:r w:rsidRPr="00F957FD">
        <w:rPr>
          <w:rFonts w:ascii="Arial" w:hAnsi="Arial" w:cs="Arial"/>
          <w:vertAlign w:val="subscript"/>
        </w:rPr>
        <w:t>2</w:t>
      </w:r>
      <w:r w:rsidRPr="00F957FD">
        <w:rPr>
          <w:rFonts w:ascii="Arial" w:hAnsi="Arial" w:cs="Arial"/>
        </w:rPr>
        <w:t xml:space="preserve"> adsorption-desorption isotherms</w:t>
      </w:r>
      <w:r>
        <w:rPr>
          <w:rFonts w:ascii="Arial" w:hAnsi="Arial" w:cs="Arial"/>
        </w:rPr>
        <w:t xml:space="preserve"> of PIL.</w:t>
      </w:r>
    </w:p>
    <w:p w14:paraId="3C3E7E6A" w14:textId="77777777" w:rsidR="00221EAE" w:rsidRPr="00877130" w:rsidRDefault="00221EAE" w:rsidP="00221EAE">
      <w:pPr>
        <w:rPr>
          <w:rFonts w:ascii="Arial" w:hAnsi="Arial" w:cs="Arial"/>
        </w:rPr>
      </w:pPr>
      <w:r w:rsidRPr="00F957FD">
        <w:rPr>
          <w:rFonts w:ascii="Arial" w:hAnsi="Arial" w:cs="Arial"/>
        </w:rPr>
        <w:t>The PIL hollow sphere has a large specific surface area (86.81 m</w:t>
      </w:r>
      <w:r w:rsidRPr="00F957FD">
        <w:rPr>
          <w:rFonts w:ascii="Arial" w:hAnsi="Arial" w:cs="Arial"/>
          <w:vertAlign w:val="superscript"/>
        </w:rPr>
        <w:t>2</w:t>
      </w:r>
      <w:r w:rsidRPr="00F957FD">
        <w:rPr>
          <w:rFonts w:ascii="Arial" w:hAnsi="Arial" w:cs="Arial"/>
        </w:rPr>
        <w:t xml:space="preserve">/g), and the isotherm is </w:t>
      </w:r>
      <w:r>
        <w:rPr>
          <w:rFonts w:ascii="Arial" w:hAnsi="Arial" w:cs="Arial" w:hint="eastAsia"/>
        </w:rPr>
        <w:t>t</w:t>
      </w:r>
      <w:r>
        <w:rPr>
          <w:rFonts w:ascii="Arial" w:hAnsi="Arial" w:cs="Arial"/>
        </w:rPr>
        <w:t xml:space="preserve">he </w:t>
      </w:r>
      <w:r w:rsidRPr="00F957FD">
        <w:rPr>
          <w:rFonts w:ascii="Arial" w:hAnsi="Arial" w:cs="Arial"/>
        </w:rPr>
        <w:t xml:space="preserve">typical type I, indicating that the </w:t>
      </w:r>
      <w:r w:rsidRPr="00F957FD">
        <w:rPr>
          <w:rFonts w:ascii="Arial" w:hAnsi="Arial" w:cs="Arial" w:hint="eastAsia"/>
        </w:rPr>
        <w:t>PIL</w:t>
      </w:r>
      <w:r w:rsidRPr="00F957FD">
        <w:rPr>
          <w:rFonts w:ascii="Arial" w:hAnsi="Arial" w:cs="Arial"/>
        </w:rPr>
        <w:t xml:space="preserve"> </w:t>
      </w:r>
      <w:r>
        <w:rPr>
          <w:rFonts w:ascii="Arial" w:hAnsi="Arial" w:cs="Arial"/>
        </w:rPr>
        <w:t>has</w:t>
      </w:r>
      <w:r w:rsidRPr="00F957FD">
        <w:rPr>
          <w:rFonts w:ascii="Arial" w:hAnsi="Arial" w:cs="Arial"/>
        </w:rPr>
        <w:t xml:space="preserve"> a multi-microporous structure (aperture &lt; 2 nm), which prevents the liquid end of the large volume and long chain from entering the cavity interior.</w:t>
      </w:r>
    </w:p>
    <w:p w14:paraId="53A76320" w14:textId="469E4439" w:rsidR="00221EAE" w:rsidRDefault="00221EAE" w:rsidP="000D0E54">
      <w:pPr>
        <w:jc w:val="center"/>
        <w:rPr>
          <w:rFonts w:ascii="Arial" w:hAnsi="Arial" w:cs="Arial"/>
        </w:rPr>
      </w:pPr>
    </w:p>
    <w:p w14:paraId="253F2425" w14:textId="77777777" w:rsidR="00221EAE" w:rsidRPr="00877130" w:rsidRDefault="00221EAE" w:rsidP="00221EAE">
      <w:pPr>
        <w:jc w:val="center"/>
        <w:rPr>
          <w:rFonts w:ascii="Arial" w:hAnsi="Arial" w:cs="Arial"/>
        </w:rPr>
      </w:pPr>
      <w:r>
        <w:rPr>
          <w:noProof/>
        </w:rPr>
        <w:drawing>
          <wp:inline distT="0" distB="0" distL="0" distR="0" wp14:anchorId="620006F1" wp14:editId="3617331B">
            <wp:extent cx="2085033" cy="184605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4997" cy="1854877"/>
                    </a:xfrm>
                    <a:prstGeom prst="rect">
                      <a:avLst/>
                    </a:prstGeom>
                  </pic:spPr>
                </pic:pic>
              </a:graphicData>
            </a:graphic>
          </wp:inline>
        </w:drawing>
      </w:r>
    </w:p>
    <w:p w14:paraId="025A6C79" w14:textId="15FFE6AE" w:rsidR="00221EAE" w:rsidRDefault="00221EAE" w:rsidP="00221EAE">
      <w:pPr>
        <w:jc w:val="center"/>
        <w:rPr>
          <w:rFonts w:ascii="Arial" w:hAnsi="Arial" w:cs="Arial"/>
        </w:rPr>
      </w:pPr>
      <w:r w:rsidRPr="00877130">
        <w:rPr>
          <w:rFonts w:ascii="Arial" w:hAnsi="Arial" w:cs="Arial"/>
        </w:rPr>
        <w:t>Fig.S</w:t>
      </w:r>
      <w:r>
        <w:rPr>
          <w:rFonts w:ascii="Arial" w:hAnsi="Arial" w:cs="Arial"/>
        </w:rPr>
        <w:t>5 T</w:t>
      </w:r>
      <w:r w:rsidRPr="00153685">
        <w:rPr>
          <w:rFonts w:ascii="Arial" w:hAnsi="Arial" w:cs="Arial"/>
        </w:rPr>
        <w:t xml:space="preserve">he X-ray diffraction </w:t>
      </w:r>
      <w:r>
        <w:rPr>
          <w:rFonts w:ascii="Arial" w:hAnsi="Arial" w:cs="Arial"/>
        </w:rPr>
        <w:t xml:space="preserve">(XRD) </w:t>
      </w:r>
      <w:r w:rsidRPr="00153685">
        <w:rPr>
          <w:rFonts w:ascii="Arial" w:hAnsi="Arial" w:cs="Arial"/>
        </w:rPr>
        <w:t>pattern of PIL</w:t>
      </w:r>
      <w:r>
        <w:rPr>
          <w:rFonts w:ascii="Arial" w:hAnsi="Arial" w:cs="Arial"/>
        </w:rPr>
        <w:t xml:space="preserve"> and </w:t>
      </w:r>
      <w:r w:rsidRPr="00153685">
        <w:rPr>
          <w:rFonts w:ascii="Arial" w:hAnsi="Arial" w:cs="Arial"/>
        </w:rPr>
        <w:t>PIL</w:t>
      </w:r>
      <w:r>
        <w:rPr>
          <w:rFonts w:ascii="Arial" w:hAnsi="Arial" w:cs="Arial"/>
        </w:rPr>
        <w:t>-EY[M].</w:t>
      </w:r>
    </w:p>
    <w:p w14:paraId="40AC18C5" w14:textId="489F8B73" w:rsidR="0070456A" w:rsidRDefault="0070456A">
      <w:pPr>
        <w:widowControl/>
        <w:jc w:val="left"/>
        <w:rPr>
          <w:rFonts w:ascii="Arial" w:hAnsi="Arial" w:cs="Arial"/>
        </w:rPr>
      </w:pPr>
      <w:r>
        <w:rPr>
          <w:rFonts w:ascii="Arial" w:hAnsi="Arial" w:cs="Arial"/>
        </w:rPr>
        <w:br w:type="page"/>
      </w:r>
    </w:p>
    <w:p w14:paraId="1C94E9BA" w14:textId="77777777" w:rsidR="00221EAE" w:rsidRDefault="00221EAE" w:rsidP="00221EAE">
      <w:pPr>
        <w:jc w:val="center"/>
        <w:rPr>
          <w:rFonts w:ascii="Arial" w:hAnsi="Arial" w:cs="Arial"/>
        </w:rPr>
      </w:pPr>
      <w:r>
        <w:rPr>
          <w:noProof/>
        </w:rPr>
        <w:lastRenderedPageBreak/>
        <w:drawing>
          <wp:inline distT="0" distB="0" distL="0" distR="0" wp14:anchorId="364411DB" wp14:editId="6C6DD34D">
            <wp:extent cx="3423514" cy="2991968"/>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2189" cy="2999549"/>
                    </a:xfrm>
                    <a:prstGeom prst="rect">
                      <a:avLst/>
                    </a:prstGeom>
                  </pic:spPr>
                </pic:pic>
              </a:graphicData>
            </a:graphic>
          </wp:inline>
        </w:drawing>
      </w:r>
    </w:p>
    <w:p w14:paraId="17D744B6" w14:textId="2AC8F9DB" w:rsidR="00221EAE" w:rsidRDefault="00221EAE" w:rsidP="00221EAE">
      <w:pPr>
        <w:jc w:val="center"/>
        <w:rPr>
          <w:rFonts w:ascii="Arial" w:hAnsi="Arial" w:cs="Arial"/>
        </w:rPr>
      </w:pPr>
      <w:r w:rsidRPr="00877130">
        <w:rPr>
          <w:rFonts w:ascii="Arial" w:hAnsi="Arial" w:cs="Arial"/>
        </w:rPr>
        <w:t>Fig.S</w:t>
      </w:r>
      <w:r w:rsidR="00E230CD">
        <w:rPr>
          <w:rFonts w:ascii="Arial" w:hAnsi="Arial" w:cs="Arial"/>
        </w:rPr>
        <w:t>6</w:t>
      </w:r>
      <w:r>
        <w:rPr>
          <w:rFonts w:ascii="Arial" w:hAnsi="Arial" w:cs="Arial"/>
        </w:rPr>
        <w:t xml:space="preserve"> </w:t>
      </w:r>
      <w:r w:rsidRPr="00153685">
        <w:rPr>
          <w:rFonts w:ascii="Arial" w:hAnsi="Arial" w:cs="Arial"/>
        </w:rPr>
        <w:t xml:space="preserve">The X-ray photoelectron spectroscopy (XPS) </w:t>
      </w:r>
      <w:r>
        <w:rPr>
          <w:rFonts w:ascii="Arial" w:hAnsi="Arial" w:cs="Arial"/>
        </w:rPr>
        <w:t>of PIL and</w:t>
      </w:r>
      <w:r w:rsidRPr="00153685">
        <w:rPr>
          <w:rFonts w:ascii="Arial" w:hAnsi="Arial" w:cs="Arial"/>
        </w:rPr>
        <w:t xml:space="preserve"> PIL</w:t>
      </w:r>
      <w:r>
        <w:rPr>
          <w:rFonts w:ascii="Arial" w:hAnsi="Arial" w:cs="Arial"/>
        </w:rPr>
        <w:t>-EY[M].</w:t>
      </w:r>
    </w:p>
    <w:p w14:paraId="3873C02D" w14:textId="77777777" w:rsidR="00221EAE" w:rsidRPr="00877130" w:rsidRDefault="00221EAE" w:rsidP="00221EAE">
      <w:pPr>
        <w:rPr>
          <w:rFonts w:ascii="Arial" w:hAnsi="Arial" w:cs="Arial"/>
        </w:rPr>
      </w:pPr>
      <w:r w:rsidRPr="00F957FD">
        <w:rPr>
          <w:rFonts w:ascii="Arial" w:hAnsi="Arial" w:cs="Arial"/>
        </w:rPr>
        <w:t xml:space="preserve">In addition, the N1s XPS spectra of </w:t>
      </w:r>
      <w:r>
        <w:rPr>
          <w:rFonts w:ascii="Arial" w:hAnsi="Arial" w:cs="Arial"/>
        </w:rPr>
        <w:t>PIL and</w:t>
      </w:r>
      <w:r w:rsidRPr="00153685">
        <w:rPr>
          <w:rFonts w:ascii="Arial" w:hAnsi="Arial" w:cs="Arial"/>
        </w:rPr>
        <w:t xml:space="preserve"> PIL</w:t>
      </w:r>
      <w:r>
        <w:rPr>
          <w:rFonts w:ascii="Arial" w:hAnsi="Arial" w:cs="Arial"/>
        </w:rPr>
        <w:t>-EY[M]</w:t>
      </w:r>
      <w:r w:rsidRPr="00F957FD">
        <w:rPr>
          <w:rFonts w:ascii="Arial" w:hAnsi="Arial" w:cs="Arial"/>
        </w:rPr>
        <w:t xml:space="preserve"> showed two peaks at 400.8 eV and 398.9</w:t>
      </w:r>
      <w:r>
        <w:rPr>
          <w:rFonts w:ascii="Arial" w:hAnsi="Arial" w:cs="Arial"/>
        </w:rPr>
        <w:t xml:space="preserve"> </w:t>
      </w:r>
      <w:r w:rsidRPr="00F957FD">
        <w:rPr>
          <w:rFonts w:ascii="Arial" w:hAnsi="Arial" w:cs="Arial"/>
        </w:rPr>
        <w:t xml:space="preserve">eV, respectively attributed to the quaternary and pyrrole N of PIL, while the peaks corresponding to Br 3d3/2 and Br 3d5/2 of EY were located at </w:t>
      </w:r>
      <w:r>
        <w:rPr>
          <w:rFonts w:ascii="Arial" w:hAnsi="Arial" w:cs="Arial"/>
        </w:rPr>
        <w:t>68</w:t>
      </w:r>
      <w:r>
        <w:rPr>
          <w:rFonts w:ascii="Arial" w:hAnsi="Arial" w:cs="Arial" w:hint="eastAsia"/>
        </w:rPr>
        <w:t>.</w:t>
      </w:r>
      <w:r>
        <w:rPr>
          <w:rFonts w:ascii="Arial" w:hAnsi="Arial" w:cs="Arial"/>
        </w:rPr>
        <w:t>9</w:t>
      </w:r>
      <w:r w:rsidRPr="00F957FD">
        <w:rPr>
          <w:rFonts w:ascii="Arial" w:hAnsi="Arial" w:cs="Arial"/>
        </w:rPr>
        <w:t xml:space="preserve"> eV and 70.4 eV, respectively. </w:t>
      </w:r>
    </w:p>
    <w:p w14:paraId="4B4D452D" w14:textId="6D436E8D" w:rsidR="00221EAE" w:rsidRDefault="00221EAE" w:rsidP="000D0E54">
      <w:pPr>
        <w:jc w:val="center"/>
        <w:rPr>
          <w:rFonts w:ascii="Arial" w:hAnsi="Arial" w:cs="Arial"/>
        </w:rPr>
      </w:pPr>
    </w:p>
    <w:p w14:paraId="2A90ADEE" w14:textId="77777777" w:rsidR="00221EAE" w:rsidRPr="00877130" w:rsidRDefault="00221EAE" w:rsidP="00221EAE">
      <w:pPr>
        <w:jc w:val="center"/>
        <w:rPr>
          <w:rFonts w:ascii="Arial" w:hAnsi="Arial" w:cs="Arial"/>
        </w:rPr>
      </w:pPr>
      <w:r w:rsidRPr="00877130">
        <w:rPr>
          <w:rFonts w:ascii="Arial" w:hAnsi="Arial" w:cs="Arial"/>
          <w:noProof/>
        </w:rPr>
        <w:drawing>
          <wp:inline distT="0" distB="0" distL="0" distR="0" wp14:anchorId="7D1FCA76" wp14:editId="47A70A40">
            <wp:extent cx="2459276" cy="18703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1809" cy="1895107"/>
                    </a:xfrm>
                    <a:prstGeom prst="rect">
                      <a:avLst/>
                    </a:prstGeom>
                  </pic:spPr>
                </pic:pic>
              </a:graphicData>
            </a:graphic>
          </wp:inline>
        </w:drawing>
      </w:r>
    </w:p>
    <w:p w14:paraId="0B6D59EF" w14:textId="6A669E2D" w:rsidR="00221EAE" w:rsidRPr="00877130" w:rsidRDefault="00221EAE" w:rsidP="00221EAE">
      <w:pPr>
        <w:jc w:val="center"/>
        <w:rPr>
          <w:rFonts w:ascii="Arial" w:hAnsi="Arial" w:cs="Arial"/>
        </w:rPr>
      </w:pPr>
      <w:r w:rsidRPr="00877130">
        <w:rPr>
          <w:rFonts w:ascii="Arial" w:hAnsi="Arial" w:cs="Arial"/>
        </w:rPr>
        <w:t>Fig.S</w:t>
      </w:r>
      <w:r w:rsidR="00E230CD">
        <w:rPr>
          <w:rFonts w:ascii="Arial" w:hAnsi="Arial" w:cs="Arial"/>
        </w:rPr>
        <w:t>7</w:t>
      </w:r>
      <w:r>
        <w:rPr>
          <w:rFonts w:ascii="Arial" w:hAnsi="Arial" w:cs="Arial"/>
        </w:rPr>
        <w:t xml:space="preserve"> T</w:t>
      </w:r>
      <w:r w:rsidRPr="00202B8A">
        <w:rPr>
          <w:rFonts w:ascii="Arial" w:hAnsi="Arial" w:cs="Arial"/>
        </w:rPr>
        <w:t>he TEM image of EY[M]</w:t>
      </w:r>
      <w:r>
        <w:rPr>
          <w:rFonts w:ascii="Arial" w:hAnsi="Arial" w:cs="Arial"/>
        </w:rPr>
        <w:t>.</w:t>
      </w:r>
    </w:p>
    <w:p w14:paraId="4EF510C1" w14:textId="4916FC5E" w:rsidR="00221EAE" w:rsidRDefault="00221EAE" w:rsidP="000D0E54">
      <w:pPr>
        <w:jc w:val="center"/>
        <w:rPr>
          <w:rFonts w:ascii="Arial" w:hAnsi="Arial" w:cs="Arial"/>
        </w:rPr>
      </w:pPr>
    </w:p>
    <w:p w14:paraId="537EDFB8" w14:textId="77777777" w:rsidR="00221EAE" w:rsidRDefault="00221EAE" w:rsidP="00221EAE">
      <w:pPr>
        <w:jc w:val="center"/>
        <w:rPr>
          <w:rFonts w:ascii="Arial" w:hAnsi="Arial" w:cs="Arial"/>
        </w:rPr>
      </w:pPr>
      <w:r>
        <w:rPr>
          <w:noProof/>
        </w:rPr>
        <w:lastRenderedPageBreak/>
        <w:drawing>
          <wp:inline distT="0" distB="0" distL="0" distR="0" wp14:anchorId="4E1EFE3E" wp14:editId="160C7E5F">
            <wp:extent cx="2998519" cy="2531016"/>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948" cy="2540663"/>
                    </a:xfrm>
                    <a:prstGeom prst="rect">
                      <a:avLst/>
                    </a:prstGeom>
                  </pic:spPr>
                </pic:pic>
              </a:graphicData>
            </a:graphic>
          </wp:inline>
        </w:drawing>
      </w:r>
    </w:p>
    <w:p w14:paraId="45596E56" w14:textId="7619B543" w:rsidR="00221EAE" w:rsidRPr="00202B8A" w:rsidRDefault="00221EAE" w:rsidP="00221EAE">
      <w:pPr>
        <w:jc w:val="center"/>
        <w:rPr>
          <w:rFonts w:ascii="Arial" w:hAnsi="Arial" w:cs="Arial"/>
          <w:b/>
          <w:bCs/>
        </w:rPr>
      </w:pPr>
      <w:r w:rsidRPr="00877130">
        <w:rPr>
          <w:rFonts w:ascii="Arial" w:hAnsi="Arial" w:cs="Arial"/>
        </w:rPr>
        <w:t>Fig.S</w:t>
      </w:r>
      <w:r w:rsidR="00E230CD">
        <w:rPr>
          <w:rFonts w:ascii="Arial" w:hAnsi="Arial" w:cs="Arial"/>
        </w:rPr>
        <w:t>8</w:t>
      </w:r>
      <w:r>
        <w:rPr>
          <w:rFonts w:ascii="Arial" w:hAnsi="Arial" w:cs="Arial"/>
        </w:rPr>
        <w:t xml:space="preserve"> </w:t>
      </w:r>
      <w:r w:rsidRPr="00071F1C">
        <w:rPr>
          <w:rFonts w:ascii="Arial" w:hAnsi="Arial" w:cs="Arial"/>
        </w:rPr>
        <w:t>The UV–</w:t>
      </w:r>
      <w:r>
        <w:rPr>
          <w:rFonts w:ascii="Arial" w:hAnsi="Arial" w:cs="Arial"/>
        </w:rPr>
        <w:t>V</w:t>
      </w:r>
      <w:r w:rsidRPr="00071F1C">
        <w:rPr>
          <w:rFonts w:ascii="Arial" w:hAnsi="Arial" w:cs="Arial"/>
        </w:rPr>
        <w:t>isible absorption spectra of EY[M]</w:t>
      </w:r>
      <w:r>
        <w:rPr>
          <w:rFonts w:ascii="Arial" w:hAnsi="Arial" w:cs="Arial"/>
        </w:rPr>
        <w:t>.</w:t>
      </w:r>
    </w:p>
    <w:p w14:paraId="12EAA094" w14:textId="77777777" w:rsidR="00221EAE" w:rsidRPr="00877130" w:rsidRDefault="00221EAE" w:rsidP="00221EAE">
      <w:pPr>
        <w:jc w:val="center"/>
        <w:rPr>
          <w:rFonts w:ascii="Arial" w:hAnsi="Arial" w:cs="Arial"/>
        </w:rPr>
      </w:pPr>
      <w:r w:rsidRPr="00071F1C">
        <w:rPr>
          <w:rFonts w:ascii="Arial" w:hAnsi="Arial" w:cs="Arial"/>
        </w:rPr>
        <w:t>The UV–</w:t>
      </w:r>
      <w:r>
        <w:rPr>
          <w:rFonts w:ascii="Arial" w:hAnsi="Arial" w:cs="Arial"/>
        </w:rPr>
        <w:t>V</w:t>
      </w:r>
      <w:r w:rsidRPr="00071F1C">
        <w:rPr>
          <w:rFonts w:ascii="Arial" w:hAnsi="Arial" w:cs="Arial"/>
        </w:rPr>
        <w:t>isible absorption spectra of EY[M] show peaks at 517 and 487 nm, indicating that the nanoclusters are formed by monomers and aggregates of EY</w:t>
      </w:r>
      <w:r>
        <w:rPr>
          <w:rFonts w:ascii="Arial" w:hAnsi="Arial" w:cs="Arial"/>
        </w:rPr>
        <w:t>.</w:t>
      </w:r>
    </w:p>
    <w:p w14:paraId="11DC8249" w14:textId="1AACEDF2" w:rsidR="00221EAE" w:rsidRDefault="00221EAE" w:rsidP="000D0E54">
      <w:pPr>
        <w:jc w:val="center"/>
        <w:rPr>
          <w:rFonts w:ascii="Arial" w:hAnsi="Arial" w:cs="Arial"/>
        </w:rPr>
      </w:pPr>
    </w:p>
    <w:p w14:paraId="32FD9F18" w14:textId="77777777" w:rsidR="00221EAE" w:rsidRPr="00877130" w:rsidRDefault="00221EAE" w:rsidP="00221EAE">
      <w:pPr>
        <w:jc w:val="center"/>
        <w:rPr>
          <w:rFonts w:ascii="Arial" w:hAnsi="Arial" w:cs="Arial"/>
        </w:rPr>
      </w:pPr>
      <w:r w:rsidRPr="00877130">
        <w:rPr>
          <w:rFonts w:ascii="Arial" w:hAnsi="Arial" w:cs="Arial"/>
          <w:noProof/>
        </w:rPr>
        <w:drawing>
          <wp:inline distT="0" distB="0" distL="0" distR="0" wp14:anchorId="608E586C" wp14:editId="4FE31E4B">
            <wp:extent cx="4459857" cy="1921186"/>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3328" cy="1926989"/>
                    </a:xfrm>
                    <a:prstGeom prst="rect">
                      <a:avLst/>
                    </a:prstGeom>
                  </pic:spPr>
                </pic:pic>
              </a:graphicData>
            </a:graphic>
          </wp:inline>
        </w:drawing>
      </w:r>
    </w:p>
    <w:p w14:paraId="46CD1B55" w14:textId="1DBB2605" w:rsidR="00221EAE" w:rsidRDefault="00221EAE" w:rsidP="00221EAE">
      <w:pPr>
        <w:jc w:val="center"/>
        <w:rPr>
          <w:rFonts w:ascii="Arial" w:hAnsi="Arial" w:cs="Arial"/>
        </w:rPr>
      </w:pPr>
      <w:r w:rsidRPr="00877130">
        <w:rPr>
          <w:rFonts w:ascii="Arial" w:hAnsi="Arial" w:cs="Arial"/>
        </w:rPr>
        <w:t>Fig.S</w:t>
      </w:r>
      <w:r w:rsidR="00E230CD">
        <w:rPr>
          <w:rFonts w:ascii="Arial" w:hAnsi="Arial" w:cs="Arial"/>
        </w:rPr>
        <w:t>9</w:t>
      </w:r>
      <w:r>
        <w:rPr>
          <w:rFonts w:ascii="Arial" w:hAnsi="Arial" w:cs="Arial"/>
        </w:rPr>
        <w:t xml:space="preserve"> </w:t>
      </w:r>
      <w:r w:rsidRPr="00202B8A">
        <w:rPr>
          <w:rFonts w:ascii="Arial" w:hAnsi="Arial" w:cs="Arial"/>
        </w:rPr>
        <w:t>TEM images</w:t>
      </w:r>
      <w:r>
        <w:rPr>
          <w:rFonts w:ascii="Arial" w:hAnsi="Arial" w:cs="Arial"/>
        </w:rPr>
        <w:t xml:space="preserve"> of PIL-EY[M].</w:t>
      </w:r>
    </w:p>
    <w:p w14:paraId="2E83A45D" w14:textId="0B455D07" w:rsidR="00221EAE" w:rsidRDefault="00221EAE" w:rsidP="00221EAE">
      <w:pPr>
        <w:jc w:val="center"/>
        <w:rPr>
          <w:rFonts w:ascii="Arial" w:hAnsi="Arial" w:cs="Arial"/>
        </w:rPr>
      </w:pPr>
    </w:p>
    <w:p w14:paraId="459E6DE3" w14:textId="77777777" w:rsidR="00221EAE" w:rsidRPr="00877130" w:rsidRDefault="00221EAE" w:rsidP="00221EAE">
      <w:pPr>
        <w:jc w:val="center"/>
        <w:rPr>
          <w:rFonts w:ascii="Arial" w:hAnsi="Arial" w:cs="Arial"/>
        </w:rPr>
      </w:pPr>
      <w:r w:rsidRPr="00877130">
        <w:rPr>
          <w:rFonts w:ascii="Arial" w:hAnsi="Arial" w:cs="Arial"/>
          <w:noProof/>
        </w:rPr>
        <w:drawing>
          <wp:inline distT="0" distB="0" distL="0" distR="0" wp14:anchorId="570E1523" wp14:editId="524DBD26">
            <wp:extent cx="5274310" cy="20243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24380"/>
                    </a:xfrm>
                    <a:prstGeom prst="rect">
                      <a:avLst/>
                    </a:prstGeom>
                  </pic:spPr>
                </pic:pic>
              </a:graphicData>
            </a:graphic>
          </wp:inline>
        </w:drawing>
      </w:r>
    </w:p>
    <w:p w14:paraId="7731224B" w14:textId="4FBA55FD" w:rsidR="00221EAE" w:rsidRPr="00221EAE" w:rsidRDefault="00221EAE" w:rsidP="00221EAE">
      <w:pPr>
        <w:jc w:val="center"/>
        <w:rPr>
          <w:rFonts w:ascii="Arial" w:hAnsi="Arial" w:cs="Arial"/>
        </w:rPr>
      </w:pPr>
      <w:r w:rsidRPr="00877130">
        <w:rPr>
          <w:rFonts w:ascii="Arial" w:hAnsi="Arial" w:cs="Arial"/>
        </w:rPr>
        <w:t>Fig.S1</w:t>
      </w:r>
      <w:r w:rsidR="00E230CD">
        <w:rPr>
          <w:rFonts w:ascii="Arial" w:hAnsi="Arial" w:cs="Arial"/>
        </w:rPr>
        <w:t>0</w:t>
      </w:r>
      <w:r>
        <w:rPr>
          <w:rFonts w:ascii="Arial" w:hAnsi="Arial" w:cs="Arial"/>
        </w:rPr>
        <w:t xml:space="preserve"> SEM</w:t>
      </w:r>
      <w:r w:rsidRPr="00202B8A">
        <w:rPr>
          <w:rFonts w:ascii="Arial" w:hAnsi="Arial" w:cs="Arial"/>
        </w:rPr>
        <w:t xml:space="preserve"> and </w:t>
      </w:r>
      <w:r>
        <w:rPr>
          <w:rFonts w:ascii="Arial" w:hAnsi="Arial" w:cs="Arial"/>
        </w:rPr>
        <w:t xml:space="preserve">high-resolution TEM </w:t>
      </w:r>
      <w:r w:rsidRPr="00202B8A">
        <w:rPr>
          <w:rFonts w:ascii="Arial" w:hAnsi="Arial" w:cs="Arial"/>
        </w:rPr>
        <w:t>mapping images</w:t>
      </w:r>
      <w:r>
        <w:rPr>
          <w:rFonts w:ascii="Arial" w:hAnsi="Arial" w:cs="Arial"/>
        </w:rPr>
        <w:t xml:space="preserve"> of </w:t>
      </w:r>
      <w:bookmarkStart w:id="0" w:name="_Hlk197182674"/>
      <w:r>
        <w:rPr>
          <w:rFonts w:ascii="Arial" w:hAnsi="Arial" w:cs="Arial"/>
        </w:rPr>
        <w:t>PIL-EY[M]</w:t>
      </w:r>
      <w:bookmarkEnd w:id="0"/>
      <w:r>
        <w:rPr>
          <w:rFonts w:ascii="Arial" w:hAnsi="Arial" w:cs="Arial"/>
        </w:rPr>
        <w:t>.</w:t>
      </w:r>
    </w:p>
    <w:p w14:paraId="66C2263C" w14:textId="69C16080" w:rsidR="00326084" w:rsidRDefault="009036A2" w:rsidP="000D0E54">
      <w:pPr>
        <w:jc w:val="center"/>
        <w:rPr>
          <w:rFonts w:ascii="Arial" w:hAnsi="Arial" w:cs="Arial"/>
        </w:rPr>
      </w:pPr>
      <w:r>
        <w:rPr>
          <w:noProof/>
        </w:rPr>
        <w:lastRenderedPageBreak/>
        <w:drawing>
          <wp:inline distT="0" distB="0" distL="0" distR="0" wp14:anchorId="65BBC1CA" wp14:editId="2A669EB2">
            <wp:extent cx="2404753" cy="200174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9633" cy="2014127"/>
                    </a:xfrm>
                    <a:prstGeom prst="rect">
                      <a:avLst/>
                    </a:prstGeom>
                  </pic:spPr>
                </pic:pic>
              </a:graphicData>
            </a:graphic>
          </wp:inline>
        </w:drawing>
      </w:r>
    </w:p>
    <w:p w14:paraId="2653043E" w14:textId="766A5A7D" w:rsidR="009036A2" w:rsidRPr="00877130" w:rsidRDefault="009036A2" w:rsidP="009036A2">
      <w:pPr>
        <w:jc w:val="center"/>
        <w:rPr>
          <w:rFonts w:ascii="Arial" w:hAnsi="Arial" w:cs="Arial"/>
        </w:rPr>
      </w:pPr>
      <w:r w:rsidRPr="00877130">
        <w:rPr>
          <w:rFonts w:ascii="Arial" w:hAnsi="Arial" w:cs="Arial"/>
        </w:rPr>
        <w:t>Fig.S</w:t>
      </w:r>
      <w:r w:rsidR="00221EAE">
        <w:rPr>
          <w:rFonts w:ascii="Arial" w:hAnsi="Arial" w:cs="Arial"/>
        </w:rPr>
        <w:t>1</w:t>
      </w:r>
      <w:r w:rsidR="00E230CD">
        <w:rPr>
          <w:rFonts w:ascii="Arial" w:hAnsi="Arial" w:cs="Arial"/>
        </w:rPr>
        <w:t>1</w:t>
      </w:r>
      <w:r w:rsidR="00FB1869" w:rsidRPr="00FB1869">
        <w:t xml:space="preserve"> </w:t>
      </w:r>
      <w:r w:rsidR="00FB1869">
        <w:rPr>
          <w:rFonts w:ascii="Arial" w:hAnsi="Arial" w:cs="Arial"/>
        </w:rPr>
        <w:t xml:space="preserve">The </w:t>
      </w:r>
      <w:r w:rsidR="00FB1869" w:rsidRPr="00FB1869">
        <w:rPr>
          <w:rFonts w:ascii="Arial" w:hAnsi="Arial" w:cs="Arial"/>
        </w:rPr>
        <w:t>photocatalysts mess</w:t>
      </w:r>
      <w:r w:rsidR="00FB1869">
        <w:rPr>
          <w:rFonts w:ascii="Arial" w:hAnsi="Arial" w:cs="Arial"/>
        </w:rPr>
        <w:t xml:space="preserve"> in </w:t>
      </w:r>
      <w:r w:rsidR="006958B6">
        <w:rPr>
          <w:rFonts w:ascii="Arial" w:hAnsi="Arial" w:cs="Arial"/>
        </w:rPr>
        <w:t xml:space="preserve">a </w:t>
      </w:r>
      <w:r w:rsidR="00FB1869" w:rsidRPr="00FB1869">
        <w:rPr>
          <w:rFonts w:ascii="Arial" w:hAnsi="Arial" w:cs="Arial"/>
        </w:rPr>
        <w:t>simulated open environment with a 18m/s</w:t>
      </w:r>
      <w:r w:rsidR="00FB1869">
        <w:rPr>
          <w:rFonts w:ascii="Arial" w:hAnsi="Arial" w:cs="Arial"/>
        </w:rPr>
        <w:t xml:space="preserve"> </w:t>
      </w:r>
      <w:r w:rsidR="00FB1869" w:rsidRPr="00FB1869">
        <w:rPr>
          <w:rFonts w:ascii="Arial" w:hAnsi="Arial" w:cs="Arial"/>
        </w:rPr>
        <w:t>wind speed</w:t>
      </w:r>
      <w:r w:rsidR="00FB1869">
        <w:rPr>
          <w:rFonts w:ascii="Arial" w:hAnsi="Arial" w:cs="Arial"/>
        </w:rPr>
        <w:t>.</w:t>
      </w:r>
    </w:p>
    <w:p w14:paraId="2F3A4894" w14:textId="77777777" w:rsidR="00326084" w:rsidRPr="00877130" w:rsidRDefault="00326084" w:rsidP="00F54031">
      <w:pPr>
        <w:rPr>
          <w:rFonts w:ascii="Arial" w:hAnsi="Arial" w:cs="Arial"/>
        </w:rPr>
      </w:pPr>
    </w:p>
    <w:p w14:paraId="0D5F5E37" w14:textId="5BDF8681" w:rsidR="000D0E54" w:rsidRPr="00877130" w:rsidRDefault="00326084" w:rsidP="000D0E54">
      <w:pPr>
        <w:jc w:val="center"/>
        <w:rPr>
          <w:rFonts w:ascii="Arial" w:hAnsi="Arial" w:cs="Arial"/>
        </w:rPr>
      </w:pPr>
      <w:r w:rsidRPr="00877130">
        <w:rPr>
          <w:rFonts w:ascii="Arial" w:hAnsi="Arial" w:cs="Arial"/>
          <w:noProof/>
        </w:rPr>
        <w:drawing>
          <wp:inline distT="0" distB="0" distL="0" distR="0" wp14:anchorId="4A0DD1CB" wp14:editId="781F929E">
            <wp:extent cx="2902226" cy="19312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0959" cy="1937018"/>
                    </a:xfrm>
                    <a:prstGeom prst="rect">
                      <a:avLst/>
                    </a:prstGeom>
                  </pic:spPr>
                </pic:pic>
              </a:graphicData>
            </a:graphic>
          </wp:inline>
        </w:drawing>
      </w:r>
    </w:p>
    <w:p w14:paraId="2937E073" w14:textId="7B7DD97D" w:rsidR="005A105A" w:rsidRPr="00877130" w:rsidRDefault="00326084" w:rsidP="000D0E54">
      <w:pPr>
        <w:jc w:val="center"/>
        <w:rPr>
          <w:rFonts w:ascii="Arial" w:hAnsi="Arial" w:cs="Arial"/>
        </w:rPr>
      </w:pPr>
      <w:r w:rsidRPr="00877130">
        <w:rPr>
          <w:rFonts w:ascii="Arial" w:hAnsi="Arial" w:cs="Arial"/>
        </w:rPr>
        <w:t>Fig.S</w:t>
      </w:r>
      <w:r w:rsidR="00221EAE">
        <w:rPr>
          <w:rFonts w:ascii="Arial" w:hAnsi="Arial" w:cs="Arial"/>
        </w:rPr>
        <w:t>1</w:t>
      </w:r>
      <w:r w:rsidR="00E230CD">
        <w:rPr>
          <w:rFonts w:ascii="Arial" w:hAnsi="Arial" w:cs="Arial"/>
        </w:rPr>
        <w:t>2</w:t>
      </w:r>
      <w:r w:rsidR="00000945">
        <w:rPr>
          <w:rFonts w:ascii="Arial" w:hAnsi="Arial" w:cs="Arial"/>
        </w:rPr>
        <w:t xml:space="preserve"> The t</w:t>
      </w:r>
      <w:r w:rsidR="00000945" w:rsidRPr="00000945">
        <w:rPr>
          <w:rFonts w:ascii="Arial" w:hAnsi="Arial" w:cs="Arial"/>
        </w:rPr>
        <w:t xml:space="preserve">hermogravimetric </w:t>
      </w:r>
      <w:r w:rsidR="00000945">
        <w:rPr>
          <w:rFonts w:ascii="Arial" w:hAnsi="Arial" w:cs="Arial"/>
        </w:rPr>
        <w:t>a</w:t>
      </w:r>
      <w:r w:rsidR="00000945" w:rsidRPr="00000945">
        <w:rPr>
          <w:rFonts w:ascii="Arial" w:hAnsi="Arial" w:cs="Arial"/>
        </w:rPr>
        <w:t>nalysis</w:t>
      </w:r>
      <w:r w:rsidR="00000945">
        <w:rPr>
          <w:rFonts w:ascii="Arial" w:hAnsi="Arial" w:cs="Arial"/>
        </w:rPr>
        <w:t xml:space="preserve"> (TGA) of samples.</w:t>
      </w:r>
    </w:p>
    <w:p w14:paraId="279A9A45" w14:textId="77777777" w:rsidR="0063091A" w:rsidRPr="00202B8A" w:rsidRDefault="0063091A" w:rsidP="00221EAE">
      <w:pPr>
        <w:rPr>
          <w:rFonts w:ascii="Arial" w:hAnsi="Arial" w:cs="Arial"/>
        </w:rPr>
      </w:pPr>
    </w:p>
    <w:p w14:paraId="5FE724EA" w14:textId="69BF8016" w:rsidR="00D70D66" w:rsidRDefault="00F2403B" w:rsidP="000D0E54">
      <w:pPr>
        <w:jc w:val="center"/>
        <w:rPr>
          <w:rFonts w:ascii="Arial" w:hAnsi="Arial" w:cs="Arial"/>
        </w:rPr>
      </w:pPr>
      <w:r w:rsidRPr="00F2403B">
        <w:rPr>
          <w:rFonts w:ascii="Arial" w:hAnsi="Arial" w:cs="Arial"/>
          <w:noProof/>
        </w:rPr>
        <w:drawing>
          <wp:inline distT="0" distB="0" distL="0" distR="0" wp14:anchorId="01AB9EE5" wp14:editId="3636A75E">
            <wp:extent cx="3613358" cy="2582883"/>
            <wp:effectExtent l="0" t="0" r="0" b="0"/>
            <wp:docPr id="69" name="图片 68">
              <a:extLst xmlns:a="http://schemas.openxmlformats.org/drawingml/2006/main">
                <a:ext uri="{FF2B5EF4-FFF2-40B4-BE49-F238E27FC236}">
                  <a16:creationId xmlns:a16="http://schemas.microsoft.com/office/drawing/2014/main" id="{43F439F5-0146-4358-A999-FA1378B5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a:extLst>
                        <a:ext uri="{FF2B5EF4-FFF2-40B4-BE49-F238E27FC236}">
                          <a16:creationId xmlns:a16="http://schemas.microsoft.com/office/drawing/2014/main" id="{43F439F5-0146-4358-A999-FA1378B5C822}"/>
                        </a:ext>
                      </a:extLst>
                    </pic:cNvPr>
                    <pic:cNvPicPr>
                      <a:picLocks noChangeAspect="1"/>
                    </pic:cNvPicPr>
                  </pic:nvPicPr>
                  <pic:blipFill>
                    <a:blip r:embed="rId20"/>
                    <a:stretch>
                      <a:fillRect/>
                    </a:stretch>
                  </pic:blipFill>
                  <pic:spPr>
                    <a:xfrm>
                      <a:off x="0" y="0"/>
                      <a:ext cx="3630678" cy="2595264"/>
                    </a:xfrm>
                    <a:prstGeom prst="rect">
                      <a:avLst/>
                    </a:prstGeom>
                  </pic:spPr>
                </pic:pic>
              </a:graphicData>
            </a:graphic>
          </wp:inline>
        </w:drawing>
      </w:r>
    </w:p>
    <w:p w14:paraId="57B55C85" w14:textId="744FB2BD" w:rsidR="00F2403B" w:rsidRDefault="00F2403B" w:rsidP="00F2403B">
      <w:pPr>
        <w:jc w:val="center"/>
        <w:rPr>
          <w:rFonts w:ascii="Arial" w:hAnsi="Arial" w:cs="Arial"/>
        </w:rPr>
      </w:pPr>
      <w:r w:rsidRPr="00877130">
        <w:rPr>
          <w:rFonts w:ascii="Arial" w:hAnsi="Arial" w:cs="Arial"/>
        </w:rPr>
        <w:t>Fig.S</w:t>
      </w:r>
      <w:r>
        <w:rPr>
          <w:rFonts w:ascii="Arial" w:hAnsi="Arial" w:cs="Arial"/>
        </w:rPr>
        <w:t>1</w:t>
      </w:r>
      <w:r w:rsidR="00E230CD">
        <w:rPr>
          <w:rFonts w:ascii="Arial" w:hAnsi="Arial" w:cs="Arial"/>
        </w:rPr>
        <w:t>3</w:t>
      </w:r>
      <w:r w:rsidR="00202B8A">
        <w:rPr>
          <w:rFonts w:ascii="Arial" w:hAnsi="Arial" w:cs="Arial"/>
        </w:rPr>
        <w:t xml:space="preserve"> The DFT calculations model of PIL and EY[M]</w:t>
      </w:r>
      <w:r w:rsidR="006958B6">
        <w:rPr>
          <w:rFonts w:ascii="Arial" w:hAnsi="Arial" w:cs="Arial"/>
        </w:rPr>
        <w:t>.</w:t>
      </w:r>
    </w:p>
    <w:p w14:paraId="679CCE47" w14:textId="05A25A3B" w:rsidR="00D70D66" w:rsidRPr="00877130" w:rsidRDefault="00D70D66" w:rsidP="000D0E54">
      <w:pPr>
        <w:jc w:val="center"/>
        <w:rPr>
          <w:rFonts w:ascii="Arial" w:hAnsi="Arial" w:cs="Arial"/>
        </w:rPr>
      </w:pPr>
    </w:p>
    <w:p w14:paraId="406C3425" w14:textId="5856F10D" w:rsidR="00D70D66" w:rsidRPr="00877130" w:rsidRDefault="009342B1" w:rsidP="000D0E54">
      <w:pPr>
        <w:jc w:val="center"/>
        <w:rPr>
          <w:rFonts w:ascii="Arial" w:hAnsi="Arial" w:cs="Arial"/>
        </w:rPr>
      </w:pPr>
      <w:r>
        <w:rPr>
          <w:rFonts w:ascii="Arial" w:hAnsi="Arial" w:cs="Arial" w:hint="eastAsia"/>
        </w:rPr>
        <w:lastRenderedPageBreak/>
        <w:t xml:space="preserve"> </w:t>
      </w:r>
      <w:r w:rsidR="00E230CD">
        <w:rPr>
          <w:noProof/>
        </w:rPr>
        <w:drawing>
          <wp:inline distT="0" distB="0" distL="0" distR="0" wp14:anchorId="1A6A5478" wp14:editId="21B5EC33">
            <wp:extent cx="2606722" cy="2211916"/>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687" cy="2222917"/>
                    </a:xfrm>
                    <a:prstGeom prst="rect">
                      <a:avLst/>
                    </a:prstGeom>
                  </pic:spPr>
                </pic:pic>
              </a:graphicData>
            </a:graphic>
          </wp:inline>
        </w:drawing>
      </w:r>
    </w:p>
    <w:p w14:paraId="182B4FA8" w14:textId="4010532D" w:rsidR="00D70D66" w:rsidRDefault="00D70D66" w:rsidP="000D0E54">
      <w:pPr>
        <w:jc w:val="center"/>
        <w:rPr>
          <w:rFonts w:ascii="Arial" w:hAnsi="Arial" w:cs="Arial"/>
        </w:rPr>
      </w:pPr>
      <w:r w:rsidRPr="00877130">
        <w:rPr>
          <w:rFonts w:ascii="Arial" w:hAnsi="Arial" w:cs="Arial"/>
        </w:rPr>
        <w:t>Fig.S1</w:t>
      </w:r>
      <w:r w:rsidR="00E230CD">
        <w:rPr>
          <w:rFonts w:ascii="Arial" w:hAnsi="Arial" w:cs="Arial"/>
        </w:rPr>
        <w:t xml:space="preserve">4 </w:t>
      </w:r>
      <w:r w:rsidR="00E230CD" w:rsidRPr="008243D1">
        <w:rPr>
          <w:rFonts w:ascii="Arial" w:hAnsi="Arial" w:cs="Arial"/>
          <w:color w:val="0D0D0D" w:themeColor="text1" w:themeTint="F2"/>
          <w:kern w:val="21"/>
        </w:rPr>
        <w:t xml:space="preserve">The </w:t>
      </w:r>
      <w:r w:rsidR="00E230CD" w:rsidRPr="007C5818">
        <w:rPr>
          <w:rFonts w:ascii="Arial" w:hAnsi="Arial" w:cs="Arial"/>
          <w:color w:val="0D0D0D" w:themeColor="text1" w:themeTint="F2"/>
          <w:kern w:val="21"/>
        </w:rPr>
        <w:t>IGM analysis</w:t>
      </w:r>
      <w:r w:rsidR="00E230CD" w:rsidRPr="00753DC1">
        <w:rPr>
          <w:rFonts w:ascii="Arial" w:hAnsi="Arial" w:cs="Arial"/>
          <w:color w:val="0D0D0D" w:themeColor="text1" w:themeTint="F2"/>
          <w:kern w:val="21"/>
        </w:rPr>
        <w:t xml:space="preserve"> </w:t>
      </w:r>
      <w:r w:rsidR="00E230CD" w:rsidRPr="008243D1">
        <w:rPr>
          <w:rFonts w:ascii="Arial" w:hAnsi="Arial" w:cs="Arial"/>
          <w:color w:val="0D0D0D" w:themeColor="text1" w:themeTint="F2"/>
          <w:kern w:val="21"/>
        </w:rPr>
        <w:t>of PIL and EY[M]</w:t>
      </w:r>
      <w:r w:rsidR="00E230CD">
        <w:rPr>
          <w:rFonts w:ascii="Arial" w:hAnsi="Arial" w:cs="Arial"/>
          <w:color w:val="0D0D0D" w:themeColor="text1" w:themeTint="F2"/>
          <w:kern w:val="21"/>
        </w:rPr>
        <w:t>.</w:t>
      </w:r>
      <w:r w:rsidR="00202B8A">
        <w:rPr>
          <w:rFonts w:ascii="Arial" w:hAnsi="Arial" w:cs="Arial"/>
        </w:rPr>
        <w:t xml:space="preserve"> </w:t>
      </w:r>
    </w:p>
    <w:p w14:paraId="26B5472E" w14:textId="77777777" w:rsidR="003078C2" w:rsidRDefault="003078C2" w:rsidP="003078C2">
      <w:pPr>
        <w:rPr>
          <w:rFonts w:ascii="Arial" w:hAnsi="Arial" w:cs="Arial"/>
        </w:rPr>
      </w:pPr>
    </w:p>
    <w:p w14:paraId="422AF5A6" w14:textId="77777777" w:rsidR="00151745" w:rsidRDefault="00151745" w:rsidP="00D70D66">
      <w:pPr>
        <w:jc w:val="center"/>
        <w:rPr>
          <w:rFonts w:ascii="Arial" w:hAnsi="Arial" w:cs="Arial"/>
        </w:rPr>
      </w:pPr>
    </w:p>
    <w:p w14:paraId="203D6349" w14:textId="33E3B888" w:rsidR="000C2D2E" w:rsidRDefault="000C2D2E" w:rsidP="00D70D66">
      <w:pPr>
        <w:jc w:val="center"/>
        <w:rPr>
          <w:rFonts w:ascii="Arial" w:hAnsi="Arial" w:cs="Arial"/>
        </w:rPr>
      </w:pPr>
      <w:r>
        <w:rPr>
          <w:noProof/>
        </w:rPr>
        <w:drawing>
          <wp:inline distT="0" distB="0" distL="0" distR="0" wp14:anchorId="0E8B2AF5" wp14:editId="3B058BD6">
            <wp:extent cx="2974769" cy="197768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8663" cy="1993573"/>
                    </a:xfrm>
                    <a:prstGeom prst="rect">
                      <a:avLst/>
                    </a:prstGeom>
                  </pic:spPr>
                </pic:pic>
              </a:graphicData>
            </a:graphic>
          </wp:inline>
        </w:drawing>
      </w:r>
    </w:p>
    <w:p w14:paraId="4144F84C" w14:textId="209F4ACB" w:rsidR="00914D68" w:rsidRDefault="000C2D2E" w:rsidP="000C2D2E">
      <w:pPr>
        <w:jc w:val="center"/>
        <w:rPr>
          <w:rFonts w:ascii="Arial" w:hAnsi="Arial" w:cs="Arial"/>
        </w:rPr>
      </w:pPr>
      <w:r w:rsidRPr="00877130">
        <w:rPr>
          <w:rFonts w:ascii="Arial" w:hAnsi="Arial" w:cs="Arial"/>
        </w:rPr>
        <w:t>Fig.S1</w:t>
      </w:r>
      <w:r w:rsidR="00E230CD">
        <w:rPr>
          <w:rFonts w:ascii="Arial" w:hAnsi="Arial" w:cs="Arial"/>
        </w:rPr>
        <w:t>5</w:t>
      </w:r>
      <w:r w:rsidR="00914D68" w:rsidRPr="00914D68">
        <w:t xml:space="preserve"> </w:t>
      </w:r>
      <w:r w:rsidR="00914D68">
        <w:rPr>
          <w:rFonts w:ascii="Arial" w:hAnsi="Arial" w:cs="Arial"/>
        </w:rPr>
        <w:t>The l</w:t>
      </w:r>
      <w:r w:rsidR="00914D68" w:rsidRPr="00914D68">
        <w:rPr>
          <w:rFonts w:ascii="Arial" w:hAnsi="Arial" w:cs="Arial"/>
        </w:rPr>
        <w:t>ight source information of photocatalytic CO</w:t>
      </w:r>
      <w:r w:rsidR="00914D68">
        <w:rPr>
          <w:rFonts w:ascii="Arial" w:hAnsi="Arial" w:cs="Arial"/>
          <w:vertAlign w:val="subscript"/>
        </w:rPr>
        <w:t>2</w:t>
      </w:r>
      <w:r w:rsidR="00914D68" w:rsidRPr="00914D68">
        <w:rPr>
          <w:rFonts w:ascii="Arial" w:hAnsi="Arial" w:cs="Arial"/>
        </w:rPr>
        <w:t xml:space="preserve"> reduction</w:t>
      </w:r>
      <w:r w:rsidR="00914D68">
        <w:rPr>
          <w:rFonts w:ascii="Arial" w:hAnsi="Arial" w:cs="Arial"/>
        </w:rPr>
        <w:t>.</w:t>
      </w:r>
    </w:p>
    <w:p w14:paraId="116F0CD2" w14:textId="1550366F" w:rsidR="000C2D2E" w:rsidRDefault="00914D68" w:rsidP="000C2D2E">
      <w:pPr>
        <w:jc w:val="center"/>
        <w:rPr>
          <w:rFonts w:ascii="Arial" w:hAnsi="Arial" w:cs="Arial"/>
        </w:rPr>
      </w:pPr>
      <w:r w:rsidRPr="00914D68">
        <w:rPr>
          <w:rFonts w:ascii="Arial" w:hAnsi="Arial" w:cs="Arial"/>
        </w:rPr>
        <w:t xml:space="preserve"> </w:t>
      </w:r>
    </w:p>
    <w:p w14:paraId="33FB76D2" w14:textId="77777777" w:rsidR="00E103B1" w:rsidRDefault="00E103B1">
      <w:pPr>
        <w:widowControl/>
        <w:jc w:val="left"/>
        <w:rPr>
          <w:rFonts w:ascii="Arial" w:hAnsi="Arial" w:cs="Arial"/>
        </w:rPr>
      </w:pPr>
      <w:r>
        <w:rPr>
          <w:rFonts w:ascii="Arial" w:hAnsi="Arial" w:cs="Arial"/>
        </w:rPr>
        <w:br w:type="page"/>
      </w:r>
    </w:p>
    <w:p w14:paraId="05A366C7" w14:textId="395CB0E8" w:rsidR="00A36C09" w:rsidRDefault="00C0595B" w:rsidP="000C2D2E">
      <w:pPr>
        <w:jc w:val="center"/>
        <w:rPr>
          <w:rFonts w:ascii="Arial" w:hAnsi="Arial" w:cs="Arial"/>
        </w:rPr>
      </w:pPr>
      <w:r w:rsidRPr="00C0595B">
        <w:rPr>
          <w:rFonts w:ascii="Arial" w:hAnsi="Arial" w:cs="Arial"/>
          <w:noProof/>
        </w:rPr>
        <w:lastRenderedPageBreak/>
        <w:drawing>
          <wp:inline distT="0" distB="0" distL="0" distR="0" wp14:anchorId="01410149" wp14:editId="6BC9C12B">
            <wp:extent cx="3224151" cy="1964522"/>
            <wp:effectExtent l="0" t="0" r="0" b="0"/>
            <wp:docPr id="33" name="图片 32">
              <a:extLst xmlns:a="http://schemas.openxmlformats.org/drawingml/2006/main">
                <a:ext uri="{FF2B5EF4-FFF2-40B4-BE49-F238E27FC236}">
                  <a16:creationId xmlns:a16="http://schemas.microsoft.com/office/drawing/2014/main" id="{6F30C78B-B1B7-4352-9400-DE551B31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6F30C78B-B1B7-4352-9400-DE551B3189F0}"/>
                        </a:ext>
                      </a:extLst>
                    </pic:cNvPr>
                    <pic:cNvPicPr>
                      <a:picLocks noChangeAspect="1"/>
                    </pic:cNvPicPr>
                  </pic:nvPicPr>
                  <pic:blipFill>
                    <a:blip r:embed="rId23"/>
                    <a:stretch>
                      <a:fillRect/>
                    </a:stretch>
                  </pic:blipFill>
                  <pic:spPr>
                    <a:xfrm>
                      <a:off x="0" y="0"/>
                      <a:ext cx="3242855" cy="1975919"/>
                    </a:xfrm>
                    <a:prstGeom prst="rect">
                      <a:avLst/>
                    </a:prstGeom>
                  </pic:spPr>
                </pic:pic>
              </a:graphicData>
            </a:graphic>
          </wp:inline>
        </w:drawing>
      </w:r>
    </w:p>
    <w:p w14:paraId="627F85F1" w14:textId="350B1DF2" w:rsidR="00A36C09" w:rsidRDefault="00A36C09" w:rsidP="00A36C09">
      <w:pPr>
        <w:jc w:val="center"/>
        <w:rPr>
          <w:rFonts w:ascii="Arial" w:hAnsi="Arial" w:cs="Arial"/>
        </w:rPr>
      </w:pPr>
      <w:r w:rsidRPr="00877130">
        <w:rPr>
          <w:rFonts w:ascii="Arial" w:hAnsi="Arial" w:cs="Arial"/>
        </w:rPr>
        <w:t>Fig.S1</w:t>
      </w:r>
      <w:r w:rsidR="00E230CD">
        <w:rPr>
          <w:rFonts w:ascii="Arial" w:hAnsi="Arial" w:cs="Arial"/>
        </w:rPr>
        <w:t>6</w:t>
      </w:r>
      <w:r w:rsidR="00914D68">
        <w:rPr>
          <w:rFonts w:ascii="Arial" w:hAnsi="Arial" w:cs="Arial"/>
        </w:rPr>
        <w:t xml:space="preserve"> The PIL and PIL-EY[M]</w:t>
      </w:r>
      <w:r w:rsidR="00914D68" w:rsidRPr="00914D68">
        <w:rPr>
          <w:rFonts w:ascii="Arial" w:hAnsi="Arial" w:cs="Arial"/>
        </w:rPr>
        <w:t xml:space="preserve"> </w:t>
      </w:r>
      <w:r w:rsidR="00914D68">
        <w:rPr>
          <w:rFonts w:ascii="Arial" w:hAnsi="Arial" w:cs="Arial"/>
        </w:rPr>
        <w:t>were</w:t>
      </w:r>
      <w:r w:rsidR="00914D68" w:rsidRPr="00914D68">
        <w:rPr>
          <w:rFonts w:ascii="Arial" w:hAnsi="Arial" w:cs="Arial"/>
        </w:rPr>
        <w:t xml:space="preserve"> coated on the surface of the carrier</w:t>
      </w:r>
      <w:r w:rsidR="00914D68">
        <w:rPr>
          <w:rFonts w:ascii="Arial" w:hAnsi="Arial" w:cs="Arial"/>
        </w:rPr>
        <w:t>.</w:t>
      </w:r>
    </w:p>
    <w:p w14:paraId="1B160B7A" w14:textId="05E80389" w:rsidR="001309DE" w:rsidRDefault="001309DE" w:rsidP="001309DE">
      <w:pPr>
        <w:rPr>
          <w:rFonts w:ascii="Arial" w:hAnsi="Arial" w:cs="Arial"/>
        </w:rPr>
      </w:pPr>
      <w:r w:rsidRPr="001309DE">
        <w:rPr>
          <w:rFonts w:ascii="Arial" w:hAnsi="Arial" w:cs="Arial"/>
        </w:rPr>
        <w:t>Significantly, uniform dispersion on a 1m</w:t>
      </w:r>
      <w:r w:rsidRPr="001309DE">
        <w:rPr>
          <w:rFonts w:ascii="Arial" w:hAnsi="Arial" w:cs="Arial"/>
          <w:vertAlign w:val="superscript"/>
        </w:rPr>
        <w:t>2</w:t>
      </w:r>
      <w:r w:rsidRPr="001309DE">
        <w:rPr>
          <w:rFonts w:ascii="Arial" w:hAnsi="Arial" w:cs="Arial"/>
        </w:rPr>
        <w:t xml:space="preserve"> carrier requires the consumption of 5.66g PIL</w:t>
      </w:r>
      <w:r w:rsidR="002013B2">
        <w:rPr>
          <w:rFonts w:ascii="Arial" w:hAnsi="Arial" w:cs="Arial"/>
        </w:rPr>
        <w:t>. However, the PIL has a large specific surface area and cavity structure. In comparison,</w:t>
      </w:r>
      <w:r w:rsidRPr="001309DE">
        <w:rPr>
          <w:rFonts w:ascii="Arial" w:hAnsi="Arial" w:cs="Arial"/>
        </w:rPr>
        <w:t xml:space="preserve"> </w:t>
      </w:r>
      <w:r w:rsidR="00EF4C8C">
        <w:rPr>
          <w:rFonts w:ascii="Arial" w:hAnsi="Arial" w:cs="Arial"/>
        </w:rPr>
        <w:t>5.66</w:t>
      </w:r>
      <w:r w:rsidRPr="001309DE">
        <w:rPr>
          <w:rFonts w:ascii="Arial" w:hAnsi="Arial" w:cs="Arial"/>
        </w:rPr>
        <w:t xml:space="preserve">g of nano-liquid photocatalysts can be evenly applied on a </w:t>
      </w:r>
      <w:r w:rsidR="00EF4C8C">
        <w:rPr>
          <w:rFonts w:ascii="Arial" w:hAnsi="Arial" w:cs="Arial"/>
        </w:rPr>
        <w:t>2.28</w:t>
      </w:r>
      <w:r w:rsidRPr="001309DE">
        <w:rPr>
          <w:rFonts w:ascii="Arial" w:hAnsi="Arial" w:cs="Arial"/>
        </w:rPr>
        <w:t xml:space="preserve"> m</w:t>
      </w:r>
      <w:r w:rsidRPr="00EF4C8C">
        <w:rPr>
          <w:rFonts w:ascii="Arial" w:hAnsi="Arial" w:cs="Arial"/>
          <w:vertAlign w:val="superscript"/>
        </w:rPr>
        <w:t xml:space="preserve">2 </w:t>
      </w:r>
      <w:r w:rsidRPr="001309DE">
        <w:rPr>
          <w:rFonts w:ascii="Arial" w:hAnsi="Arial" w:cs="Arial"/>
        </w:rPr>
        <w:t>carrier, which is less than other commonly used powder photocatalysts, greatly saving catalyst usage costs.</w:t>
      </w:r>
    </w:p>
    <w:p w14:paraId="2A5DB27F" w14:textId="77777777" w:rsidR="006E6650" w:rsidRDefault="006E6650" w:rsidP="007125C6">
      <w:pPr>
        <w:rPr>
          <w:rFonts w:ascii="Arial" w:hAnsi="Arial" w:cs="Arial"/>
        </w:rPr>
      </w:pPr>
    </w:p>
    <w:p w14:paraId="6F728421" w14:textId="13734BC1" w:rsidR="006E6650" w:rsidRDefault="006E6650" w:rsidP="00D70D66">
      <w:pPr>
        <w:jc w:val="center"/>
        <w:rPr>
          <w:rFonts w:ascii="Arial" w:hAnsi="Arial" w:cs="Arial"/>
        </w:rPr>
      </w:pPr>
      <w:r>
        <w:rPr>
          <w:noProof/>
        </w:rPr>
        <w:drawing>
          <wp:inline distT="0" distB="0" distL="0" distR="0" wp14:anchorId="6F7BE107" wp14:editId="3275BD43">
            <wp:extent cx="2450592" cy="2142341"/>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1930" cy="2152253"/>
                    </a:xfrm>
                    <a:prstGeom prst="rect">
                      <a:avLst/>
                    </a:prstGeom>
                  </pic:spPr>
                </pic:pic>
              </a:graphicData>
            </a:graphic>
          </wp:inline>
        </w:drawing>
      </w:r>
    </w:p>
    <w:p w14:paraId="727DAA20" w14:textId="40BD4AF4" w:rsidR="006E6650" w:rsidRDefault="006E6650" w:rsidP="006E6650">
      <w:pPr>
        <w:jc w:val="center"/>
        <w:rPr>
          <w:rFonts w:ascii="Arial" w:hAnsi="Arial" w:cs="Arial"/>
        </w:rPr>
      </w:pPr>
      <w:r w:rsidRPr="00877130">
        <w:rPr>
          <w:rFonts w:ascii="Arial" w:hAnsi="Arial" w:cs="Arial"/>
        </w:rPr>
        <w:t>Fig.S1</w:t>
      </w:r>
      <w:r w:rsidR="00E230CD">
        <w:rPr>
          <w:rFonts w:ascii="Arial" w:hAnsi="Arial" w:cs="Arial"/>
        </w:rPr>
        <w:t>7</w:t>
      </w:r>
      <w:r>
        <w:rPr>
          <w:rFonts w:ascii="Arial" w:hAnsi="Arial" w:cs="Arial"/>
        </w:rPr>
        <w:t xml:space="preserve"> </w:t>
      </w:r>
      <w:r w:rsidRPr="00157281">
        <w:rPr>
          <w:rFonts w:ascii="Arial" w:hAnsi="Arial" w:cs="Arial"/>
        </w:rPr>
        <w:t xml:space="preserve">The </w:t>
      </w:r>
      <w:r>
        <w:rPr>
          <w:rFonts w:ascii="Arial" w:hAnsi="Arial" w:cs="Arial"/>
        </w:rPr>
        <w:t>FT-IR</w:t>
      </w:r>
      <w:r w:rsidRPr="00157281">
        <w:rPr>
          <w:rFonts w:ascii="Arial" w:hAnsi="Arial" w:cs="Arial"/>
        </w:rPr>
        <w:t xml:space="preserve"> spectroscopy </w:t>
      </w:r>
      <w:r>
        <w:rPr>
          <w:rFonts w:ascii="Arial" w:hAnsi="Arial" w:cs="Arial"/>
        </w:rPr>
        <w:t>of PIL-EY[M] before and</w:t>
      </w:r>
      <w:r w:rsidRPr="00157281">
        <w:rPr>
          <w:rFonts w:ascii="Arial" w:hAnsi="Arial" w:cs="Arial"/>
        </w:rPr>
        <w:t xml:space="preserve"> after</w:t>
      </w:r>
      <w:r>
        <w:rPr>
          <w:rFonts w:ascii="Arial" w:hAnsi="Arial" w:cs="Arial"/>
          <w:b/>
          <w:bCs/>
        </w:rPr>
        <w:t xml:space="preserve"> </w:t>
      </w:r>
      <w:r>
        <w:rPr>
          <w:rFonts w:ascii="Arial" w:hAnsi="Arial" w:cs="Arial"/>
        </w:rPr>
        <w:t>CO</w:t>
      </w:r>
      <w:r>
        <w:rPr>
          <w:rFonts w:ascii="Arial" w:hAnsi="Arial" w:cs="Arial"/>
          <w:vertAlign w:val="subscript"/>
        </w:rPr>
        <w:t>2</w:t>
      </w:r>
      <w:r>
        <w:rPr>
          <w:rFonts w:ascii="Arial" w:hAnsi="Arial" w:cs="Arial"/>
        </w:rPr>
        <w:t xml:space="preserve"> reduction.</w:t>
      </w:r>
    </w:p>
    <w:p w14:paraId="492DF85D" w14:textId="77777777" w:rsidR="006E6650" w:rsidRPr="006E6650" w:rsidRDefault="006E6650" w:rsidP="00D70D66">
      <w:pPr>
        <w:jc w:val="center"/>
        <w:rPr>
          <w:rFonts w:ascii="Arial" w:hAnsi="Arial" w:cs="Arial"/>
        </w:rPr>
      </w:pPr>
    </w:p>
    <w:p w14:paraId="31F3155F" w14:textId="67958DEC" w:rsidR="000C2D2E" w:rsidRDefault="00501125" w:rsidP="00D70D66">
      <w:pPr>
        <w:jc w:val="center"/>
        <w:rPr>
          <w:rFonts w:ascii="Arial" w:hAnsi="Arial" w:cs="Arial"/>
        </w:rPr>
      </w:pPr>
      <w:r w:rsidRPr="00501125">
        <w:rPr>
          <w:rFonts w:ascii="Arial" w:hAnsi="Arial" w:cs="Arial"/>
          <w:noProof/>
        </w:rPr>
        <w:lastRenderedPageBreak/>
        <w:drawing>
          <wp:inline distT="0" distB="0" distL="0" distR="0" wp14:anchorId="4BECA3C3" wp14:editId="4F00906B">
            <wp:extent cx="4506741" cy="3796588"/>
            <wp:effectExtent l="0" t="0" r="0" b="0"/>
            <wp:docPr id="25" name="图片 1">
              <a:extLst xmlns:a="http://schemas.openxmlformats.org/drawingml/2006/main">
                <a:ext uri="{FF2B5EF4-FFF2-40B4-BE49-F238E27FC236}">
                  <a16:creationId xmlns:a16="http://schemas.microsoft.com/office/drawing/2014/main" id="{86CDE962-232C-4EEC-8F00-C7E67DE83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6CDE962-232C-4EEC-8F00-C7E67DE8346C}"/>
                        </a:ext>
                      </a:extLst>
                    </pic:cNvPr>
                    <pic:cNvPicPr>
                      <a:picLocks noChangeAspect="1"/>
                    </pic:cNvPicPr>
                  </pic:nvPicPr>
                  <pic:blipFill>
                    <a:blip r:embed="rId25"/>
                    <a:stretch>
                      <a:fillRect/>
                    </a:stretch>
                  </pic:blipFill>
                  <pic:spPr>
                    <a:xfrm>
                      <a:off x="0" y="0"/>
                      <a:ext cx="4531351" cy="3817320"/>
                    </a:xfrm>
                    <a:prstGeom prst="rect">
                      <a:avLst/>
                    </a:prstGeom>
                  </pic:spPr>
                </pic:pic>
              </a:graphicData>
            </a:graphic>
          </wp:inline>
        </w:drawing>
      </w:r>
    </w:p>
    <w:p w14:paraId="4780E052" w14:textId="533A1884" w:rsidR="00501125" w:rsidRDefault="00501125" w:rsidP="00501125">
      <w:pPr>
        <w:jc w:val="center"/>
        <w:rPr>
          <w:rFonts w:ascii="Arial" w:hAnsi="Arial" w:cs="Arial"/>
        </w:rPr>
      </w:pPr>
      <w:r w:rsidRPr="00877130">
        <w:rPr>
          <w:rFonts w:ascii="Arial" w:hAnsi="Arial" w:cs="Arial"/>
        </w:rPr>
        <w:t>Fig.S</w:t>
      </w:r>
      <w:r w:rsidR="00221EAE">
        <w:rPr>
          <w:rFonts w:ascii="Arial" w:hAnsi="Arial" w:cs="Arial"/>
        </w:rPr>
        <w:t>1</w:t>
      </w:r>
      <w:r w:rsidR="00E230CD">
        <w:rPr>
          <w:rFonts w:ascii="Arial" w:hAnsi="Arial" w:cs="Arial"/>
        </w:rPr>
        <w:t>8</w:t>
      </w:r>
      <w:r w:rsidR="000754A6">
        <w:rPr>
          <w:rFonts w:ascii="Arial" w:hAnsi="Arial" w:cs="Arial"/>
        </w:rPr>
        <w:t xml:space="preserve"> </w:t>
      </w:r>
      <w:r w:rsidR="000754A6" w:rsidRPr="00157281">
        <w:rPr>
          <w:rFonts w:ascii="Arial" w:hAnsi="Arial" w:cs="Arial"/>
        </w:rPr>
        <w:t xml:space="preserve">The </w:t>
      </w:r>
      <w:r w:rsidR="000754A6">
        <w:rPr>
          <w:rFonts w:ascii="Arial" w:hAnsi="Arial" w:cs="Arial"/>
        </w:rPr>
        <w:t>XRD</w:t>
      </w:r>
      <w:r w:rsidR="000754A6" w:rsidRPr="00157281">
        <w:rPr>
          <w:rFonts w:ascii="Arial" w:hAnsi="Arial" w:cs="Arial"/>
        </w:rPr>
        <w:t xml:space="preserve"> spectroscopy </w:t>
      </w:r>
      <w:r w:rsidR="000754A6">
        <w:rPr>
          <w:rFonts w:ascii="Arial" w:hAnsi="Arial" w:cs="Arial"/>
        </w:rPr>
        <w:t>of PIL-EY[M] before and</w:t>
      </w:r>
      <w:r w:rsidR="000754A6" w:rsidRPr="00157281">
        <w:rPr>
          <w:rFonts w:ascii="Arial" w:hAnsi="Arial" w:cs="Arial"/>
        </w:rPr>
        <w:t xml:space="preserve"> after</w:t>
      </w:r>
      <w:r w:rsidR="000754A6">
        <w:rPr>
          <w:rFonts w:ascii="Arial" w:hAnsi="Arial" w:cs="Arial"/>
          <w:b/>
          <w:bCs/>
        </w:rPr>
        <w:t xml:space="preserve"> </w:t>
      </w:r>
      <w:r w:rsidR="000754A6">
        <w:rPr>
          <w:rFonts w:ascii="Arial" w:hAnsi="Arial" w:cs="Arial"/>
        </w:rPr>
        <w:t>CO</w:t>
      </w:r>
      <w:r w:rsidR="000754A6">
        <w:rPr>
          <w:rFonts w:ascii="Arial" w:hAnsi="Arial" w:cs="Arial"/>
          <w:vertAlign w:val="subscript"/>
        </w:rPr>
        <w:t>2</w:t>
      </w:r>
      <w:r w:rsidR="000754A6">
        <w:rPr>
          <w:rFonts w:ascii="Arial" w:hAnsi="Arial" w:cs="Arial"/>
        </w:rPr>
        <w:t xml:space="preserve"> reduction.</w:t>
      </w:r>
    </w:p>
    <w:p w14:paraId="31CB6F88" w14:textId="069D3B47" w:rsidR="001309DE" w:rsidRDefault="001309DE" w:rsidP="00501125">
      <w:pPr>
        <w:jc w:val="center"/>
        <w:rPr>
          <w:rFonts w:ascii="Arial" w:hAnsi="Arial" w:cs="Arial"/>
        </w:rPr>
      </w:pPr>
    </w:p>
    <w:p w14:paraId="58F7BEC6" w14:textId="59B7DE38" w:rsidR="006E6650" w:rsidRDefault="006E6650" w:rsidP="00501125">
      <w:pPr>
        <w:jc w:val="center"/>
        <w:rPr>
          <w:rFonts w:ascii="Arial" w:hAnsi="Arial" w:cs="Arial"/>
        </w:rPr>
      </w:pPr>
      <w:r>
        <w:rPr>
          <w:noProof/>
        </w:rPr>
        <w:drawing>
          <wp:inline distT="0" distB="0" distL="0" distR="0" wp14:anchorId="744CE677" wp14:editId="3A80B135">
            <wp:extent cx="3123591" cy="2464485"/>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6429" cy="2474614"/>
                    </a:xfrm>
                    <a:prstGeom prst="rect">
                      <a:avLst/>
                    </a:prstGeom>
                  </pic:spPr>
                </pic:pic>
              </a:graphicData>
            </a:graphic>
          </wp:inline>
        </w:drawing>
      </w:r>
    </w:p>
    <w:p w14:paraId="45A088C2" w14:textId="633F8F4A" w:rsidR="006E6650" w:rsidRDefault="006E6650" w:rsidP="006E6650">
      <w:pPr>
        <w:jc w:val="center"/>
        <w:rPr>
          <w:rFonts w:ascii="Arial" w:hAnsi="Arial" w:cs="Arial"/>
        </w:rPr>
      </w:pPr>
      <w:r w:rsidRPr="00877130">
        <w:rPr>
          <w:rFonts w:ascii="Arial" w:hAnsi="Arial" w:cs="Arial"/>
        </w:rPr>
        <w:t>Fig.S</w:t>
      </w:r>
      <w:r w:rsidR="00E230CD">
        <w:rPr>
          <w:rFonts w:ascii="Arial" w:hAnsi="Arial" w:cs="Arial"/>
        </w:rPr>
        <w:t>19</w:t>
      </w:r>
      <w:r>
        <w:rPr>
          <w:rFonts w:ascii="Arial" w:hAnsi="Arial" w:cs="Arial"/>
        </w:rPr>
        <w:t xml:space="preserve"> </w:t>
      </w:r>
      <w:r w:rsidRPr="000A244F">
        <w:rPr>
          <w:rFonts w:ascii="Arial" w:hAnsi="Arial" w:cs="Arial"/>
        </w:rPr>
        <w:t xml:space="preserve">The </w:t>
      </w:r>
      <w:r>
        <w:rPr>
          <w:rFonts w:ascii="Arial" w:hAnsi="Arial" w:cs="Arial"/>
        </w:rPr>
        <w:t>CO</w:t>
      </w:r>
      <w:r>
        <w:rPr>
          <w:rFonts w:ascii="Arial" w:hAnsi="Arial" w:cs="Arial"/>
          <w:vertAlign w:val="subscript"/>
        </w:rPr>
        <w:t>2</w:t>
      </w:r>
      <w:r>
        <w:rPr>
          <w:rFonts w:ascii="Arial" w:hAnsi="Arial" w:cs="Arial"/>
        </w:rPr>
        <w:t xml:space="preserve"> reduction control experiment in different reaction conditions.</w:t>
      </w:r>
    </w:p>
    <w:p w14:paraId="3AAB4EEC" w14:textId="67445913" w:rsidR="006E6650" w:rsidRDefault="006E6650" w:rsidP="006E6650">
      <w:pPr>
        <w:jc w:val="center"/>
        <w:rPr>
          <w:rFonts w:ascii="Arial" w:hAnsi="Arial" w:cs="Arial"/>
        </w:rPr>
      </w:pPr>
    </w:p>
    <w:p w14:paraId="37EC7B93" w14:textId="77777777" w:rsidR="00774724" w:rsidRDefault="00774724" w:rsidP="00774724">
      <w:pPr>
        <w:jc w:val="center"/>
        <w:rPr>
          <w:rFonts w:ascii="Arial" w:hAnsi="Arial" w:cs="Arial"/>
        </w:rPr>
      </w:pPr>
      <w:r w:rsidRPr="00495E28">
        <w:rPr>
          <w:rFonts w:ascii="Arial" w:hAnsi="Arial" w:cs="Arial"/>
          <w:noProof/>
        </w:rPr>
        <w:lastRenderedPageBreak/>
        <w:drawing>
          <wp:inline distT="0" distB="0" distL="0" distR="0" wp14:anchorId="145C035B" wp14:editId="28F97301">
            <wp:extent cx="5120640" cy="4202674"/>
            <wp:effectExtent l="0" t="0" r="3810" b="0"/>
            <wp:docPr id="42" name="图片 41">
              <a:extLst xmlns:a="http://schemas.openxmlformats.org/drawingml/2006/main">
                <a:ext uri="{FF2B5EF4-FFF2-40B4-BE49-F238E27FC236}">
                  <a16:creationId xmlns:a16="http://schemas.microsoft.com/office/drawing/2014/main" id="{A228A3E5-B135-418E-8E9F-BF12AF187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id="{A228A3E5-B135-418E-8E9F-BF12AF187C74}"/>
                        </a:ext>
                      </a:extLst>
                    </pic:cNvPr>
                    <pic:cNvPicPr>
                      <a:picLocks noChangeAspect="1"/>
                    </pic:cNvPicPr>
                  </pic:nvPicPr>
                  <pic:blipFill>
                    <a:blip r:embed="rId27"/>
                    <a:stretch>
                      <a:fillRect/>
                    </a:stretch>
                  </pic:blipFill>
                  <pic:spPr>
                    <a:xfrm>
                      <a:off x="0" y="0"/>
                      <a:ext cx="5134040" cy="4213672"/>
                    </a:xfrm>
                    <a:prstGeom prst="rect">
                      <a:avLst/>
                    </a:prstGeom>
                  </pic:spPr>
                </pic:pic>
              </a:graphicData>
            </a:graphic>
          </wp:inline>
        </w:drawing>
      </w:r>
    </w:p>
    <w:p w14:paraId="064D74F9" w14:textId="0C4DF25D"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0</w:t>
      </w:r>
      <w:r>
        <w:rPr>
          <w:rFonts w:ascii="Arial" w:hAnsi="Arial" w:cs="Arial"/>
        </w:rPr>
        <w:t xml:space="preserve"> The </w:t>
      </w:r>
      <w:r w:rsidRPr="00B81CA5">
        <w:rPr>
          <w:rFonts w:ascii="Arial" w:hAnsi="Arial" w:cs="Arial"/>
        </w:rPr>
        <w:t>TDDFT calculations on the optimized structure of PIL-EY[M]</w:t>
      </w:r>
      <w:r>
        <w:rPr>
          <w:rFonts w:ascii="Arial" w:hAnsi="Arial" w:cs="Arial"/>
        </w:rPr>
        <w:t>.</w:t>
      </w:r>
    </w:p>
    <w:p w14:paraId="648D1B45" w14:textId="77777777" w:rsidR="00774724" w:rsidRPr="00877130" w:rsidRDefault="00774724" w:rsidP="00774724">
      <w:pPr>
        <w:rPr>
          <w:rFonts w:ascii="Arial" w:hAnsi="Arial" w:cs="Arial"/>
        </w:rPr>
      </w:pPr>
      <w:r w:rsidRPr="003078C2">
        <w:rPr>
          <w:rFonts w:ascii="Arial" w:hAnsi="Arial" w:cs="Arial"/>
        </w:rPr>
        <w:t xml:space="preserve">The </w:t>
      </w:r>
      <w:r>
        <w:rPr>
          <w:rFonts w:ascii="Arial" w:hAnsi="Arial" w:cs="Arial"/>
        </w:rPr>
        <w:t>electron-hole</w:t>
      </w:r>
      <w:r w:rsidRPr="003078C2">
        <w:rPr>
          <w:rFonts w:ascii="Arial" w:hAnsi="Arial" w:cs="Arial"/>
        </w:rPr>
        <w:t xml:space="preserve"> distribution of the five lowest energy excited states of PIL-EY [M] was calculated using TDDFT. Among them, S2, S3, and S4 have shorter charge transfer distances for local excitation, while S1 and S5 have longer </w:t>
      </w:r>
      <w:r>
        <w:rPr>
          <w:rFonts w:ascii="Arial" w:hAnsi="Arial" w:cs="Arial"/>
        </w:rPr>
        <w:t>electron-hole</w:t>
      </w:r>
      <w:r w:rsidRPr="003078C2">
        <w:rPr>
          <w:rFonts w:ascii="Arial" w:hAnsi="Arial" w:cs="Arial"/>
        </w:rPr>
        <w:t xml:space="preserve"> center distances for charge transfer excitation.</w:t>
      </w:r>
    </w:p>
    <w:p w14:paraId="441A16E1" w14:textId="77777777" w:rsidR="00774724" w:rsidRPr="00774724" w:rsidRDefault="00774724" w:rsidP="006E6650">
      <w:pPr>
        <w:jc w:val="center"/>
        <w:rPr>
          <w:rFonts w:ascii="Arial" w:hAnsi="Arial" w:cs="Arial"/>
        </w:rPr>
      </w:pPr>
    </w:p>
    <w:p w14:paraId="2B6BAEC9" w14:textId="77777777" w:rsidR="00774724" w:rsidRDefault="00774724" w:rsidP="00774724">
      <w:pPr>
        <w:jc w:val="center"/>
        <w:rPr>
          <w:rFonts w:ascii="Arial" w:hAnsi="Arial" w:cs="Arial"/>
        </w:rPr>
      </w:pPr>
      <w:r w:rsidRPr="00877130">
        <w:rPr>
          <w:rFonts w:ascii="Arial" w:hAnsi="Arial" w:cs="Arial"/>
          <w:noProof/>
        </w:rPr>
        <w:drawing>
          <wp:inline distT="0" distB="0" distL="0" distR="0" wp14:anchorId="20A38AB1" wp14:editId="3D0C6C90">
            <wp:extent cx="2251881" cy="19478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8990" cy="1962630"/>
                    </a:xfrm>
                    <a:prstGeom prst="rect">
                      <a:avLst/>
                    </a:prstGeom>
                  </pic:spPr>
                </pic:pic>
              </a:graphicData>
            </a:graphic>
          </wp:inline>
        </w:drawing>
      </w:r>
    </w:p>
    <w:p w14:paraId="5D1D18FA" w14:textId="2B62CE8C"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1</w:t>
      </w:r>
      <w:r>
        <w:rPr>
          <w:rFonts w:ascii="Arial" w:hAnsi="Arial" w:cs="Arial"/>
        </w:rPr>
        <w:t xml:space="preserve"> The </w:t>
      </w:r>
      <w:r w:rsidRPr="00CE1B6B">
        <w:rPr>
          <w:rFonts w:ascii="Arial" w:hAnsi="Arial" w:cs="Arial"/>
        </w:rPr>
        <w:t xml:space="preserve">PL spectrum of </w:t>
      </w:r>
      <w:r>
        <w:rPr>
          <w:rFonts w:ascii="Arial" w:hAnsi="Arial" w:cs="Arial"/>
        </w:rPr>
        <w:t xml:space="preserve">PIL, EY[M] and </w:t>
      </w:r>
      <w:r w:rsidRPr="00CE1B6B">
        <w:rPr>
          <w:rFonts w:ascii="Arial" w:hAnsi="Arial" w:cs="Arial"/>
        </w:rPr>
        <w:t>PIL-EY[M]</w:t>
      </w:r>
      <w:r>
        <w:rPr>
          <w:rFonts w:ascii="Arial" w:hAnsi="Arial" w:cs="Arial"/>
        </w:rPr>
        <w:t>.</w:t>
      </w:r>
    </w:p>
    <w:p w14:paraId="36EF9B47" w14:textId="77777777" w:rsidR="00774724" w:rsidRPr="00877130" w:rsidRDefault="00774724" w:rsidP="00774724">
      <w:pPr>
        <w:jc w:val="center"/>
        <w:rPr>
          <w:rFonts w:ascii="Arial" w:hAnsi="Arial" w:cs="Arial"/>
        </w:rPr>
      </w:pPr>
    </w:p>
    <w:p w14:paraId="4054255B" w14:textId="77777777" w:rsidR="00774724" w:rsidRDefault="00774724" w:rsidP="00774724">
      <w:pPr>
        <w:jc w:val="center"/>
        <w:rPr>
          <w:rFonts w:ascii="Arial" w:hAnsi="Arial" w:cs="Arial"/>
        </w:rPr>
      </w:pPr>
      <w:r>
        <w:rPr>
          <w:noProof/>
        </w:rPr>
        <w:lastRenderedPageBreak/>
        <w:drawing>
          <wp:inline distT="0" distB="0" distL="0" distR="0" wp14:anchorId="20AD9600" wp14:editId="0D918051">
            <wp:extent cx="4032250" cy="1615044"/>
            <wp:effectExtent l="0" t="0" r="635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0434"/>
                    <a:stretch/>
                  </pic:blipFill>
                  <pic:spPr bwMode="auto">
                    <a:xfrm>
                      <a:off x="0" y="0"/>
                      <a:ext cx="4039931" cy="1618120"/>
                    </a:xfrm>
                    <a:prstGeom prst="rect">
                      <a:avLst/>
                    </a:prstGeom>
                    <a:ln>
                      <a:noFill/>
                    </a:ln>
                    <a:extLst>
                      <a:ext uri="{53640926-AAD7-44D8-BBD7-CCE9431645EC}">
                        <a14:shadowObscured xmlns:a14="http://schemas.microsoft.com/office/drawing/2010/main"/>
                      </a:ext>
                    </a:extLst>
                  </pic:spPr>
                </pic:pic>
              </a:graphicData>
            </a:graphic>
          </wp:inline>
        </w:drawing>
      </w:r>
    </w:p>
    <w:p w14:paraId="7729FB88" w14:textId="2E60000C" w:rsidR="00774724" w:rsidRPr="00877130"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2</w:t>
      </w:r>
      <w:r>
        <w:rPr>
          <w:rFonts w:ascii="Arial" w:hAnsi="Arial" w:cs="Arial"/>
        </w:rPr>
        <w:t xml:space="preserve"> The</w:t>
      </w:r>
      <w:r w:rsidRPr="00CE1B6B">
        <w:rPr>
          <w:rFonts w:ascii="Arial" w:hAnsi="Arial" w:cs="Arial"/>
        </w:rPr>
        <w:t xml:space="preserve"> electrochemical properties</w:t>
      </w:r>
      <w:r>
        <w:rPr>
          <w:rFonts w:ascii="Arial" w:hAnsi="Arial" w:cs="Arial"/>
        </w:rPr>
        <w:t xml:space="preserve"> </w:t>
      </w:r>
      <w:r w:rsidRPr="00CE1B6B">
        <w:rPr>
          <w:rFonts w:ascii="Arial" w:hAnsi="Arial" w:cs="Arial"/>
        </w:rPr>
        <w:t xml:space="preserve">of </w:t>
      </w:r>
      <w:r>
        <w:rPr>
          <w:rFonts w:ascii="Arial" w:hAnsi="Arial" w:cs="Arial"/>
        </w:rPr>
        <w:t xml:space="preserve">PIL, EY[M] and </w:t>
      </w:r>
      <w:r w:rsidRPr="00CE1B6B">
        <w:rPr>
          <w:rFonts w:ascii="Arial" w:hAnsi="Arial" w:cs="Arial"/>
        </w:rPr>
        <w:t>PIL-EY[M]</w:t>
      </w:r>
      <w:r>
        <w:rPr>
          <w:rFonts w:ascii="Arial" w:hAnsi="Arial" w:cs="Arial"/>
        </w:rPr>
        <w:t>.</w:t>
      </w:r>
    </w:p>
    <w:p w14:paraId="35DAF50B" w14:textId="6B5D3C5E" w:rsidR="00157E6B" w:rsidRPr="00774724" w:rsidRDefault="00157E6B" w:rsidP="00501125">
      <w:pPr>
        <w:jc w:val="center"/>
        <w:rPr>
          <w:rFonts w:ascii="Arial" w:hAnsi="Arial" w:cs="Arial"/>
        </w:rPr>
      </w:pPr>
    </w:p>
    <w:p w14:paraId="3FCFCA23" w14:textId="77777777" w:rsidR="00774724" w:rsidRDefault="00774724" w:rsidP="00774724">
      <w:pPr>
        <w:jc w:val="center"/>
        <w:rPr>
          <w:rFonts w:ascii="Arial" w:hAnsi="Arial" w:cs="Arial"/>
        </w:rPr>
      </w:pPr>
      <w:r>
        <w:rPr>
          <w:noProof/>
        </w:rPr>
        <w:drawing>
          <wp:inline distT="0" distB="0" distL="0" distR="0" wp14:anchorId="55423126" wp14:editId="67646A66">
            <wp:extent cx="5274310" cy="235267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352675"/>
                    </a:xfrm>
                    <a:prstGeom prst="rect">
                      <a:avLst/>
                    </a:prstGeom>
                  </pic:spPr>
                </pic:pic>
              </a:graphicData>
            </a:graphic>
          </wp:inline>
        </w:drawing>
      </w:r>
    </w:p>
    <w:p w14:paraId="218A649A" w14:textId="65AA015A"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3</w:t>
      </w:r>
      <w:r>
        <w:rPr>
          <w:rFonts w:ascii="Arial" w:hAnsi="Arial" w:cs="Arial"/>
        </w:rPr>
        <w:t xml:space="preserve"> The </w:t>
      </w:r>
      <w:r w:rsidRPr="00CE1B6B">
        <w:rPr>
          <w:rFonts w:ascii="Arial" w:hAnsi="Arial" w:cs="Arial"/>
        </w:rPr>
        <w:t>TAS</w:t>
      </w:r>
      <w:r>
        <w:rPr>
          <w:rFonts w:ascii="Arial" w:hAnsi="Arial" w:cs="Arial"/>
        </w:rPr>
        <w:t xml:space="preserve"> </w:t>
      </w:r>
      <w:r w:rsidRPr="00CE1B6B">
        <w:rPr>
          <w:rFonts w:ascii="Arial" w:hAnsi="Arial" w:cs="Arial"/>
        </w:rPr>
        <w:t xml:space="preserve">spectroscopy </w:t>
      </w:r>
      <w:r>
        <w:rPr>
          <w:rFonts w:ascii="Arial" w:hAnsi="Arial" w:cs="Arial"/>
        </w:rPr>
        <w:t>of</w:t>
      </w:r>
      <w:r w:rsidRPr="00CE1B6B">
        <w:rPr>
          <w:rFonts w:ascii="Arial" w:hAnsi="Arial" w:cs="Arial"/>
        </w:rPr>
        <w:t xml:space="preserve"> PIL-EY[M]</w:t>
      </w:r>
      <w:r>
        <w:rPr>
          <w:rFonts w:ascii="Arial" w:hAnsi="Arial" w:cs="Arial"/>
        </w:rPr>
        <w:t>.</w:t>
      </w:r>
    </w:p>
    <w:p w14:paraId="72E1D576" w14:textId="1252C4F7" w:rsidR="00774724" w:rsidRDefault="00774724" w:rsidP="00501125">
      <w:pPr>
        <w:jc w:val="center"/>
        <w:rPr>
          <w:rFonts w:ascii="Arial" w:hAnsi="Arial" w:cs="Arial"/>
        </w:rPr>
      </w:pPr>
    </w:p>
    <w:p w14:paraId="0C5AFF84" w14:textId="6B1F0B00" w:rsidR="00774724" w:rsidRDefault="00774724" w:rsidP="00501125">
      <w:pPr>
        <w:jc w:val="center"/>
        <w:rPr>
          <w:rFonts w:ascii="Arial" w:hAnsi="Arial" w:cs="Arial"/>
        </w:rPr>
      </w:pPr>
      <w:r>
        <w:rPr>
          <w:noProof/>
        </w:rPr>
        <w:drawing>
          <wp:inline distT="0" distB="0" distL="0" distR="0" wp14:anchorId="23A2591E" wp14:editId="6A98BFB6">
            <wp:extent cx="2375065" cy="2127722"/>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2039" cy="2142929"/>
                    </a:xfrm>
                    <a:prstGeom prst="rect">
                      <a:avLst/>
                    </a:prstGeom>
                  </pic:spPr>
                </pic:pic>
              </a:graphicData>
            </a:graphic>
          </wp:inline>
        </w:drawing>
      </w:r>
    </w:p>
    <w:p w14:paraId="20F5E6A1" w14:textId="7446370E" w:rsidR="00774724" w:rsidRDefault="00774724" w:rsidP="00501125">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4</w:t>
      </w:r>
      <w:r>
        <w:rPr>
          <w:rFonts w:ascii="Arial" w:hAnsi="Arial" w:cs="Arial"/>
        </w:rPr>
        <w:t xml:space="preserve"> </w:t>
      </w:r>
      <w:r w:rsidRPr="007C5818">
        <w:rPr>
          <w:rFonts w:ascii="Arial" w:hAnsi="Arial" w:cs="Arial"/>
          <w:color w:val="0D0D0D" w:themeColor="text1" w:themeTint="F2"/>
          <w:kern w:val="21"/>
        </w:rPr>
        <w:t>CO</w:t>
      </w:r>
      <w:r w:rsidRPr="007C5818">
        <w:rPr>
          <w:rFonts w:ascii="Arial" w:hAnsi="Arial" w:cs="Arial"/>
          <w:color w:val="0D0D0D" w:themeColor="text1" w:themeTint="F2"/>
          <w:kern w:val="21"/>
          <w:vertAlign w:val="subscript"/>
        </w:rPr>
        <w:t>2</w:t>
      </w:r>
      <w:r w:rsidRPr="007C5818">
        <w:rPr>
          <w:rFonts w:ascii="Arial" w:hAnsi="Arial" w:cs="Arial"/>
          <w:color w:val="0D0D0D" w:themeColor="text1" w:themeTint="F2"/>
          <w:kern w:val="21"/>
        </w:rPr>
        <w:t xml:space="preserve"> uptake experiment of EY[M] and PIL-EY[M].</w:t>
      </w:r>
    </w:p>
    <w:p w14:paraId="75796612" w14:textId="241A3BAE" w:rsidR="00774724" w:rsidRDefault="00774724" w:rsidP="00501125">
      <w:pPr>
        <w:jc w:val="center"/>
        <w:rPr>
          <w:rFonts w:ascii="Arial" w:hAnsi="Arial" w:cs="Arial"/>
        </w:rPr>
      </w:pPr>
    </w:p>
    <w:p w14:paraId="76CAFB75" w14:textId="77777777" w:rsidR="00774724" w:rsidRDefault="00774724" w:rsidP="00774724">
      <w:pPr>
        <w:jc w:val="center"/>
        <w:rPr>
          <w:rFonts w:ascii="Arial" w:hAnsi="Arial" w:cs="Arial"/>
        </w:rPr>
      </w:pPr>
      <w:r>
        <w:rPr>
          <w:noProof/>
        </w:rPr>
        <w:drawing>
          <wp:inline distT="0" distB="0" distL="0" distR="0" wp14:anchorId="61BBDC55" wp14:editId="7F008A6F">
            <wp:extent cx="2350513" cy="88292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9540" cy="897588"/>
                    </a:xfrm>
                    <a:prstGeom prst="rect">
                      <a:avLst/>
                    </a:prstGeom>
                  </pic:spPr>
                </pic:pic>
              </a:graphicData>
            </a:graphic>
          </wp:inline>
        </w:drawing>
      </w:r>
    </w:p>
    <w:p w14:paraId="641DAE7D" w14:textId="55CD063C"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5</w:t>
      </w:r>
      <w:r>
        <w:rPr>
          <w:rFonts w:ascii="Arial" w:hAnsi="Arial" w:cs="Arial"/>
        </w:rPr>
        <w:t xml:space="preserve"> W</w:t>
      </w:r>
      <w:r w:rsidRPr="00CE1B6B">
        <w:rPr>
          <w:rFonts w:ascii="Arial" w:hAnsi="Arial" w:cs="Arial"/>
        </w:rPr>
        <w:t>ater contact angle</w:t>
      </w:r>
      <w:r>
        <w:rPr>
          <w:rFonts w:ascii="Arial" w:hAnsi="Arial" w:cs="Arial"/>
        </w:rPr>
        <w:t xml:space="preserve"> of PIL and </w:t>
      </w:r>
      <w:r w:rsidRPr="00CE1B6B">
        <w:rPr>
          <w:rFonts w:ascii="Arial" w:hAnsi="Arial" w:cs="Arial"/>
        </w:rPr>
        <w:t>PIL-EY[M]</w:t>
      </w:r>
      <w:r>
        <w:rPr>
          <w:rFonts w:ascii="Arial" w:hAnsi="Arial" w:cs="Arial"/>
        </w:rPr>
        <w:t>.</w:t>
      </w:r>
    </w:p>
    <w:p w14:paraId="1D70431A" w14:textId="7D853A2C" w:rsidR="00774724" w:rsidRDefault="00774724" w:rsidP="00501125">
      <w:pPr>
        <w:jc w:val="center"/>
        <w:rPr>
          <w:rFonts w:ascii="Arial" w:hAnsi="Arial" w:cs="Arial"/>
        </w:rPr>
      </w:pPr>
    </w:p>
    <w:p w14:paraId="0A9EB4A2" w14:textId="77777777" w:rsidR="00774724" w:rsidRDefault="00774724" w:rsidP="00774724">
      <w:pPr>
        <w:jc w:val="center"/>
        <w:rPr>
          <w:rFonts w:ascii="Arial" w:hAnsi="Arial" w:cs="Arial"/>
        </w:rPr>
      </w:pPr>
      <w:r>
        <w:rPr>
          <w:noProof/>
        </w:rPr>
        <w:drawing>
          <wp:inline distT="0" distB="0" distL="0" distR="0" wp14:anchorId="44907241" wp14:editId="747BF935">
            <wp:extent cx="2904135" cy="1580037"/>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6960" cy="1587015"/>
                    </a:xfrm>
                    <a:prstGeom prst="rect">
                      <a:avLst/>
                    </a:prstGeom>
                  </pic:spPr>
                </pic:pic>
              </a:graphicData>
            </a:graphic>
          </wp:inline>
        </w:drawing>
      </w:r>
    </w:p>
    <w:p w14:paraId="05846E84" w14:textId="67ECD2C9"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6</w:t>
      </w:r>
      <w:r>
        <w:rPr>
          <w:rFonts w:ascii="Arial" w:hAnsi="Arial" w:cs="Arial"/>
        </w:rPr>
        <w:t xml:space="preserve"> (a) T</w:t>
      </w:r>
      <w:r w:rsidRPr="001B5AC6">
        <w:rPr>
          <w:rFonts w:ascii="Arial" w:hAnsi="Arial" w:cs="Arial"/>
        </w:rPr>
        <w:t>he thymolphthalein in aqueous solutions</w:t>
      </w:r>
      <w:r>
        <w:rPr>
          <w:rFonts w:ascii="Arial" w:hAnsi="Arial" w:cs="Arial"/>
        </w:rPr>
        <w:t xml:space="preserve">. (b) the PIL-EY[M] </w:t>
      </w:r>
      <w:r w:rsidRPr="001B5AC6">
        <w:rPr>
          <w:rFonts w:ascii="Arial" w:hAnsi="Arial" w:cs="Arial"/>
        </w:rPr>
        <w:t>solutions</w:t>
      </w:r>
      <w:r>
        <w:rPr>
          <w:rFonts w:ascii="Arial" w:hAnsi="Arial" w:cs="Arial"/>
        </w:rPr>
        <w:t>.</w:t>
      </w:r>
    </w:p>
    <w:p w14:paraId="7B15B3C6" w14:textId="03F6ED26" w:rsidR="00774724" w:rsidRDefault="00774724" w:rsidP="00501125">
      <w:pPr>
        <w:jc w:val="center"/>
        <w:rPr>
          <w:rFonts w:ascii="Arial" w:hAnsi="Arial" w:cs="Arial"/>
        </w:rPr>
      </w:pPr>
    </w:p>
    <w:p w14:paraId="694F99CF" w14:textId="77777777" w:rsidR="00774724" w:rsidRDefault="00774724" w:rsidP="00774724">
      <w:pPr>
        <w:jc w:val="center"/>
        <w:rPr>
          <w:rFonts w:ascii="Arial" w:hAnsi="Arial" w:cs="Arial"/>
        </w:rPr>
      </w:pPr>
      <w:r w:rsidRPr="00D97B70">
        <w:rPr>
          <w:rFonts w:ascii="Arial" w:hAnsi="Arial" w:cs="Arial"/>
          <w:noProof/>
        </w:rPr>
        <w:drawing>
          <wp:inline distT="0" distB="0" distL="0" distR="0" wp14:anchorId="196F5F95" wp14:editId="74E02552">
            <wp:extent cx="3293011" cy="2541319"/>
            <wp:effectExtent l="0" t="0" r="3175" b="0"/>
            <wp:docPr id="106" name="图片 105">
              <a:extLst xmlns:a="http://schemas.openxmlformats.org/drawingml/2006/main">
                <a:ext uri="{FF2B5EF4-FFF2-40B4-BE49-F238E27FC236}">
                  <a16:creationId xmlns:a16="http://schemas.microsoft.com/office/drawing/2014/main" id="{5D6B3E8A-193D-4D28-8CAD-41C8E951E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a:extLst>
                        <a:ext uri="{FF2B5EF4-FFF2-40B4-BE49-F238E27FC236}">
                          <a16:creationId xmlns:a16="http://schemas.microsoft.com/office/drawing/2014/main" id="{5D6B3E8A-193D-4D28-8CAD-41C8E951EF90}"/>
                        </a:ext>
                      </a:extLst>
                    </pic:cNvPr>
                    <pic:cNvPicPr>
                      <a:picLocks noChangeAspect="1"/>
                    </pic:cNvPicPr>
                  </pic:nvPicPr>
                  <pic:blipFill>
                    <a:blip r:embed="rId34"/>
                    <a:stretch>
                      <a:fillRect/>
                    </a:stretch>
                  </pic:blipFill>
                  <pic:spPr>
                    <a:xfrm>
                      <a:off x="0" y="0"/>
                      <a:ext cx="3318396" cy="2560909"/>
                    </a:xfrm>
                    <a:prstGeom prst="rect">
                      <a:avLst/>
                    </a:prstGeom>
                  </pic:spPr>
                </pic:pic>
              </a:graphicData>
            </a:graphic>
          </wp:inline>
        </w:drawing>
      </w:r>
    </w:p>
    <w:p w14:paraId="2DCC80A1" w14:textId="7D492D67"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7</w:t>
      </w:r>
      <w:r>
        <w:rPr>
          <w:rFonts w:ascii="Arial" w:hAnsi="Arial" w:cs="Arial"/>
        </w:rPr>
        <w:t xml:space="preserve"> The </w:t>
      </w:r>
      <w:r w:rsidRPr="001B5AC6">
        <w:rPr>
          <w:rFonts w:ascii="Arial" w:hAnsi="Arial" w:cs="Arial"/>
        </w:rPr>
        <w:t>bridged</w:t>
      </w:r>
      <w:r>
        <w:rPr>
          <w:rFonts w:ascii="Arial" w:hAnsi="Arial" w:cs="Arial"/>
        </w:rPr>
        <w:t xml:space="preserve"> </w:t>
      </w:r>
      <w:r>
        <w:rPr>
          <w:rFonts w:ascii="Arial" w:hAnsi="Arial" w:cs="Arial" w:hint="eastAsia"/>
        </w:rPr>
        <w:t>and</w:t>
      </w:r>
      <w:r w:rsidRPr="001B5AC6">
        <w:rPr>
          <w:rFonts w:ascii="Arial" w:hAnsi="Arial" w:cs="Arial"/>
        </w:rPr>
        <w:t xml:space="preserve"> linear adsorption</w:t>
      </w:r>
      <w:r>
        <w:rPr>
          <w:rFonts w:ascii="Arial" w:hAnsi="Arial" w:cs="Arial"/>
        </w:rPr>
        <w:t xml:space="preserve"> model of PIL and PIL-EY[M].</w:t>
      </w:r>
    </w:p>
    <w:p w14:paraId="197C4E38" w14:textId="77777777" w:rsidR="00774724" w:rsidRDefault="00774724" w:rsidP="00774724">
      <w:pPr>
        <w:jc w:val="center"/>
        <w:rPr>
          <w:rFonts w:ascii="Arial" w:hAnsi="Arial" w:cs="Arial"/>
        </w:rPr>
      </w:pPr>
    </w:p>
    <w:p w14:paraId="03818954" w14:textId="77777777" w:rsidR="00774724" w:rsidRDefault="00774724" w:rsidP="00774724">
      <w:pPr>
        <w:jc w:val="center"/>
        <w:rPr>
          <w:rFonts w:ascii="Arial" w:hAnsi="Arial" w:cs="Arial"/>
        </w:rPr>
      </w:pPr>
      <w:r>
        <w:rPr>
          <w:noProof/>
        </w:rPr>
        <w:drawing>
          <wp:inline distT="0" distB="0" distL="0" distR="0" wp14:anchorId="26B90056" wp14:editId="224EBC8F">
            <wp:extent cx="2316854" cy="1752285"/>
            <wp:effectExtent l="0" t="0" r="762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31495" cy="1763358"/>
                    </a:xfrm>
                    <a:prstGeom prst="rect">
                      <a:avLst/>
                    </a:prstGeom>
                  </pic:spPr>
                </pic:pic>
              </a:graphicData>
            </a:graphic>
          </wp:inline>
        </w:drawing>
      </w:r>
    </w:p>
    <w:p w14:paraId="1B7E010F" w14:textId="2480AEDC" w:rsidR="00774724" w:rsidRDefault="00774724" w:rsidP="00774724">
      <w:pPr>
        <w:jc w:val="center"/>
        <w:rPr>
          <w:rFonts w:ascii="Arial" w:hAnsi="Arial" w:cs="Arial"/>
        </w:rPr>
      </w:pPr>
      <w:r w:rsidRPr="00877130">
        <w:rPr>
          <w:rFonts w:ascii="Arial" w:hAnsi="Arial" w:cs="Arial"/>
        </w:rPr>
        <w:t>Fig.S</w:t>
      </w:r>
      <w:r>
        <w:rPr>
          <w:rFonts w:ascii="Arial" w:hAnsi="Arial" w:cs="Arial"/>
        </w:rPr>
        <w:t>2</w:t>
      </w:r>
      <w:r w:rsidR="00E230CD">
        <w:rPr>
          <w:rFonts w:ascii="Arial" w:hAnsi="Arial" w:cs="Arial"/>
        </w:rPr>
        <w:t>8</w:t>
      </w:r>
      <w:r>
        <w:rPr>
          <w:rFonts w:ascii="Arial" w:hAnsi="Arial" w:cs="Arial"/>
        </w:rPr>
        <w:t xml:space="preserve"> The </w:t>
      </w:r>
      <w:r w:rsidRPr="001B5AC6">
        <w:rPr>
          <w:rFonts w:ascii="Arial" w:hAnsi="Arial" w:cs="Arial"/>
        </w:rPr>
        <w:t xml:space="preserve">adsorption energy </w:t>
      </w:r>
      <w:r>
        <w:rPr>
          <w:rFonts w:ascii="Arial" w:hAnsi="Arial" w:cs="Arial"/>
        </w:rPr>
        <w:t>of CO</w:t>
      </w:r>
      <w:r>
        <w:rPr>
          <w:rFonts w:ascii="Arial" w:hAnsi="Arial" w:cs="Arial"/>
          <w:vertAlign w:val="subscript"/>
        </w:rPr>
        <w:t xml:space="preserve">2 </w:t>
      </w:r>
      <w:r w:rsidRPr="00494CBF">
        <w:rPr>
          <w:rFonts w:ascii="Arial" w:hAnsi="Arial" w:cs="Arial"/>
        </w:rPr>
        <w:t>in</w:t>
      </w:r>
      <w:r>
        <w:rPr>
          <w:rFonts w:ascii="Arial" w:hAnsi="Arial" w:cs="Arial"/>
        </w:rPr>
        <w:t xml:space="preserve"> different sites.</w:t>
      </w:r>
    </w:p>
    <w:p w14:paraId="0F3CB531" w14:textId="77777777" w:rsidR="00774724" w:rsidRPr="00215E32" w:rsidRDefault="00774724" w:rsidP="00774724">
      <w:pPr>
        <w:jc w:val="center"/>
        <w:rPr>
          <w:rFonts w:ascii="Arial" w:hAnsi="Arial" w:cs="Arial"/>
        </w:rPr>
      </w:pPr>
    </w:p>
    <w:p w14:paraId="6125F77C" w14:textId="77777777" w:rsidR="00774724" w:rsidRPr="00877130" w:rsidRDefault="00774724" w:rsidP="00774724">
      <w:pPr>
        <w:jc w:val="center"/>
        <w:rPr>
          <w:rFonts w:ascii="Arial" w:hAnsi="Arial" w:cs="Arial"/>
        </w:rPr>
      </w:pPr>
      <w:r>
        <w:rPr>
          <w:noProof/>
        </w:rPr>
        <w:lastRenderedPageBreak/>
        <w:drawing>
          <wp:inline distT="0" distB="0" distL="0" distR="0" wp14:anchorId="76A39AD1" wp14:editId="7D772D32">
            <wp:extent cx="2782469" cy="2359705"/>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88688" cy="2364979"/>
                    </a:xfrm>
                    <a:prstGeom prst="rect">
                      <a:avLst/>
                    </a:prstGeom>
                  </pic:spPr>
                </pic:pic>
              </a:graphicData>
            </a:graphic>
          </wp:inline>
        </w:drawing>
      </w:r>
    </w:p>
    <w:p w14:paraId="08943EA5" w14:textId="53FC3A7D" w:rsidR="00774724" w:rsidRDefault="00774724" w:rsidP="00774724">
      <w:pPr>
        <w:jc w:val="center"/>
        <w:rPr>
          <w:rFonts w:ascii="Arial" w:hAnsi="Arial" w:cs="Arial"/>
        </w:rPr>
      </w:pPr>
      <w:r w:rsidRPr="00877130">
        <w:rPr>
          <w:rFonts w:ascii="Arial" w:hAnsi="Arial" w:cs="Arial"/>
        </w:rPr>
        <w:tab/>
        <w:t>Fig.S</w:t>
      </w:r>
      <w:r w:rsidR="00E230CD">
        <w:rPr>
          <w:rFonts w:ascii="Arial" w:hAnsi="Arial" w:cs="Arial"/>
        </w:rPr>
        <w:t>29</w:t>
      </w:r>
      <w:r>
        <w:rPr>
          <w:rFonts w:ascii="Arial" w:hAnsi="Arial" w:cs="Arial"/>
        </w:rPr>
        <w:t xml:space="preserve"> The</w:t>
      </w:r>
      <w:r w:rsidRPr="00CE1B6B">
        <w:rPr>
          <w:rFonts w:ascii="Arial" w:hAnsi="Arial" w:cs="Arial"/>
        </w:rPr>
        <w:t xml:space="preserve"> differential charge calculations</w:t>
      </w:r>
      <w:r>
        <w:rPr>
          <w:rFonts w:ascii="Arial" w:hAnsi="Arial" w:cs="Arial"/>
        </w:rPr>
        <w:t xml:space="preserve"> </w:t>
      </w:r>
      <w:r w:rsidRPr="00CE1B6B">
        <w:rPr>
          <w:rFonts w:ascii="Arial" w:hAnsi="Arial" w:cs="Arial"/>
        </w:rPr>
        <w:t xml:space="preserve">of </w:t>
      </w:r>
      <w:r>
        <w:rPr>
          <w:rFonts w:ascii="Arial" w:hAnsi="Arial" w:cs="Arial"/>
        </w:rPr>
        <w:t xml:space="preserve">PIL and </w:t>
      </w:r>
      <w:r w:rsidRPr="00CE1B6B">
        <w:rPr>
          <w:rFonts w:ascii="Arial" w:hAnsi="Arial" w:cs="Arial"/>
        </w:rPr>
        <w:t>PIL-EY[M]</w:t>
      </w:r>
      <w:r>
        <w:rPr>
          <w:rFonts w:ascii="Arial" w:hAnsi="Arial" w:cs="Arial"/>
        </w:rPr>
        <w:t>.</w:t>
      </w:r>
    </w:p>
    <w:p w14:paraId="3A33F750" w14:textId="77777777" w:rsidR="00774724" w:rsidRDefault="00774724" w:rsidP="00774724">
      <w:pPr>
        <w:rPr>
          <w:rFonts w:ascii="Arial" w:hAnsi="Arial" w:cs="Arial"/>
        </w:rPr>
      </w:pPr>
      <w:r w:rsidRPr="003078C2">
        <w:rPr>
          <w:rFonts w:ascii="Arial" w:hAnsi="Arial" w:cs="Arial"/>
        </w:rPr>
        <w:t>After the adsorption of CO</w:t>
      </w:r>
      <w:r w:rsidRPr="003078C2">
        <w:rPr>
          <w:rFonts w:ascii="Arial" w:hAnsi="Arial" w:cs="Arial"/>
          <w:vertAlign w:val="subscript"/>
        </w:rPr>
        <w:t>2</w:t>
      </w:r>
      <w:r w:rsidRPr="003078C2">
        <w:rPr>
          <w:rFonts w:ascii="Arial" w:hAnsi="Arial" w:cs="Arial"/>
        </w:rPr>
        <w:t xml:space="preserve"> by PIL and </w:t>
      </w:r>
      <w:r w:rsidRPr="00CE1B6B">
        <w:rPr>
          <w:rFonts w:ascii="Arial" w:hAnsi="Arial" w:cs="Arial"/>
        </w:rPr>
        <w:t>PIL-EY[M]</w:t>
      </w:r>
      <w:r w:rsidRPr="003078C2">
        <w:rPr>
          <w:rFonts w:ascii="Arial" w:hAnsi="Arial" w:cs="Arial"/>
        </w:rPr>
        <w:t>, under the same adsorption mode (linear adsorption), the volume of electron accumulation (yellow) and depletion (blue) of CO</w:t>
      </w:r>
      <w:r w:rsidRPr="003078C2">
        <w:rPr>
          <w:rFonts w:ascii="Arial" w:hAnsi="Arial" w:cs="Arial"/>
          <w:vertAlign w:val="subscript"/>
        </w:rPr>
        <w:t>2</w:t>
      </w:r>
      <w:r w:rsidRPr="003078C2">
        <w:rPr>
          <w:rFonts w:ascii="Arial" w:hAnsi="Arial" w:cs="Arial"/>
        </w:rPr>
        <w:t xml:space="preserve"> at the imidazole sites of </w:t>
      </w:r>
      <w:r w:rsidRPr="00CE1B6B">
        <w:rPr>
          <w:rFonts w:ascii="Arial" w:hAnsi="Arial" w:cs="Arial"/>
        </w:rPr>
        <w:t>PIL-EY[M]</w:t>
      </w:r>
      <w:r w:rsidRPr="003078C2">
        <w:rPr>
          <w:rFonts w:ascii="Arial" w:hAnsi="Arial" w:cs="Arial"/>
        </w:rPr>
        <w:t xml:space="preserve"> is larger than that of PIL, indicating that the sites have more electron transfer capacity for CO</w:t>
      </w:r>
      <w:r w:rsidRPr="003078C2">
        <w:rPr>
          <w:rFonts w:ascii="Arial" w:hAnsi="Arial" w:cs="Arial"/>
          <w:vertAlign w:val="subscript"/>
        </w:rPr>
        <w:t>2</w:t>
      </w:r>
      <w:r w:rsidRPr="003078C2">
        <w:rPr>
          <w:rFonts w:ascii="Arial" w:hAnsi="Arial" w:cs="Arial"/>
        </w:rPr>
        <w:t xml:space="preserve"> and are more conducive to CO</w:t>
      </w:r>
      <w:r w:rsidRPr="003078C2">
        <w:rPr>
          <w:rFonts w:ascii="Arial" w:hAnsi="Arial" w:cs="Arial"/>
          <w:vertAlign w:val="subscript"/>
        </w:rPr>
        <w:t>2</w:t>
      </w:r>
      <w:r w:rsidRPr="003078C2">
        <w:rPr>
          <w:rFonts w:ascii="Arial" w:hAnsi="Arial" w:cs="Arial"/>
        </w:rPr>
        <w:t xml:space="preserve"> conversion</w:t>
      </w:r>
      <w:r>
        <w:rPr>
          <w:rFonts w:ascii="Arial" w:hAnsi="Arial" w:cs="Arial"/>
        </w:rPr>
        <w:t>.</w:t>
      </w:r>
    </w:p>
    <w:p w14:paraId="4BFB5000" w14:textId="77777777" w:rsidR="00774724" w:rsidRPr="00774724" w:rsidRDefault="00774724" w:rsidP="00774724">
      <w:pPr>
        <w:jc w:val="center"/>
        <w:rPr>
          <w:rFonts w:ascii="Arial" w:hAnsi="Arial" w:cs="Arial"/>
        </w:rPr>
      </w:pPr>
    </w:p>
    <w:p w14:paraId="0338E8A5" w14:textId="77777777" w:rsidR="00774724" w:rsidRDefault="00774724" w:rsidP="00774724">
      <w:pPr>
        <w:jc w:val="center"/>
        <w:rPr>
          <w:rFonts w:ascii="Arial" w:hAnsi="Arial" w:cs="Arial"/>
        </w:rPr>
      </w:pPr>
      <w:r>
        <w:rPr>
          <w:noProof/>
        </w:rPr>
        <w:drawing>
          <wp:inline distT="0" distB="0" distL="0" distR="0" wp14:anchorId="41A48135" wp14:editId="5EFD9E20">
            <wp:extent cx="3640771" cy="16788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6948" cy="1686264"/>
                    </a:xfrm>
                    <a:prstGeom prst="rect">
                      <a:avLst/>
                    </a:prstGeom>
                  </pic:spPr>
                </pic:pic>
              </a:graphicData>
            </a:graphic>
          </wp:inline>
        </w:drawing>
      </w:r>
    </w:p>
    <w:p w14:paraId="3941B0D9" w14:textId="1313393A" w:rsidR="00774724" w:rsidRDefault="00774724" w:rsidP="00774724">
      <w:pPr>
        <w:jc w:val="center"/>
        <w:rPr>
          <w:rFonts w:ascii="Arial" w:hAnsi="Arial" w:cs="Arial"/>
        </w:rPr>
      </w:pPr>
      <w:r w:rsidRPr="00877130">
        <w:rPr>
          <w:rFonts w:ascii="Arial" w:hAnsi="Arial" w:cs="Arial"/>
        </w:rPr>
        <w:t>Fig.S</w:t>
      </w:r>
      <w:r>
        <w:rPr>
          <w:rFonts w:ascii="Arial" w:hAnsi="Arial" w:cs="Arial"/>
        </w:rPr>
        <w:t>3</w:t>
      </w:r>
      <w:r w:rsidR="00E230CD">
        <w:rPr>
          <w:rFonts w:ascii="Arial" w:hAnsi="Arial" w:cs="Arial"/>
        </w:rPr>
        <w:t>0</w:t>
      </w:r>
      <w:r>
        <w:rPr>
          <w:rFonts w:ascii="Arial" w:hAnsi="Arial" w:cs="Arial"/>
        </w:rPr>
        <w:t xml:space="preserve"> The CO</w:t>
      </w:r>
      <w:r>
        <w:rPr>
          <w:rFonts w:ascii="Arial" w:hAnsi="Arial" w:cs="Arial"/>
          <w:vertAlign w:val="subscript"/>
        </w:rPr>
        <w:t xml:space="preserve">2 </w:t>
      </w:r>
      <w:r w:rsidRPr="00EE7C38">
        <w:rPr>
          <w:rFonts w:ascii="Arial" w:hAnsi="Arial" w:cs="Arial"/>
        </w:rPr>
        <w:t>adsorption kinetics</w:t>
      </w:r>
      <w:r>
        <w:rPr>
          <w:rFonts w:ascii="Arial" w:hAnsi="Arial" w:cs="Arial"/>
        </w:rPr>
        <w:t xml:space="preserve"> of the interface between PIL and EY.</w:t>
      </w:r>
    </w:p>
    <w:p w14:paraId="282A4370" w14:textId="77777777" w:rsidR="00774724" w:rsidRDefault="00774724" w:rsidP="00774724">
      <w:pPr>
        <w:rPr>
          <w:rFonts w:ascii="Arial" w:hAnsi="Arial" w:cs="Arial"/>
        </w:rPr>
      </w:pPr>
      <w:r w:rsidRPr="00F957FD">
        <w:rPr>
          <w:rFonts w:ascii="Arial" w:hAnsi="Arial" w:cs="Arial"/>
        </w:rPr>
        <w:t>Saturated CO</w:t>
      </w:r>
      <w:r w:rsidRPr="00F957FD">
        <w:rPr>
          <w:rFonts w:ascii="Arial" w:hAnsi="Arial" w:cs="Arial"/>
          <w:vertAlign w:val="subscript"/>
        </w:rPr>
        <w:t>2</w:t>
      </w:r>
      <w:r w:rsidRPr="00F957FD">
        <w:rPr>
          <w:rFonts w:ascii="Arial" w:hAnsi="Arial" w:cs="Arial"/>
        </w:rPr>
        <w:t xml:space="preserve"> molecules are randomly placed into the reaction system to simulate the catalytic environment. 10000 times of kinetic adsorption were simulated, each calculation was set at 1ps, and the adsorption environment changes were recorded at each 1ps. When the simulation was carried out to 10 ns, it was found that the overall energy tended to be balanced, and the scattered CO</w:t>
      </w:r>
      <w:r w:rsidRPr="00F957FD">
        <w:rPr>
          <w:rFonts w:ascii="Arial" w:hAnsi="Arial" w:cs="Arial"/>
          <w:vertAlign w:val="subscript"/>
        </w:rPr>
        <w:t>2</w:t>
      </w:r>
      <w:r w:rsidRPr="00F957FD">
        <w:rPr>
          <w:rFonts w:ascii="Arial" w:hAnsi="Arial" w:cs="Arial"/>
        </w:rPr>
        <w:t xml:space="preserve"> molecules tended to approach the </w:t>
      </w:r>
      <w:r>
        <w:rPr>
          <w:rFonts w:ascii="Arial" w:hAnsi="Arial" w:cs="Arial"/>
        </w:rPr>
        <w:t>PIL and EY[M]</w:t>
      </w:r>
      <w:r w:rsidRPr="00F957FD">
        <w:rPr>
          <w:rFonts w:ascii="Arial" w:hAnsi="Arial" w:cs="Arial"/>
        </w:rPr>
        <w:t xml:space="preserve"> interface</w:t>
      </w:r>
      <w:r>
        <w:rPr>
          <w:rFonts w:ascii="Arial" w:hAnsi="Arial" w:cs="Arial"/>
        </w:rPr>
        <w:t>.</w:t>
      </w:r>
    </w:p>
    <w:p w14:paraId="7869D88E" w14:textId="510A1527" w:rsidR="00E103B1" w:rsidRDefault="00E103B1">
      <w:pPr>
        <w:widowControl/>
        <w:jc w:val="left"/>
        <w:rPr>
          <w:rFonts w:ascii="Arial" w:hAnsi="Arial" w:cs="Arial"/>
        </w:rPr>
      </w:pPr>
      <w:r>
        <w:rPr>
          <w:rFonts w:ascii="Arial" w:hAnsi="Arial" w:cs="Arial"/>
        </w:rPr>
        <w:br w:type="page"/>
      </w:r>
    </w:p>
    <w:p w14:paraId="0FA5BA9F" w14:textId="77777777" w:rsidR="00774724" w:rsidRDefault="00774724" w:rsidP="00774724">
      <w:pPr>
        <w:jc w:val="center"/>
        <w:rPr>
          <w:rFonts w:ascii="Arial" w:hAnsi="Arial" w:cs="Arial"/>
        </w:rPr>
      </w:pPr>
      <w:r>
        <w:rPr>
          <w:noProof/>
        </w:rPr>
        <w:lastRenderedPageBreak/>
        <w:drawing>
          <wp:inline distT="0" distB="0" distL="0" distR="0" wp14:anchorId="42A82397" wp14:editId="476A3C42">
            <wp:extent cx="3152717" cy="1424910"/>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9425" cy="1432461"/>
                    </a:xfrm>
                    <a:prstGeom prst="rect">
                      <a:avLst/>
                    </a:prstGeom>
                  </pic:spPr>
                </pic:pic>
              </a:graphicData>
            </a:graphic>
          </wp:inline>
        </w:drawing>
      </w:r>
    </w:p>
    <w:p w14:paraId="63F52320" w14:textId="532DA789" w:rsidR="00774724" w:rsidRDefault="00774724" w:rsidP="00774724">
      <w:pPr>
        <w:jc w:val="center"/>
        <w:rPr>
          <w:rFonts w:ascii="Arial" w:hAnsi="Arial" w:cs="Arial"/>
        </w:rPr>
      </w:pPr>
      <w:r w:rsidRPr="00877130">
        <w:rPr>
          <w:rFonts w:ascii="Arial" w:hAnsi="Arial" w:cs="Arial"/>
        </w:rPr>
        <w:t>Fig.S</w:t>
      </w:r>
      <w:r>
        <w:rPr>
          <w:rFonts w:ascii="Arial" w:hAnsi="Arial" w:cs="Arial"/>
        </w:rPr>
        <w:t>3</w:t>
      </w:r>
      <w:r w:rsidR="00E230CD">
        <w:rPr>
          <w:rFonts w:ascii="Arial" w:hAnsi="Arial" w:cs="Arial"/>
        </w:rPr>
        <w:t>1</w:t>
      </w:r>
      <w:r>
        <w:rPr>
          <w:rFonts w:ascii="Arial" w:hAnsi="Arial" w:cs="Arial"/>
        </w:rPr>
        <w:t xml:space="preserve"> The </w:t>
      </w:r>
      <w:r w:rsidRPr="00EE7C38">
        <w:rPr>
          <w:rFonts w:ascii="Arial" w:hAnsi="Arial" w:cs="Arial"/>
        </w:rPr>
        <w:t>Gibbs free energy barriers</w:t>
      </w:r>
      <w:r>
        <w:rPr>
          <w:rFonts w:ascii="Arial" w:hAnsi="Arial" w:cs="Arial"/>
        </w:rPr>
        <w:t xml:space="preserve"> of PIL</w:t>
      </w:r>
      <w:r>
        <w:rPr>
          <w:rFonts w:ascii="Arial" w:hAnsi="Arial" w:cs="Arial" w:hint="eastAsia"/>
        </w:rPr>
        <w:t xml:space="preserve"> </w:t>
      </w:r>
      <w:r>
        <w:rPr>
          <w:rFonts w:ascii="Arial" w:hAnsi="Arial" w:cs="Arial"/>
        </w:rPr>
        <w:t>and PIL-EY[M].</w:t>
      </w:r>
    </w:p>
    <w:p w14:paraId="4E5179C3" w14:textId="77777777" w:rsidR="00774724" w:rsidRPr="00743A12" w:rsidRDefault="00774724" w:rsidP="00774724">
      <w:pPr>
        <w:rPr>
          <w:rFonts w:ascii="Arial" w:hAnsi="Arial" w:cs="Arial"/>
          <w:lang w:val="en-GB"/>
        </w:rPr>
      </w:pPr>
      <w:r w:rsidRPr="007766E4">
        <w:rPr>
          <w:rFonts w:ascii="Arial" w:hAnsi="Arial" w:cs="Arial"/>
          <w:lang w:val="en-GB"/>
        </w:rPr>
        <w:t>As shown in Figure,</w:t>
      </w:r>
      <w:r>
        <w:rPr>
          <w:rFonts w:ascii="Arial" w:hAnsi="Arial" w:cs="Arial"/>
          <w:lang w:val="en-GB"/>
        </w:rPr>
        <w:t xml:space="preserve"> </w:t>
      </w:r>
      <w:r>
        <w:rPr>
          <w:rFonts w:ascii="Arial" w:hAnsi="Arial" w:cs="Arial" w:hint="eastAsia"/>
          <w:lang w:val="en-GB"/>
        </w:rPr>
        <w:t>the</w:t>
      </w:r>
      <w:r w:rsidRPr="007766E4">
        <w:rPr>
          <w:rFonts w:ascii="Arial" w:hAnsi="Arial" w:cs="Arial"/>
          <w:lang w:val="en-GB"/>
        </w:rPr>
        <w:t xml:space="preserve"> </w:t>
      </w:r>
      <w:r>
        <w:rPr>
          <w:rFonts w:ascii="Arial" w:hAnsi="Arial" w:cs="Arial"/>
        </w:rPr>
        <w:t>PIL-EY[M]</w:t>
      </w:r>
      <w:r w:rsidRPr="007766E4">
        <w:rPr>
          <w:rFonts w:ascii="Arial" w:hAnsi="Arial" w:cs="Arial"/>
          <w:lang w:val="en-GB"/>
        </w:rPr>
        <w:t>*CO</w:t>
      </w:r>
      <w:r w:rsidRPr="007766E4">
        <w:rPr>
          <w:rFonts w:ascii="Arial" w:hAnsi="Arial" w:cs="Arial"/>
          <w:vertAlign w:val="subscript"/>
          <w:lang w:val="en-GB"/>
        </w:rPr>
        <w:t>2</w:t>
      </w:r>
      <w:r w:rsidRPr="007766E4">
        <w:rPr>
          <w:rFonts w:ascii="Arial" w:hAnsi="Arial" w:cs="Arial"/>
          <w:lang w:val="en-GB"/>
        </w:rPr>
        <w:t xml:space="preserve"> has a smaller energy barrier than PIL*CO</w:t>
      </w:r>
      <w:r w:rsidRPr="007766E4">
        <w:rPr>
          <w:rFonts w:ascii="Arial" w:hAnsi="Arial" w:cs="Arial"/>
          <w:vertAlign w:val="subscript"/>
          <w:lang w:val="en-GB"/>
        </w:rPr>
        <w:t>2</w:t>
      </w:r>
      <w:r w:rsidRPr="007766E4">
        <w:rPr>
          <w:rFonts w:ascii="Arial" w:hAnsi="Arial" w:cs="Arial"/>
          <w:lang w:val="en-GB"/>
        </w:rPr>
        <w:t>, indicating that the solid-liquid interface is more conducive to the adsorption and activation of CO</w:t>
      </w:r>
      <w:r w:rsidRPr="007766E4">
        <w:rPr>
          <w:rFonts w:ascii="Arial" w:hAnsi="Arial" w:cs="Arial"/>
          <w:vertAlign w:val="subscript"/>
          <w:lang w:val="en-GB"/>
        </w:rPr>
        <w:t>2</w:t>
      </w:r>
      <w:r w:rsidRPr="007766E4">
        <w:rPr>
          <w:rFonts w:ascii="Arial" w:hAnsi="Arial" w:cs="Arial"/>
          <w:lang w:val="en-GB"/>
        </w:rPr>
        <w:t>.</w:t>
      </w:r>
      <w:r w:rsidRPr="007766E4">
        <w:rPr>
          <w:rFonts w:ascii="Arial" w:hAnsi="Arial" w:cs="Arial"/>
        </w:rPr>
        <w:t xml:space="preserve"> </w:t>
      </w:r>
      <w:r w:rsidRPr="007766E4">
        <w:rPr>
          <w:rFonts w:ascii="Arial" w:hAnsi="Arial" w:cs="Arial"/>
          <w:lang w:val="en-GB"/>
        </w:rPr>
        <w:t xml:space="preserve">Additionally, the generation energy barrier of *COOH is 2.17 eV, which is smaller than </w:t>
      </w:r>
      <w:r>
        <w:rPr>
          <w:rFonts w:ascii="Arial" w:hAnsi="Arial" w:cs="Arial"/>
          <w:lang w:val="en-GB"/>
        </w:rPr>
        <w:t xml:space="preserve">that </w:t>
      </w:r>
      <w:r w:rsidRPr="007766E4">
        <w:rPr>
          <w:rFonts w:ascii="Arial" w:hAnsi="Arial" w:cs="Arial"/>
          <w:lang w:val="en-GB"/>
        </w:rPr>
        <w:t>of PIL.</w:t>
      </w:r>
      <w:r w:rsidRPr="007766E4">
        <w:rPr>
          <w:rFonts w:ascii="Arial" w:hAnsi="Arial" w:cs="Arial"/>
        </w:rPr>
        <w:t xml:space="preserve"> </w:t>
      </w:r>
      <w:r w:rsidRPr="007766E4">
        <w:rPr>
          <w:rFonts w:ascii="Arial" w:hAnsi="Arial" w:cs="Arial"/>
          <w:lang w:val="en-GB"/>
        </w:rPr>
        <w:t>The decrease in the generation barrier indicates that the solid-liquid interface facilitates dynamic charge transfer between the EY adsorption sites and the imidazole reaction sites on the conjugated plane.</w:t>
      </w:r>
    </w:p>
    <w:p w14:paraId="32F482ED" w14:textId="77777777" w:rsidR="00774724" w:rsidRPr="00774724" w:rsidRDefault="00774724" w:rsidP="00501125">
      <w:pPr>
        <w:jc w:val="center"/>
        <w:rPr>
          <w:rFonts w:ascii="Arial" w:hAnsi="Arial" w:cs="Arial"/>
          <w:lang w:val="en-GB"/>
        </w:rPr>
      </w:pPr>
    </w:p>
    <w:p w14:paraId="5DC1E05A" w14:textId="77777777" w:rsidR="00FE2813" w:rsidRDefault="00FE2813" w:rsidP="00FE2813">
      <w:pPr>
        <w:jc w:val="center"/>
        <w:rPr>
          <w:rFonts w:ascii="Arial" w:hAnsi="Arial" w:cs="Arial"/>
        </w:rPr>
      </w:pPr>
      <w:r>
        <w:rPr>
          <w:noProof/>
        </w:rPr>
        <w:drawing>
          <wp:inline distT="0" distB="0" distL="0" distR="0" wp14:anchorId="3BF5989B" wp14:editId="57EC4A80">
            <wp:extent cx="3783971" cy="2684679"/>
            <wp:effectExtent l="0" t="0" r="698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7921" cy="2708766"/>
                    </a:xfrm>
                    <a:prstGeom prst="rect">
                      <a:avLst/>
                    </a:prstGeom>
                  </pic:spPr>
                </pic:pic>
              </a:graphicData>
            </a:graphic>
          </wp:inline>
        </w:drawing>
      </w:r>
    </w:p>
    <w:p w14:paraId="71C8B5DB" w14:textId="09151418" w:rsidR="00FE2813" w:rsidRDefault="00FE2813" w:rsidP="00FE2813">
      <w:pPr>
        <w:jc w:val="center"/>
        <w:rPr>
          <w:rFonts w:ascii="Arial" w:hAnsi="Arial" w:cs="Arial"/>
        </w:rPr>
      </w:pPr>
      <w:r w:rsidRPr="00877130">
        <w:rPr>
          <w:rFonts w:ascii="Arial" w:hAnsi="Arial" w:cs="Arial"/>
        </w:rPr>
        <w:t>Fig.S</w:t>
      </w:r>
      <w:r w:rsidR="00E404B4">
        <w:rPr>
          <w:rFonts w:ascii="Arial" w:hAnsi="Arial" w:cs="Arial"/>
        </w:rPr>
        <w:t>3</w:t>
      </w:r>
      <w:r w:rsidR="00E230CD">
        <w:rPr>
          <w:rFonts w:ascii="Arial" w:hAnsi="Arial" w:cs="Arial"/>
        </w:rPr>
        <w:t>2</w:t>
      </w:r>
      <w:r>
        <w:rPr>
          <w:rFonts w:ascii="Arial" w:hAnsi="Arial" w:cs="Arial"/>
        </w:rPr>
        <w:t xml:space="preserve"> </w:t>
      </w:r>
      <w:r w:rsidRPr="00FE2813">
        <w:rPr>
          <w:rFonts w:ascii="Arial" w:hAnsi="Arial" w:cs="Arial"/>
        </w:rPr>
        <w:t>Continuous experiment for one week</w:t>
      </w:r>
      <w:r>
        <w:rPr>
          <w:rFonts w:ascii="Arial" w:hAnsi="Arial" w:cs="Arial"/>
        </w:rPr>
        <w:t xml:space="preserve"> in </w:t>
      </w:r>
      <w:r w:rsidRPr="00FE2813">
        <w:rPr>
          <w:rFonts w:ascii="Arial" w:hAnsi="Arial" w:cs="Arial"/>
        </w:rPr>
        <w:t>36L square glass reactor</w:t>
      </w:r>
    </w:p>
    <w:p w14:paraId="0C636FBA" w14:textId="77777777" w:rsidR="00FE2813" w:rsidRPr="00FE2813" w:rsidRDefault="00FE2813" w:rsidP="00501125">
      <w:pPr>
        <w:jc w:val="center"/>
        <w:rPr>
          <w:rFonts w:ascii="Arial" w:hAnsi="Arial" w:cs="Arial"/>
        </w:rPr>
      </w:pPr>
    </w:p>
    <w:p w14:paraId="1C0AEBCD" w14:textId="4BF4599E" w:rsidR="00501125" w:rsidRDefault="00590B2F" w:rsidP="00D70D66">
      <w:pPr>
        <w:jc w:val="center"/>
        <w:rPr>
          <w:rFonts w:ascii="Arial" w:hAnsi="Arial" w:cs="Arial"/>
        </w:rPr>
      </w:pPr>
      <w:r w:rsidRPr="00590B2F">
        <w:rPr>
          <w:rFonts w:ascii="Arial" w:hAnsi="Arial" w:cs="Arial"/>
          <w:noProof/>
        </w:rPr>
        <w:lastRenderedPageBreak/>
        <w:drawing>
          <wp:inline distT="0" distB="0" distL="0" distR="0" wp14:anchorId="148862BE" wp14:editId="129444A0">
            <wp:extent cx="5274310" cy="3247390"/>
            <wp:effectExtent l="0" t="0" r="2540" b="0"/>
            <wp:docPr id="27" name="图片 9">
              <a:extLst xmlns:a="http://schemas.openxmlformats.org/drawingml/2006/main">
                <a:ext uri="{FF2B5EF4-FFF2-40B4-BE49-F238E27FC236}">
                  <a16:creationId xmlns:a16="http://schemas.microsoft.com/office/drawing/2014/main" id="{88441458-A13F-4574-8CCA-1EA37D593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88441458-A13F-4574-8CCA-1EA37D593DBD}"/>
                        </a:ext>
                      </a:extLst>
                    </pic:cNvPr>
                    <pic:cNvPicPr>
                      <a:picLocks noChangeAspect="1"/>
                    </pic:cNvPicPr>
                  </pic:nvPicPr>
                  <pic:blipFill>
                    <a:blip r:embed="rId40"/>
                    <a:stretch>
                      <a:fillRect/>
                    </a:stretch>
                  </pic:blipFill>
                  <pic:spPr>
                    <a:xfrm>
                      <a:off x="0" y="0"/>
                      <a:ext cx="5274310" cy="3247390"/>
                    </a:xfrm>
                    <a:prstGeom prst="rect">
                      <a:avLst/>
                    </a:prstGeom>
                  </pic:spPr>
                </pic:pic>
              </a:graphicData>
            </a:graphic>
          </wp:inline>
        </w:drawing>
      </w:r>
    </w:p>
    <w:p w14:paraId="2F3AFEB5" w14:textId="79A3F3CE" w:rsidR="00590B2F" w:rsidRDefault="00590B2F" w:rsidP="00590B2F">
      <w:pPr>
        <w:jc w:val="center"/>
        <w:rPr>
          <w:rFonts w:ascii="Arial" w:hAnsi="Arial" w:cs="Arial"/>
        </w:rPr>
      </w:pPr>
      <w:bookmarkStart w:id="1" w:name="_Hlk195088463"/>
      <w:r w:rsidRPr="00877130">
        <w:rPr>
          <w:rFonts w:ascii="Arial" w:hAnsi="Arial" w:cs="Arial"/>
        </w:rPr>
        <w:t>Fig.S</w:t>
      </w:r>
      <w:r w:rsidR="00E404B4">
        <w:rPr>
          <w:rFonts w:ascii="Arial" w:hAnsi="Arial" w:cs="Arial"/>
        </w:rPr>
        <w:t>3</w:t>
      </w:r>
      <w:r w:rsidR="00E230CD">
        <w:rPr>
          <w:rFonts w:ascii="Arial" w:hAnsi="Arial" w:cs="Arial"/>
        </w:rPr>
        <w:t>3</w:t>
      </w:r>
      <w:r w:rsidR="00390FBE">
        <w:rPr>
          <w:rFonts w:ascii="Arial" w:hAnsi="Arial" w:cs="Arial"/>
        </w:rPr>
        <w:t xml:space="preserve"> T</w:t>
      </w:r>
      <w:r w:rsidR="00390FBE" w:rsidRPr="00390FBE">
        <w:rPr>
          <w:rFonts w:ascii="Arial" w:hAnsi="Arial" w:cs="Arial"/>
        </w:rPr>
        <w:t xml:space="preserve">he performance </w:t>
      </w:r>
      <w:r w:rsidR="00390FBE">
        <w:rPr>
          <w:rFonts w:ascii="Arial" w:hAnsi="Arial" w:cs="Arial"/>
        </w:rPr>
        <w:t>of PIL in t</w:t>
      </w:r>
      <w:r w:rsidR="00390FBE" w:rsidRPr="00390FBE">
        <w:rPr>
          <w:rFonts w:ascii="Arial" w:hAnsi="Arial" w:cs="Arial"/>
        </w:rPr>
        <w:t xml:space="preserve">he variation in </w:t>
      </w:r>
      <w:r w:rsidR="0073136E" w:rsidRPr="0073136E">
        <w:rPr>
          <w:rFonts w:ascii="Arial" w:hAnsi="Arial" w:cs="Arial"/>
        </w:rPr>
        <w:t xml:space="preserve">simulated </w:t>
      </w:r>
      <w:r w:rsidR="00390FBE" w:rsidRPr="00390FBE">
        <w:rPr>
          <w:rFonts w:ascii="Arial" w:hAnsi="Arial" w:cs="Arial"/>
        </w:rPr>
        <w:t>solar elevation angle alters</w:t>
      </w:r>
      <w:r w:rsidR="00390FBE">
        <w:rPr>
          <w:rFonts w:ascii="Arial" w:hAnsi="Arial" w:cs="Arial"/>
        </w:rPr>
        <w:t xml:space="preserve">. </w:t>
      </w:r>
    </w:p>
    <w:bookmarkEnd w:id="1"/>
    <w:p w14:paraId="52D626B3" w14:textId="77777777" w:rsidR="00937709" w:rsidRDefault="00937709" w:rsidP="00590B2F">
      <w:pPr>
        <w:jc w:val="center"/>
        <w:rPr>
          <w:rFonts w:ascii="Arial" w:hAnsi="Arial" w:cs="Arial"/>
        </w:rPr>
      </w:pPr>
    </w:p>
    <w:p w14:paraId="781EEB12" w14:textId="1FF0E6EA" w:rsidR="00590B2F" w:rsidRDefault="00F80291" w:rsidP="00D70D66">
      <w:pPr>
        <w:jc w:val="center"/>
        <w:rPr>
          <w:rFonts w:ascii="Arial" w:hAnsi="Arial" w:cs="Arial"/>
          <w:b/>
          <w:bCs/>
        </w:rPr>
      </w:pPr>
      <w:r w:rsidRPr="00F80291">
        <w:rPr>
          <w:rFonts w:ascii="Arial" w:hAnsi="Arial" w:cs="Arial"/>
          <w:b/>
          <w:bCs/>
          <w:noProof/>
        </w:rPr>
        <w:drawing>
          <wp:inline distT="0" distB="0" distL="0" distR="0" wp14:anchorId="77D76AE8" wp14:editId="39B788B5">
            <wp:extent cx="5274310" cy="3115945"/>
            <wp:effectExtent l="0" t="0" r="0" b="0"/>
            <wp:docPr id="193" name="图片 192">
              <a:extLst xmlns:a="http://schemas.openxmlformats.org/drawingml/2006/main">
                <a:ext uri="{FF2B5EF4-FFF2-40B4-BE49-F238E27FC236}">
                  <a16:creationId xmlns:a16="http://schemas.microsoft.com/office/drawing/2014/main" id="{2705792B-9797-400F-91F9-B9922BE08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2">
                      <a:extLst>
                        <a:ext uri="{FF2B5EF4-FFF2-40B4-BE49-F238E27FC236}">
                          <a16:creationId xmlns:a16="http://schemas.microsoft.com/office/drawing/2014/main" id="{2705792B-9797-400F-91F9-B9922BE085F9}"/>
                        </a:ext>
                      </a:extLst>
                    </pic:cNvPr>
                    <pic:cNvPicPr>
                      <a:picLocks noChangeAspect="1"/>
                    </pic:cNvPicPr>
                  </pic:nvPicPr>
                  <pic:blipFill>
                    <a:blip r:embed="rId41"/>
                    <a:stretch>
                      <a:fillRect/>
                    </a:stretch>
                  </pic:blipFill>
                  <pic:spPr>
                    <a:xfrm>
                      <a:off x="0" y="0"/>
                      <a:ext cx="5274310" cy="3115945"/>
                    </a:xfrm>
                    <a:prstGeom prst="rect">
                      <a:avLst/>
                    </a:prstGeom>
                  </pic:spPr>
                </pic:pic>
              </a:graphicData>
            </a:graphic>
          </wp:inline>
        </w:drawing>
      </w:r>
    </w:p>
    <w:p w14:paraId="1C08994B" w14:textId="26411039" w:rsidR="005749C9" w:rsidRDefault="005749C9" w:rsidP="005749C9">
      <w:pPr>
        <w:jc w:val="center"/>
        <w:rPr>
          <w:rFonts w:ascii="Arial" w:hAnsi="Arial" w:cs="Arial"/>
        </w:rPr>
      </w:pPr>
      <w:r w:rsidRPr="00877130">
        <w:rPr>
          <w:rFonts w:ascii="Arial" w:hAnsi="Arial" w:cs="Arial"/>
        </w:rPr>
        <w:t>Fig.S</w:t>
      </w:r>
      <w:r w:rsidR="00E404B4">
        <w:rPr>
          <w:rFonts w:ascii="Arial" w:hAnsi="Arial" w:cs="Arial"/>
        </w:rPr>
        <w:t>3</w:t>
      </w:r>
      <w:r w:rsidR="00E230CD">
        <w:rPr>
          <w:rFonts w:ascii="Arial" w:hAnsi="Arial" w:cs="Arial"/>
        </w:rPr>
        <w:t>4</w:t>
      </w:r>
      <w:r>
        <w:rPr>
          <w:rFonts w:ascii="Arial" w:hAnsi="Arial" w:cs="Arial"/>
        </w:rPr>
        <w:t xml:space="preserve"> T</w:t>
      </w:r>
      <w:r w:rsidRPr="00390FBE">
        <w:rPr>
          <w:rFonts w:ascii="Arial" w:hAnsi="Arial" w:cs="Arial"/>
        </w:rPr>
        <w:t xml:space="preserve">he </w:t>
      </w:r>
      <w:r w:rsidR="004C1A16" w:rsidRPr="00B50532">
        <w:rPr>
          <w:rFonts w:ascii="Arial" w:hAnsi="Arial" w:cs="Arial"/>
        </w:rPr>
        <w:t>Optical image of</w:t>
      </w:r>
      <w:r w:rsidR="004C1A16">
        <w:rPr>
          <w:rFonts w:ascii="Arial" w:hAnsi="Arial" w:cs="Arial"/>
        </w:rPr>
        <w:t xml:space="preserve"> Ti</w:t>
      </w:r>
      <w:r w:rsidR="004C1A16">
        <w:rPr>
          <w:rFonts w:ascii="Arial" w:hAnsi="Arial" w:cs="Arial" w:hint="eastAsia"/>
        </w:rPr>
        <w:t>O</w:t>
      </w:r>
      <w:r w:rsidR="004C1A16">
        <w:rPr>
          <w:rFonts w:ascii="Arial" w:hAnsi="Arial" w:cs="Arial"/>
        </w:rPr>
        <w:softHyphen/>
      </w:r>
      <w:r w:rsidR="004C1A16">
        <w:rPr>
          <w:rFonts w:ascii="Arial" w:hAnsi="Arial" w:cs="Arial"/>
          <w:vertAlign w:val="subscript"/>
        </w:rPr>
        <w:t>2</w:t>
      </w:r>
      <w:r w:rsidR="00F80291">
        <w:rPr>
          <w:rFonts w:ascii="Arial" w:hAnsi="Arial" w:cs="Arial"/>
        </w:rPr>
        <w:t>PIL</w:t>
      </w:r>
      <w:r w:rsidR="004C1A16">
        <w:rPr>
          <w:rFonts w:ascii="Arial" w:hAnsi="Arial" w:cs="Arial"/>
        </w:rPr>
        <w:t>-EY[M] and C</w:t>
      </w:r>
      <w:r w:rsidR="004C1A16">
        <w:rPr>
          <w:rFonts w:ascii="Arial" w:hAnsi="Arial" w:cs="Arial"/>
          <w:vertAlign w:val="subscript"/>
        </w:rPr>
        <w:t>3</w:t>
      </w:r>
      <w:r w:rsidR="004C1A16">
        <w:rPr>
          <w:rFonts w:ascii="Arial" w:hAnsi="Arial" w:cs="Arial"/>
        </w:rPr>
        <w:t>N</w:t>
      </w:r>
      <w:r w:rsidR="004C1A16">
        <w:rPr>
          <w:rFonts w:ascii="Arial" w:hAnsi="Arial" w:cs="Arial"/>
          <w:vertAlign w:val="subscript"/>
        </w:rPr>
        <w:t>4</w:t>
      </w:r>
      <w:r w:rsidR="00F80291">
        <w:rPr>
          <w:rFonts w:ascii="Arial" w:hAnsi="Arial" w:cs="Arial"/>
        </w:rPr>
        <w:t>PIL</w:t>
      </w:r>
      <w:r w:rsidR="004C1A16">
        <w:rPr>
          <w:rFonts w:ascii="Arial" w:hAnsi="Arial" w:cs="Arial"/>
        </w:rPr>
        <w:t>-EY[M]</w:t>
      </w:r>
      <w:r>
        <w:rPr>
          <w:rFonts w:ascii="Arial" w:hAnsi="Arial" w:cs="Arial"/>
        </w:rPr>
        <w:t xml:space="preserve">. </w:t>
      </w:r>
    </w:p>
    <w:p w14:paraId="61A00980" w14:textId="362EB71A" w:rsidR="00F80291" w:rsidRDefault="00F80291">
      <w:pPr>
        <w:widowControl/>
        <w:jc w:val="left"/>
        <w:rPr>
          <w:rFonts w:ascii="Arial" w:hAnsi="Arial" w:cs="Arial"/>
        </w:rPr>
      </w:pPr>
      <w:r>
        <w:rPr>
          <w:rFonts w:ascii="Arial" w:hAnsi="Arial" w:cs="Arial"/>
        </w:rPr>
        <w:br w:type="page"/>
      </w:r>
    </w:p>
    <w:p w14:paraId="393333FE" w14:textId="24D9AC13" w:rsidR="00F80291" w:rsidRDefault="00F80291" w:rsidP="00F80291">
      <w:pPr>
        <w:widowControl/>
        <w:jc w:val="center"/>
        <w:rPr>
          <w:rFonts w:ascii="Arial" w:hAnsi="Arial" w:cs="Arial"/>
        </w:rPr>
      </w:pPr>
      <w:r w:rsidRPr="00F80291">
        <w:rPr>
          <w:rFonts w:ascii="Arial" w:hAnsi="Arial" w:cs="Arial"/>
          <w:noProof/>
        </w:rPr>
        <w:lastRenderedPageBreak/>
        <w:drawing>
          <wp:inline distT="0" distB="0" distL="0" distR="0" wp14:anchorId="151C963A" wp14:editId="04BBE04D">
            <wp:extent cx="3578662" cy="2743438"/>
            <wp:effectExtent l="0" t="0" r="0" b="0"/>
            <wp:docPr id="197" name="图片 196">
              <a:extLst xmlns:a="http://schemas.openxmlformats.org/drawingml/2006/main">
                <a:ext uri="{FF2B5EF4-FFF2-40B4-BE49-F238E27FC236}">
                  <a16:creationId xmlns:a16="http://schemas.microsoft.com/office/drawing/2014/main" id="{032AB58E-C6E1-4A5F-94C9-ECE430C77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6">
                      <a:extLst>
                        <a:ext uri="{FF2B5EF4-FFF2-40B4-BE49-F238E27FC236}">
                          <a16:creationId xmlns:a16="http://schemas.microsoft.com/office/drawing/2014/main" id="{032AB58E-C6E1-4A5F-94C9-ECE430C77532}"/>
                        </a:ext>
                      </a:extLst>
                    </pic:cNvPr>
                    <pic:cNvPicPr>
                      <a:picLocks noChangeAspect="1"/>
                    </pic:cNvPicPr>
                  </pic:nvPicPr>
                  <pic:blipFill>
                    <a:blip r:embed="rId42"/>
                    <a:stretch>
                      <a:fillRect/>
                    </a:stretch>
                  </pic:blipFill>
                  <pic:spPr>
                    <a:xfrm>
                      <a:off x="0" y="0"/>
                      <a:ext cx="3578662" cy="2743438"/>
                    </a:xfrm>
                    <a:prstGeom prst="rect">
                      <a:avLst/>
                    </a:prstGeom>
                  </pic:spPr>
                </pic:pic>
              </a:graphicData>
            </a:graphic>
          </wp:inline>
        </w:drawing>
      </w:r>
    </w:p>
    <w:p w14:paraId="4DAB2E11" w14:textId="634629CC" w:rsidR="00F80291" w:rsidRDefault="00F80291" w:rsidP="00F80291">
      <w:pPr>
        <w:widowControl/>
        <w:jc w:val="center"/>
        <w:rPr>
          <w:rFonts w:ascii="Arial" w:hAnsi="Arial" w:cs="Arial"/>
        </w:rPr>
      </w:pPr>
      <w:r w:rsidRPr="00877130">
        <w:rPr>
          <w:rFonts w:ascii="Arial" w:hAnsi="Arial" w:cs="Arial"/>
        </w:rPr>
        <w:t>Fig.S</w:t>
      </w:r>
      <w:r>
        <w:rPr>
          <w:rFonts w:ascii="Arial" w:hAnsi="Arial" w:cs="Arial"/>
        </w:rPr>
        <w:t>35 T</w:t>
      </w:r>
      <w:r w:rsidRPr="00390FBE">
        <w:rPr>
          <w:rFonts w:ascii="Arial" w:hAnsi="Arial" w:cs="Arial"/>
        </w:rPr>
        <w:t xml:space="preserve">he </w:t>
      </w:r>
      <w:r>
        <w:rPr>
          <w:rFonts w:ascii="Arial" w:hAnsi="Arial" w:cs="Arial"/>
        </w:rPr>
        <w:t>CO productivity</w:t>
      </w:r>
      <w:r w:rsidRPr="00390FBE">
        <w:rPr>
          <w:rFonts w:ascii="Arial" w:hAnsi="Arial" w:cs="Arial"/>
        </w:rPr>
        <w:t xml:space="preserve"> </w:t>
      </w:r>
      <w:r w:rsidRPr="00B50532">
        <w:rPr>
          <w:rFonts w:ascii="Arial" w:hAnsi="Arial" w:cs="Arial"/>
        </w:rPr>
        <w:t>of</w:t>
      </w:r>
      <w:r>
        <w:rPr>
          <w:rFonts w:ascii="Arial" w:hAnsi="Arial" w:cs="Arial"/>
        </w:rPr>
        <w:t xml:space="preserve"> Ti</w:t>
      </w:r>
      <w:r>
        <w:rPr>
          <w:rFonts w:ascii="Arial" w:hAnsi="Arial" w:cs="Arial" w:hint="eastAsia"/>
        </w:rPr>
        <w:t>O</w:t>
      </w:r>
      <w:r>
        <w:rPr>
          <w:rFonts w:ascii="Arial" w:hAnsi="Arial" w:cs="Arial"/>
        </w:rPr>
        <w:softHyphen/>
      </w:r>
      <w:r>
        <w:rPr>
          <w:rFonts w:ascii="Arial" w:hAnsi="Arial" w:cs="Arial"/>
          <w:vertAlign w:val="subscript"/>
        </w:rPr>
        <w:t>2</w:t>
      </w:r>
      <w:r>
        <w:rPr>
          <w:rFonts w:ascii="Arial" w:hAnsi="Arial" w:cs="Arial"/>
        </w:rPr>
        <w:t>PIL-EY[M] and C</w:t>
      </w:r>
      <w:r>
        <w:rPr>
          <w:rFonts w:ascii="Arial" w:hAnsi="Arial" w:cs="Arial"/>
          <w:vertAlign w:val="subscript"/>
        </w:rPr>
        <w:t>3</w:t>
      </w:r>
      <w:r>
        <w:rPr>
          <w:rFonts w:ascii="Arial" w:hAnsi="Arial" w:cs="Arial"/>
        </w:rPr>
        <w:t>N</w:t>
      </w:r>
      <w:r>
        <w:rPr>
          <w:rFonts w:ascii="Arial" w:hAnsi="Arial" w:cs="Arial"/>
          <w:vertAlign w:val="subscript"/>
        </w:rPr>
        <w:t>4</w:t>
      </w:r>
      <w:r>
        <w:rPr>
          <w:rFonts w:ascii="Arial" w:hAnsi="Arial" w:cs="Arial"/>
        </w:rPr>
        <w:t>PIL-EY[M].</w:t>
      </w:r>
    </w:p>
    <w:p w14:paraId="5AD179A3" w14:textId="77777777" w:rsidR="00F80291" w:rsidRDefault="00F80291" w:rsidP="005749C9">
      <w:pPr>
        <w:jc w:val="center"/>
        <w:rPr>
          <w:rFonts w:ascii="Arial" w:hAnsi="Arial" w:cs="Arial"/>
        </w:rPr>
      </w:pPr>
    </w:p>
    <w:p w14:paraId="35DA90AF" w14:textId="77777777" w:rsidR="00F80291" w:rsidRDefault="00F80291">
      <w:pPr>
        <w:widowControl/>
        <w:jc w:val="left"/>
        <w:rPr>
          <w:rFonts w:ascii="Arial" w:hAnsi="Arial" w:cs="Arial"/>
        </w:rPr>
      </w:pPr>
      <w:r>
        <w:rPr>
          <w:rFonts w:ascii="Arial" w:hAnsi="Arial" w:cs="Arial"/>
        </w:rPr>
        <w:br w:type="page"/>
      </w:r>
    </w:p>
    <w:p w14:paraId="5FAA695C" w14:textId="34803769" w:rsidR="004D5905" w:rsidRPr="004D5905" w:rsidRDefault="002629F8" w:rsidP="004D5905">
      <w:pPr>
        <w:widowControl/>
        <w:jc w:val="center"/>
        <w:rPr>
          <w:rFonts w:ascii="Arial" w:hAnsi="Arial" w:cs="Arial"/>
        </w:rPr>
      </w:pPr>
      <w:r w:rsidRPr="00877130">
        <w:rPr>
          <w:rFonts w:ascii="Arial" w:hAnsi="Arial" w:cs="Arial"/>
        </w:rPr>
        <w:lastRenderedPageBreak/>
        <w:t>Tab.S1</w:t>
      </w:r>
      <w:r w:rsidR="004D5905">
        <w:rPr>
          <w:rFonts w:ascii="Arial" w:hAnsi="Arial" w:cs="Arial"/>
        </w:rPr>
        <w:t xml:space="preserve"> The Zeta potential measure results of PIL</w:t>
      </w:r>
      <w:r w:rsidR="004D5905">
        <w:rPr>
          <w:rFonts w:ascii="Arial" w:hAnsi="Arial" w:cs="Arial" w:hint="eastAsia"/>
        </w:rPr>
        <w:t xml:space="preserve"> </w:t>
      </w:r>
      <w:r w:rsidR="004D5905">
        <w:rPr>
          <w:rFonts w:ascii="Arial" w:hAnsi="Arial" w:cs="Arial"/>
        </w:rPr>
        <w:t>and EY[M].</w:t>
      </w:r>
    </w:p>
    <w:tbl>
      <w:tblPr>
        <w:tblStyle w:val="a7"/>
        <w:tblW w:w="830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317"/>
        <w:gridCol w:w="1418"/>
        <w:gridCol w:w="2247"/>
        <w:gridCol w:w="1661"/>
      </w:tblGrid>
      <w:tr w:rsidR="0088799F" w:rsidRPr="00877130" w14:paraId="609EF13B" w14:textId="77777777" w:rsidTr="0088799F">
        <w:trPr>
          <w:trHeight w:val="485"/>
          <w:jc w:val="center"/>
        </w:trPr>
        <w:tc>
          <w:tcPr>
            <w:tcW w:w="1660" w:type="dxa"/>
            <w:tcBorders>
              <w:top w:val="single" w:sz="4" w:space="0" w:color="auto"/>
              <w:bottom w:val="single" w:sz="4" w:space="0" w:color="auto"/>
            </w:tcBorders>
            <w:vAlign w:val="center"/>
          </w:tcPr>
          <w:p w14:paraId="408C2C94" w14:textId="2C3B5A2B" w:rsidR="0088799F" w:rsidRPr="00877130" w:rsidRDefault="0088799F" w:rsidP="0088799F">
            <w:pPr>
              <w:jc w:val="center"/>
              <w:rPr>
                <w:rFonts w:ascii="Arial" w:hAnsi="Arial" w:cs="Arial"/>
              </w:rPr>
            </w:pPr>
            <w:r w:rsidRPr="00877130">
              <w:rPr>
                <w:rFonts w:ascii="Arial" w:hAnsi="Arial" w:cs="Arial"/>
              </w:rPr>
              <w:t>Samples</w:t>
            </w:r>
          </w:p>
        </w:tc>
        <w:tc>
          <w:tcPr>
            <w:tcW w:w="1317" w:type="dxa"/>
            <w:tcBorders>
              <w:top w:val="single" w:sz="4" w:space="0" w:color="auto"/>
              <w:bottom w:val="single" w:sz="4" w:space="0" w:color="auto"/>
            </w:tcBorders>
            <w:vAlign w:val="center"/>
          </w:tcPr>
          <w:p w14:paraId="5C96FBD0" w14:textId="4EFF0239" w:rsidR="0088799F" w:rsidRPr="00877130" w:rsidRDefault="0088799F" w:rsidP="0088799F">
            <w:pPr>
              <w:jc w:val="center"/>
              <w:rPr>
                <w:rFonts w:ascii="Arial" w:hAnsi="Arial" w:cs="Arial"/>
              </w:rPr>
            </w:pPr>
            <w:r w:rsidRPr="00877130">
              <w:rPr>
                <w:rFonts w:ascii="Arial" w:hAnsi="Arial" w:cs="Arial"/>
              </w:rPr>
              <w:t>T</w:t>
            </w:r>
          </w:p>
        </w:tc>
        <w:tc>
          <w:tcPr>
            <w:tcW w:w="1418" w:type="dxa"/>
            <w:tcBorders>
              <w:top w:val="single" w:sz="4" w:space="0" w:color="auto"/>
              <w:bottom w:val="single" w:sz="4" w:space="0" w:color="auto"/>
            </w:tcBorders>
            <w:vAlign w:val="center"/>
          </w:tcPr>
          <w:p w14:paraId="2747306F" w14:textId="374B3B24" w:rsidR="0088799F" w:rsidRPr="00877130" w:rsidRDefault="0088799F" w:rsidP="0088799F">
            <w:pPr>
              <w:jc w:val="center"/>
              <w:rPr>
                <w:rFonts w:ascii="Arial" w:hAnsi="Arial" w:cs="Arial"/>
              </w:rPr>
            </w:pPr>
            <w:r w:rsidRPr="00877130">
              <w:rPr>
                <w:rFonts w:ascii="Arial" w:hAnsi="Arial" w:cs="Arial"/>
              </w:rPr>
              <w:t>ZP</w:t>
            </w:r>
          </w:p>
        </w:tc>
        <w:tc>
          <w:tcPr>
            <w:tcW w:w="2247" w:type="dxa"/>
            <w:tcBorders>
              <w:top w:val="single" w:sz="4" w:space="0" w:color="auto"/>
              <w:bottom w:val="single" w:sz="4" w:space="0" w:color="auto"/>
            </w:tcBorders>
            <w:vAlign w:val="center"/>
          </w:tcPr>
          <w:p w14:paraId="7119CBF1" w14:textId="4CDA3C48" w:rsidR="0088799F" w:rsidRPr="00877130" w:rsidRDefault="0088799F" w:rsidP="0088799F">
            <w:pPr>
              <w:jc w:val="center"/>
              <w:rPr>
                <w:rFonts w:ascii="Arial" w:hAnsi="Arial" w:cs="Arial"/>
              </w:rPr>
            </w:pPr>
            <w:r w:rsidRPr="00877130">
              <w:rPr>
                <w:rFonts w:ascii="Arial" w:hAnsi="Arial" w:cs="Arial"/>
              </w:rPr>
              <w:t>Mob</w:t>
            </w:r>
          </w:p>
        </w:tc>
        <w:tc>
          <w:tcPr>
            <w:tcW w:w="1661" w:type="dxa"/>
            <w:tcBorders>
              <w:top w:val="single" w:sz="4" w:space="0" w:color="auto"/>
              <w:bottom w:val="single" w:sz="4" w:space="0" w:color="auto"/>
            </w:tcBorders>
            <w:vAlign w:val="center"/>
          </w:tcPr>
          <w:p w14:paraId="05B1D08B" w14:textId="1857B4E0" w:rsidR="0088799F" w:rsidRPr="00877130" w:rsidRDefault="0088799F" w:rsidP="0088799F">
            <w:pPr>
              <w:jc w:val="center"/>
              <w:rPr>
                <w:rFonts w:ascii="Arial" w:hAnsi="Arial" w:cs="Arial"/>
              </w:rPr>
            </w:pPr>
            <w:r w:rsidRPr="00877130">
              <w:rPr>
                <w:rFonts w:ascii="Arial" w:hAnsi="Arial" w:cs="Arial"/>
              </w:rPr>
              <w:t>Cond</w:t>
            </w:r>
          </w:p>
        </w:tc>
      </w:tr>
      <w:tr w:rsidR="0088799F" w:rsidRPr="00877130" w14:paraId="4221856C" w14:textId="77777777" w:rsidTr="0088799F">
        <w:trPr>
          <w:trHeight w:val="465"/>
          <w:jc w:val="center"/>
        </w:trPr>
        <w:tc>
          <w:tcPr>
            <w:tcW w:w="1660" w:type="dxa"/>
            <w:vMerge w:val="restart"/>
            <w:tcBorders>
              <w:top w:val="single" w:sz="4" w:space="0" w:color="auto"/>
            </w:tcBorders>
            <w:vAlign w:val="center"/>
          </w:tcPr>
          <w:p w14:paraId="4C994251" w14:textId="66F7EEE8" w:rsidR="0088799F" w:rsidRPr="00877130" w:rsidRDefault="0088799F" w:rsidP="0088799F">
            <w:pPr>
              <w:jc w:val="center"/>
              <w:rPr>
                <w:rFonts w:ascii="Arial" w:hAnsi="Arial" w:cs="Arial"/>
              </w:rPr>
            </w:pPr>
            <w:r w:rsidRPr="00877130">
              <w:rPr>
                <w:rFonts w:ascii="Arial" w:hAnsi="Arial" w:cs="Arial"/>
              </w:rPr>
              <w:t>PIL</w:t>
            </w:r>
          </w:p>
        </w:tc>
        <w:tc>
          <w:tcPr>
            <w:tcW w:w="1317" w:type="dxa"/>
            <w:tcBorders>
              <w:top w:val="single" w:sz="4" w:space="0" w:color="auto"/>
            </w:tcBorders>
            <w:vAlign w:val="center"/>
          </w:tcPr>
          <w:p w14:paraId="2E920E1F" w14:textId="1F6F5CA1" w:rsidR="0088799F" w:rsidRPr="00877130" w:rsidRDefault="0088799F" w:rsidP="0088799F">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tcBorders>
              <w:top w:val="single" w:sz="4" w:space="0" w:color="auto"/>
            </w:tcBorders>
            <w:vAlign w:val="center"/>
          </w:tcPr>
          <w:p w14:paraId="343475EE" w14:textId="78E58E39" w:rsidR="0088799F" w:rsidRPr="00877130" w:rsidRDefault="0088799F" w:rsidP="0088799F">
            <w:pPr>
              <w:jc w:val="center"/>
              <w:rPr>
                <w:rFonts w:ascii="Arial" w:hAnsi="Arial" w:cs="Arial"/>
              </w:rPr>
            </w:pPr>
            <w:r w:rsidRPr="00877130">
              <w:rPr>
                <w:rFonts w:ascii="Arial" w:hAnsi="Arial" w:cs="Arial"/>
              </w:rPr>
              <w:t>+32.6 mV</w:t>
            </w:r>
          </w:p>
        </w:tc>
        <w:tc>
          <w:tcPr>
            <w:tcW w:w="2247" w:type="dxa"/>
            <w:tcBorders>
              <w:top w:val="single" w:sz="4" w:space="0" w:color="auto"/>
            </w:tcBorders>
            <w:vAlign w:val="center"/>
          </w:tcPr>
          <w:p w14:paraId="5B9D0DEA" w14:textId="50951984" w:rsidR="0088799F" w:rsidRPr="00877130" w:rsidRDefault="0088799F" w:rsidP="0088799F">
            <w:pPr>
              <w:jc w:val="center"/>
              <w:rPr>
                <w:rFonts w:ascii="Arial" w:hAnsi="Arial" w:cs="Arial"/>
              </w:rPr>
            </w:pPr>
            <w:r w:rsidRPr="00877130">
              <w:rPr>
                <w:rFonts w:ascii="Arial" w:hAnsi="Arial" w:cs="Arial"/>
              </w:rPr>
              <w:t xml:space="preserve">2.556 </w:t>
            </w:r>
            <w:proofErr w:type="spellStart"/>
            <w:r w:rsidRPr="00877130">
              <w:rPr>
                <w:rFonts w:ascii="Arial" w:hAnsi="Arial" w:cs="Arial"/>
              </w:rPr>
              <w:t>μm</w:t>
            </w:r>
            <w:proofErr w:type="spellEnd"/>
            <w:r w:rsidRPr="00877130">
              <w:rPr>
                <w:rFonts w:ascii="Arial" w:hAnsi="Arial" w:cs="Arial"/>
              </w:rPr>
              <w:t xml:space="preserve"> cm/Vs</w:t>
            </w:r>
          </w:p>
        </w:tc>
        <w:tc>
          <w:tcPr>
            <w:tcW w:w="1661" w:type="dxa"/>
            <w:tcBorders>
              <w:top w:val="single" w:sz="4" w:space="0" w:color="auto"/>
            </w:tcBorders>
            <w:vAlign w:val="center"/>
          </w:tcPr>
          <w:p w14:paraId="332BBDC6" w14:textId="09F90FFB" w:rsidR="0088799F" w:rsidRPr="00877130" w:rsidRDefault="0088799F" w:rsidP="0088799F">
            <w:pPr>
              <w:jc w:val="center"/>
              <w:rPr>
                <w:rFonts w:ascii="Arial" w:hAnsi="Arial" w:cs="Arial"/>
              </w:rPr>
            </w:pPr>
            <w:r w:rsidRPr="00877130">
              <w:rPr>
                <w:rFonts w:ascii="Arial" w:hAnsi="Arial" w:cs="Arial"/>
              </w:rPr>
              <w:t>0.0172 mS/cm</w:t>
            </w:r>
          </w:p>
        </w:tc>
      </w:tr>
      <w:tr w:rsidR="0088799F" w:rsidRPr="00877130" w14:paraId="5CB77515" w14:textId="77777777" w:rsidTr="0088799F">
        <w:trPr>
          <w:trHeight w:val="485"/>
          <w:jc w:val="center"/>
        </w:trPr>
        <w:tc>
          <w:tcPr>
            <w:tcW w:w="1660" w:type="dxa"/>
            <w:vMerge/>
            <w:vAlign w:val="center"/>
          </w:tcPr>
          <w:p w14:paraId="740370F8" w14:textId="046BC3B8" w:rsidR="0088799F" w:rsidRPr="00877130" w:rsidRDefault="0088799F" w:rsidP="0088799F">
            <w:pPr>
              <w:jc w:val="center"/>
              <w:rPr>
                <w:rFonts w:ascii="Arial" w:hAnsi="Arial" w:cs="Arial"/>
              </w:rPr>
            </w:pPr>
          </w:p>
        </w:tc>
        <w:tc>
          <w:tcPr>
            <w:tcW w:w="1317" w:type="dxa"/>
            <w:vAlign w:val="center"/>
          </w:tcPr>
          <w:p w14:paraId="4311D534" w14:textId="20B7C698" w:rsidR="0088799F" w:rsidRPr="00877130" w:rsidRDefault="0088799F" w:rsidP="0088799F">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vAlign w:val="center"/>
          </w:tcPr>
          <w:p w14:paraId="1E2CFBB1" w14:textId="37E19E77" w:rsidR="0088799F" w:rsidRPr="00877130" w:rsidRDefault="0088799F" w:rsidP="0088799F">
            <w:pPr>
              <w:jc w:val="center"/>
              <w:rPr>
                <w:rFonts w:ascii="Arial" w:hAnsi="Arial" w:cs="Arial"/>
              </w:rPr>
            </w:pPr>
            <w:r w:rsidRPr="00877130">
              <w:rPr>
                <w:rFonts w:ascii="Arial" w:hAnsi="Arial" w:cs="Arial"/>
              </w:rPr>
              <w:t>+31.7 mV</w:t>
            </w:r>
          </w:p>
        </w:tc>
        <w:tc>
          <w:tcPr>
            <w:tcW w:w="2247" w:type="dxa"/>
            <w:vAlign w:val="center"/>
          </w:tcPr>
          <w:p w14:paraId="3EC079EF" w14:textId="066B6E00" w:rsidR="0088799F" w:rsidRPr="00877130" w:rsidRDefault="0088799F" w:rsidP="0088799F">
            <w:pPr>
              <w:jc w:val="center"/>
              <w:rPr>
                <w:rFonts w:ascii="Arial" w:hAnsi="Arial" w:cs="Arial"/>
              </w:rPr>
            </w:pPr>
            <w:r w:rsidRPr="00877130">
              <w:rPr>
                <w:rFonts w:ascii="Arial" w:hAnsi="Arial" w:cs="Arial"/>
              </w:rPr>
              <w:t xml:space="preserve">2.488 </w:t>
            </w:r>
            <w:proofErr w:type="spellStart"/>
            <w:r w:rsidRPr="00877130">
              <w:rPr>
                <w:rFonts w:ascii="Arial" w:hAnsi="Arial" w:cs="Arial"/>
              </w:rPr>
              <w:t>μm</w:t>
            </w:r>
            <w:proofErr w:type="spellEnd"/>
            <w:r w:rsidRPr="00877130">
              <w:rPr>
                <w:rFonts w:ascii="Arial" w:hAnsi="Arial" w:cs="Arial"/>
              </w:rPr>
              <w:t xml:space="preserve"> cm/Vs</w:t>
            </w:r>
          </w:p>
        </w:tc>
        <w:tc>
          <w:tcPr>
            <w:tcW w:w="1661" w:type="dxa"/>
            <w:vAlign w:val="center"/>
          </w:tcPr>
          <w:p w14:paraId="7912AE59" w14:textId="623DAFAA" w:rsidR="0088799F" w:rsidRPr="00877130" w:rsidRDefault="0088799F" w:rsidP="0088799F">
            <w:pPr>
              <w:jc w:val="center"/>
              <w:rPr>
                <w:rFonts w:ascii="Arial" w:hAnsi="Arial" w:cs="Arial"/>
              </w:rPr>
            </w:pPr>
            <w:r w:rsidRPr="00877130">
              <w:rPr>
                <w:rFonts w:ascii="Arial" w:hAnsi="Arial" w:cs="Arial"/>
              </w:rPr>
              <w:t>0.0127 mS/cm</w:t>
            </w:r>
          </w:p>
        </w:tc>
      </w:tr>
      <w:tr w:rsidR="0088799F" w:rsidRPr="00877130" w14:paraId="48DB8A20" w14:textId="77777777" w:rsidTr="0088799F">
        <w:trPr>
          <w:trHeight w:val="485"/>
          <w:jc w:val="center"/>
        </w:trPr>
        <w:tc>
          <w:tcPr>
            <w:tcW w:w="1660" w:type="dxa"/>
            <w:vMerge/>
            <w:vAlign w:val="center"/>
          </w:tcPr>
          <w:p w14:paraId="1B085D00" w14:textId="0BF7DBD1" w:rsidR="0088799F" w:rsidRPr="00877130" w:rsidRDefault="0088799F" w:rsidP="0088799F">
            <w:pPr>
              <w:jc w:val="center"/>
              <w:rPr>
                <w:rFonts w:ascii="Arial" w:hAnsi="Arial" w:cs="Arial"/>
              </w:rPr>
            </w:pPr>
          </w:p>
        </w:tc>
        <w:tc>
          <w:tcPr>
            <w:tcW w:w="1317" w:type="dxa"/>
            <w:vAlign w:val="center"/>
          </w:tcPr>
          <w:p w14:paraId="2AE47788" w14:textId="48D65AEA" w:rsidR="0088799F" w:rsidRPr="00877130" w:rsidRDefault="0088799F" w:rsidP="0088799F">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vAlign w:val="center"/>
          </w:tcPr>
          <w:p w14:paraId="19CA6E88" w14:textId="56F46578" w:rsidR="0088799F" w:rsidRPr="00877130" w:rsidRDefault="0088799F" w:rsidP="0088799F">
            <w:pPr>
              <w:jc w:val="center"/>
              <w:rPr>
                <w:rFonts w:ascii="Arial" w:hAnsi="Arial" w:cs="Arial"/>
              </w:rPr>
            </w:pPr>
            <w:r w:rsidRPr="00877130">
              <w:rPr>
                <w:rFonts w:ascii="Arial" w:hAnsi="Arial" w:cs="Arial"/>
              </w:rPr>
              <w:t>+32.8 mV</w:t>
            </w:r>
          </w:p>
        </w:tc>
        <w:tc>
          <w:tcPr>
            <w:tcW w:w="2247" w:type="dxa"/>
            <w:vAlign w:val="center"/>
          </w:tcPr>
          <w:p w14:paraId="05FF0DE2" w14:textId="62679757" w:rsidR="0088799F" w:rsidRPr="00877130" w:rsidRDefault="0088799F" w:rsidP="0088799F">
            <w:pPr>
              <w:jc w:val="center"/>
              <w:rPr>
                <w:rFonts w:ascii="Arial" w:hAnsi="Arial" w:cs="Arial"/>
              </w:rPr>
            </w:pPr>
            <w:r w:rsidRPr="00877130">
              <w:rPr>
                <w:rFonts w:ascii="Arial" w:hAnsi="Arial" w:cs="Arial"/>
              </w:rPr>
              <w:t xml:space="preserve">2.575 </w:t>
            </w:r>
            <w:proofErr w:type="spellStart"/>
            <w:r w:rsidRPr="00877130">
              <w:rPr>
                <w:rFonts w:ascii="Arial" w:hAnsi="Arial" w:cs="Arial"/>
              </w:rPr>
              <w:t>μm</w:t>
            </w:r>
            <w:proofErr w:type="spellEnd"/>
            <w:r w:rsidRPr="00877130">
              <w:rPr>
                <w:rFonts w:ascii="Arial" w:hAnsi="Arial" w:cs="Arial"/>
              </w:rPr>
              <w:t xml:space="preserve"> cm/Vs</w:t>
            </w:r>
          </w:p>
        </w:tc>
        <w:tc>
          <w:tcPr>
            <w:tcW w:w="1661" w:type="dxa"/>
            <w:vAlign w:val="center"/>
          </w:tcPr>
          <w:p w14:paraId="24C44C9A" w14:textId="673F7F07" w:rsidR="0088799F" w:rsidRPr="00877130" w:rsidRDefault="0088799F" w:rsidP="0088799F">
            <w:pPr>
              <w:jc w:val="center"/>
              <w:rPr>
                <w:rFonts w:ascii="Arial" w:hAnsi="Arial" w:cs="Arial"/>
              </w:rPr>
            </w:pPr>
            <w:r w:rsidRPr="00877130">
              <w:rPr>
                <w:rFonts w:ascii="Arial" w:hAnsi="Arial" w:cs="Arial"/>
              </w:rPr>
              <w:t>0.0128 mS/cm</w:t>
            </w:r>
          </w:p>
        </w:tc>
      </w:tr>
    </w:tbl>
    <w:p w14:paraId="6F303AA8" w14:textId="0538A842" w:rsidR="0088799F" w:rsidRPr="00877130" w:rsidRDefault="0088799F" w:rsidP="0088799F">
      <w:pPr>
        <w:rPr>
          <w:rFonts w:ascii="Arial" w:hAnsi="Arial" w:cs="Arial"/>
        </w:rPr>
      </w:pPr>
    </w:p>
    <w:tbl>
      <w:tblPr>
        <w:tblStyle w:val="a7"/>
        <w:tblW w:w="830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317"/>
        <w:gridCol w:w="1418"/>
        <w:gridCol w:w="2247"/>
        <w:gridCol w:w="1661"/>
      </w:tblGrid>
      <w:tr w:rsidR="0088799F" w:rsidRPr="00877130" w14:paraId="78F4BC72" w14:textId="77777777" w:rsidTr="00AB56D9">
        <w:trPr>
          <w:trHeight w:val="485"/>
          <w:jc w:val="center"/>
        </w:trPr>
        <w:tc>
          <w:tcPr>
            <w:tcW w:w="1660" w:type="dxa"/>
            <w:tcBorders>
              <w:top w:val="single" w:sz="4" w:space="0" w:color="auto"/>
              <w:bottom w:val="single" w:sz="4" w:space="0" w:color="auto"/>
            </w:tcBorders>
            <w:vAlign w:val="center"/>
          </w:tcPr>
          <w:p w14:paraId="100D902A" w14:textId="77777777" w:rsidR="0088799F" w:rsidRPr="00877130" w:rsidRDefault="0088799F" w:rsidP="00AB56D9">
            <w:pPr>
              <w:jc w:val="center"/>
              <w:rPr>
                <w:rFonts w:ascii="Arial" w:hAnsi="Arial" w:cs="Arial"/>
              </w:rPr>
            </w:pPr>
            <w:r w:rsidRPr="00877130">
              <w:rPr>
                <w:rFonts w:ascii="Arial" w:hAnsi="Arial" w:cs="Arial"/>
              </w:rPr>
              <w:t>Samples</w:t>
            </w:r>
          </w:p>
        </w:tc>
        <w:tc>
          <w:tcPr>
            <w:tcW w:w="1317" w:type="dxa"/>
            <w:tcBorders>
              <w:top w:val="single" w:sz="4" w:space="0" w:color="auto"/>
              <w:bottom w:val="single" w:sz="4" w:space="0" w:color="auto"/>
            </w:tcBorders>
            <w:vAlign w:val="center"/>
          </w:tcPr>
          <w:p w14:paraId="73605061" w14:textId="77777777" w:rsidR="0088799F" w:rsidRPr="00877130" w:rsidRDefault="0088799F" w:rsidP="00AB56D9">
            <w:pPr>
              <w:jc w:val="center"/>
              <w:rPr>
                <w:rFonts w:ascii="Arial" w:hAnsi="Arial" w:cs="Arial"/>
              </w:rPr>
            </w:pPr>
            <w:r w:rsidRPr="00877130">
              <w:rPr>
                <w:rFonts w:ascii="Arial" w:hAnsi="Arial" w:cs="Arial"/>
              </w:rPr>
              <w:t>T</w:t>
            </w:r>
          </w:p>
        </w:tc>
        <w:tc>
          <w:tcPr>
            <w:tcW w:w="1418" w:type="dxa"/>
            <w:tcBorders>
              <w:top w:val="single" w:sz="4" w:space="0" w:color="auto"/>
              <w:bottom w:val="single" w:sz="4" w:space="0" w:color="auto"/>
            </w:tcBorders>
            <w:vAlign w:val="center"/>
          </w:tcPr>
          <w:p w14:paraId="50F8911F" w14:textId="77777777" w:rsidR="0088799F" w:rsidRPr="00877130" w:rsidRDefault="0088799F" w:rsidP="00AB56D9">
            <w:pPr>
              <w:jc w:val="center"/>
              <w:rPr>
                <w:rFonts w:ascii="Arial" w:hAnsi="Arial" w:cs="Arial"/>
              </w:rPr>
            </w:pPr>
            <w:r w:rsidRPr="00877130">
              <w:rPr>
                <w:rFonts w:ascii="Arial" w:hAnsi="Arial" w:cs="Arial"/>
              </w:rPr>
              <w:t>ZP</w:t>
            </w:r>
          </w:p>
        </w:tc>
        <w:tc>
          <w:tcPr>
            <w:tcW w:w="2247" w:type="dxa"/>
            <w:tcBorders>
              <w:top w:val="single" w:sz="4" w:space="0" w:color="auto"/>
              <w:bottom w:val="single" w:sz="4" w:space="0" w:color="auto"/>
            </w:tcBorders>
            <w:vAlign w:val="center"/>
          </w:tcPr>
          <w:p w14:paraId="6AE44413" w14:textId="77777777" w:rsidR="0088799F" w:rsidRPr="00877130" w:rsidRDefault="0088799F" w:rsidP="00AB56D9">
            <w:pPr>
              <w:jc w:val="center"/>
              <w:rPr>
                <w:rFonts w:ascii="Arial" w:hAnsi="Arial" w:cs="Arial"/>
              </w:rPr>
            </w:pPr>
            <w:r w:rsidRPr="00877130">
              <w:rPr>
                <w:rFonts w:ascii="Arial" w:hAnsi="Arial" w:cs="Arial"/>
              </w:rPr>
              <w:t>Mob</w:t>
            </w:r>
          </w:p>
        </w:tc>
        <w:tc>
          <w:tcPr>
            <w:tcW w:w="1661" w:type="dxa"/>
            <w:tcBorders>
              <w:top w:val="single" w:sz="4" w:space="0" w:color="auto"/>
              <w:bottom w:val="single" w:sz="4" w:space="0" w:color="auto"/>
            </w:tcBorders>
            <w:vAlign w:val="center"/>
          </w:tcPr>
          <w:p w14:paraId="521489BB" w14:textId="77777777" w:rsidR="0088799F" w:rsidRPr="00877130" w:rsidRDefault="0088799F" w:rsidP="00AB56D9">
            <w:pPr>
              <w:jc w:val="center"/>
              <w:rPr>
                <w:rFonts w:ascii="Arial" w:hAnsi="Arial" w:cs="Arial"/>
              </w:rPr>
            </w:pPr>
            <w:r w:rsidRPr="00877130">
              <w:rPr>
                <w:rFonts w:ascii="Arial" w:hAnsi="Arial" w:cs="Arial"/>
              </w:rPr>
              <w:t>Cond</w:t>
            </w:r>
          </w:p>
        </w:tc>
      </w:tr>
      <w:tr w:rsidR="0088799F" w:rsidRPr="00877130" w14:paraId="1F57BF00" w14:textId="77777777" w:rsidTr="00AB56D9">
        <w:trPr>
          <w:trHeight w:val="465"/>
          <w:jc w:val="center"/>
        </w:trPr>
        <w:tc>
          <w:tcPr>
            <w:tcW w:w="1660" w:type="dxa"/>
            <w:vMerge w:val="restart"/>
            <w:tcBorders>
              <w:top w:val="single" w:sz="4" w:space="0" w:color="auto"/>
            </w:tcBorders>
            <w:vAlign w:val="center"/>
          </w:tcPr>
          <w:p w14:paraId="5FEE68BC" w14:textId="29C0EE7A" w:rsidR="0088799F" w:rsidRPr="00877130" w:rsidRDefault="0088799F" w:rsidP="00AB56D9">
            <w:pPr>
              <w:jc w:val="center"/>
              <w:rPr>
                <w:rFonts w:ascii="Arial" w:hAnsi="Arial" w:cs="Arial"/>
              </w:rPr>
            </w:pPr>
            <w:r w:rsidRPr="00877130">
              <w:rPr>
                <w:rFonts w:ascii="Arial" w:hAnsi="Arial" w:cs="Arial"/>
              </w:rPr>
              <w:t>EY[M]</w:t>
            </w:r>
          </w:p>
        </w:tc>
        <w:tc>
          <w:tcPr>
            <w:tcW w:w="1317" w:type="dxa"/>
            <w:tcBorders>
              <w:top w:val="single" w:sz="4" w:space="0" w:color="auto"/>
            </w:tcBorders>
            <w:vAlign w:val="center"/>
          </w:tcPr>
          <w:p w14:paraId="5834CFEF" w14:textId="77777777" w:rsidR="0088799F" w:rsidRPr="00877130" w:rsidRDefault="0088799F" w:rsidP="00AB56D9">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tcBorders>
              <w:top w:val="single" w:sz="4" w:space="0" w:color="auto"/>
            </w:tcBorders>
            <w:vAlign w:val="center"/>
          </w:tcPr>
          <w:p w14:paraId="7D19E348" w14:textId="108F4FFC" w:rsidR="0088799F" w:rsidRPr="00877130" w:rsidRDefault="0088799F" w:rsidP="00AB56D9">
            <w:pPr>
              <w:jc w:val="center"/>
              <w:rPr>
                <w:rFonts w:ascii="Arial" w:hAnsi="Arial" w:cs="Arial"/>
              </w:rPr>
            </w:pPr>
            <w:r w:rsidRPr="00877130">
              <w:rPr>
                <w:rFonts w:ascii="Arial" w:hAnsi="Arial" w:cs="Arial"/>
              </w:rPr>
              <w:t>-32.5 mV</w:t>
            </w:r>
          </w:p>
        </w:tc>
        <w:tc>
          <w:tcPr>
            <w:tcW w:w="2247" w:type="dxa"/>
            <w:tcBorders>
              <w:top w:val="single" w:sz="4" w:space="0" w:color="auto"/>
            </w:tcBorders>
            <w:vAlign w:val="center"/>
          </w:tcPr>
          <w:p w14:paraId="65312ABA" w14:textId="6B2BD613" w:rsidR="0088799F" w:rsidRPr="00877130" w:rsidRDefault="0088799F" w:rsidP="00AB56D9">
            <w:pPr>
              <w:jc w:val="center"/>
              <w:rPr>
                <w:rFonts w:ascii="Arial" w:hAnsi="Arial" w:cs="Arial"/>
              </w:rPr>
            </w:pPr>
            <w:r w:rsidRPr="00877130">
              <w:rPr>
                <w:rFonts w:ascii="Arial" w:hAnsi="Arial" w:cs="Arial"/>
              </w:rPr>
              <w:t xml:space="preserve">-2.545 </w:t>
            </w:r>
            <w:proofErr w:type="spellStart"/>
            <w:r w:rsidRPr="00877130">
              <w:rPr>
                <w:rFonts w:ascii="Arial" w:hAnsi="Arial" w:cs="Arial"/>
              </w:rPr>
              <w:t>μm</w:t>
            </w:r>
            <w:proofErr w:type="spellEnd"/>
            <w:r w:rsidRPr="00877130">
              <w:rPr>
                <w:rFonts w:ascii="Arial" w:hAnsi="Arial" w:cs="Arial"/>
              </w:rPr>
              <w:t xml:space="preserve"> cm/Vs</w:t>
            </w:r>
          </w:p>
        </w:tc>
        <w:tc>
          <w:tcPr>
            <w:tcW w:w="1661" w:type="dxa"/>
            <w:tcBorders>
              <w:top w:val="single" w:sz="4" w:space="0" w:color="auto"/>
            </w:tcBorders>
            <w:vAlign w:val="center"/>
          </w:tcPr>
          <w:p w14:paraId="2A411F3A" w14:textId="6D979F65" w:rsidR="0088799F" w:rsidRPr="00877130" w:rsidRDefault="0088799F" w:rsidP="00AB56D9">
            <w:pPr>
              <w:jc w:val="center"/>
              <w:rPr>
                <w:rFonts w:ascii="Arial" w:hAnsi="Arial" w:cs="Arial"/>
              </w:rPr>
            </w:pPr>
            <w:r w:rsidRPr="00877130">
              <w:rPr>
                <w:rFonts w:ascii="Arial" w:hAnsi="Arial" w:cs="Arial"/>
              </w:rPr>
              <w:t>0.0226 mS/cm</w:t>
            </w:r>
          </w:p>
        </w:tc>
      </w:tr>
      <w:tr w:rsidR="0088799F" w:rsidRPr="00877130" w14:paraId="0B9F1557" w14:textId="77777777" w:rsidTr="00AB56D9">
        <w:trPr>
          <w:trHeight w:val="485"/>
          <w:jc w:val="center"/>
        </w:trPr>
        <w:tc>
          <w:tcPr>
            <w:tcW w:w="1660" w:type="dxa"/>
            <w:vMerge/>
            <w:vAlign w:val="center"/>
          </w:tcPr>
          <w:p w14:paraId="04472F0E" w14:textId="77777777" w:rsidR="0088799F" w:rsidRPr="00877130" w:rsidRDefault="0088799F" w:rsidP="00AB56D9">
            <w:pPr>
              <w:jc w:val="center"/>
              <w:rPr>
                <w:rFonts w:ascii="Arial" w:hAnsi="Arial" w:cs="Arial"/>
              </w:rPr>
            </w:pPr>
          </w:p>
        </w:tc>
        <w:tc>
          <w:tcPr>
            <w:tcW w:w="1317" w:type="dxa"/>
            <w:vAlign w:val="center"/>
          </w:tcPr>
          <w:p w14:paraId="39E4ED93" w14:textId="77777777" w:rsidR="0088799F" w:rsidRPr="00877130" w:rsidRDefault="0088799F" w:rsidP="00AB56D9">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vAlign w:val="center"/>
          </w:tcPr>
          <w:p w14:paraId="1E7AF0CE" w14:textId="5670C121" w:rsidR="0088799F" w:rsidRPr="00877130" w:rsidRDefault="0088799F" w:rsidP="00AB56D9">
            <w:pPr>
              <w:jc w:val="center"/>
              <w:rPr>
                <w:rFonts w:ascii="Arial" w:hAnsi="Arial" w:cs="Arial"/>
              </w:rPr>
            </w:pPr>
            <w:r w:rsidRPr="00877130">
              <w:rPr>
                <w:rFonts w:ascii="Arial" w:hAnsi="Arial" w:cs="Arial"/>
              </w:rPr>
              <w:t>-32.3 mV</w:t>
            </w:r>
          </w:p>
        </w:tc>
        <w:tc>
          <w:tcPr>
            <w:tcW w:w="2247" w:type="dxa"/>
            <w:vAlign w:val="center"/>
          </w:tcPr>
          <w:p w14:paraId="6D74BE7D" w14:textId="1F6034DB" w:rsidR="0088799F" w:rsidRPr="00877130" w:rsidRDefault="0088799F" w:rsidP="00AB56D9">
            <w:pPr>
              <w:jc w:val="center"/>
              <w:rPr>
                <w:rFonts w:ascii="Arial" w:hAnsi="Arial" w:cs="Arial"/>
              </w:rPr>
            </w:pPr>
            <w:r w:rsidRPr="00877130">
              <w:rPr>
                <w:rFonts w:ascii="Arial" w:hAnsi="Arial" w:cs="Arial"/>
              </w:rPr>
              <w:t xml:space="preserve">-2.529 </w:t>
            </w:r>
            <w:proofErr w:type="spellStart"/>
            <w:r w:rsidRPr="00877130">
              <w:rPr>
                <w:rFonts w:ascii="Arial" w:hAnsi="Arial" w:cs="Arial"/>
              </w:rPr>
              <w:t>μm</w:t>
            </w:r>
            <w:proofErr w:type="spellEnd"/>
            <w:r w:rsidRPr="00877130">
              <w:rPr>
                <w:rFonts w:ascii="Arial" w:hAnsi="Arial" w:cs="Arial"/>
              </w:rPr>
              <w:t xml:space="preserve"> cm/Vs</w:t>
            </w:r>
          </w:p>
        </w:tc>
        <w:tc>
          <w:tcPr>
            <w:tcW w:w="1661" w:type="dxa"/>
            <w:vAlign w:val="center"/>
          </w:tcPr>
          <w:p w14:paraId="32BCAF55" w14:textId="67703B86" w:rsidR="0088799F" w:rsidRPr="00877130" w:rsidRDefault="0088799F" w:rsidP="00AB56D9">
            <w:pPr>
              <w:jc w:val="center"/>
              <w:rPr>
                <w:rFonts w:ascii="Arial" w:hAnsi="Arial" w:cs="Arial"/>
              </w:rPr>
            </w:pPr>
            <w:r w:rsidRPr="00877130">
              <w:rPr>
                <w:rFonts w:ascii="Arial" w:hAnsi="Arial" w:cs="Arial"/>
              </w:rPr>
              <w:t>0.0220 mS/cm</w:t>
            </w:r>
          </w:p>
        </w:tc>
      </w:tr>
      <w:tr w:rsidR="0088799F" w:rsidRPr="00877130" w14:paraId="2A1BC17B" w14:textId="77777777" w:rsidTr="00AB56D9">
        <w:trPr>
          <w:trHeight w:val="485"/>
          <w:jc w:val="center"/>
        </w:trPr>
        <w:tc>
          <w:tcPr>
            <w:tcW w:w="1660" w:type="dxa"/>
            <w:vMerge/>
            <w:vAlign w:val="center"/>
          </w:tcPr>
          <w:p w14:paraId="71026CB1" w14:textId="77777777" w:rsidR="0088799F" w:rsidRPr="00877130" w:rsidRDefault="0088799F" w:rsidP="00AB56D9">
            <w:pPr>
              <w:jc w:val="center"/>
              <w:rPr>
                <w:rFonts w:ascii="Arial" w:hAnsi="Arial" w:cs="Arial"/>
              </w:rPr>
            </w:pPr>
          </w:p>
        </w:tc>
        <w:tc>
          <w:tcPr>
            <w:tcW w:w="1317" w:type="dxa"/>
            <w:vAlign w:val="center"/>
          </w:tcPr>
          <w:p w14:paraId="0510A416" w14:textId="77777777" w:rsidR="0088799F" w:rsidRPr="00877130" w:rsidRDefault="0088799F" w:rsidP="00AB56D9">
            <w:pPr>
              <w:jc w:val="center"/>
              <w:rPr>
                <w:rFonts w:ascii="Arial" w:hAnsi="Arial" w:cs="Arial"/>
              </w:rPr>
            </w:pPr>
            <w:r w:rsidRPr="00877130">
              <w:rPr>
                <w:rFonts w:ascii="Arial" w:hAnsi="Arial" w:cs="Arial"/>
              </w:rPr>
              <w:t>25</w:t>
            </w:r>
            <w:r w:rsidRPr="00877130">
              <w:rPr>
                <w:rFonts w:ascii="宋体" w:eastAsia="宋体" w:hAnsi="宋体" w:cs="宋体" w:hint="eastAsia"/>
              </w:rPr>
              <w:t>℃</w:t>
            </w:r>
          </w:p>
        </w:tc>
        <w:tc>
          <w:tcPr>
            <w:tcW w:w="1418" w:type="dxa"/>
            <w:vAlign w:val="center"/>
          </w:tcPr>
          <w:p w14:paraId="6A73951D" w14:textId="677E0EB3" w:rsidR="0088799F" w:rsidRPr="00877130" w:rsidRDefault="0088799F" w:rsidP="00AB56D9">
            <w:pPr>
              <w:jc w:val="center"/>
              <w:rPr>
                <w:rFonts w:ascii="Arial" w:hAnsi="Arial" w:cs="Arial"/>
              </w:rPr>
            </w:pPr>
            <w:r w:rsidRPr="00877130">
              <w:rPr>
                <w:rFonts w:ascii="Arial" w:hAnsi="Arial" w:cs="Arial"/>
              </w:rPr>
              <w:t>-31.7 mV</w:t>
            </w:r>
          </w:p>
        </w:tc>
        <w:tc>
          <w:tcPr>
            <w:tcW w:w="2247" w:type="dxa"/>
            <w:vAlign w:val="center"/>
          </w:tcPr>
          <w:p w14:paraId="6F2C716B" w14:textId="1230DC72" w:rsidR="0088799F" w:rsidRPr="00877130" w:rsidRDefault="0088799F" w:rsidP="00AB56D9">
            <w:pPr>
              <w:jc w:val="center"/>
              <w:rPr>
                <w:rFonts w:ascii="Arial" w:hAnsi="Arial" w:cs="Arial"/>
              </w:rPr>
            </w:pPr>
            <w:r w:rsidRPr="00877130">
              <w:rPr>
                <w:rFonts w:ascii="Arial" w:hAnsi="Arial" w:cs="Arial"/>
              </w:rPr>
              <w:t xml:space="preserve">-2.486 </w:t>
            </w:r>
            <w:proofErr w:type="spellStart"/>
            <w:r w:rsidRPr="00877130">
              <w:rPr>
                <w:rFonts w:ascii="Arial" w:hAnsi="Arial" w:cs="Arial"/>
              </w:rPr>
              <w:t>μm</w:t>
            </w:r>
            <w:proofErr w:type="spellEnd"/>
            <w:r w:rsidRPr="00877130">
              <w:rPr>
                <w:rFonts w:ascii="Arial" w:hAnsi="Arial" w:cs="Arial"/>
              </w:rPr>
              <w:t xml:space="preserve"> cm/Vs</w:t>
            </w:r>
          </w:p>
        </w:tc>
        <w:tc>
          <w:tcPr>
            <w:tcW w:w="1661" w:type="dxa"/>
            <w:vAlign w:val="center"/>
          </w:tcPr>
          <w:p w14:paraId="170807B1" w14:textId="687B9E3D" w:rsidR="0088799F" w:rsidRPr="00877130" w:rsidRDefault="0088799F" w:rsidP="00AB56D9">
            <w:pPr>
              <w:jc w:val="center"/>
              <w:rPr>
                <w:rFonts w:ascii="Arial" w:hAnsi="Arial" w:cs="Arial"/>
              </w:rPr>
            </w:pPr>
            <w:r w:rsidRPr="00877130">
              <w:rPr>
                <w:rFonts w:ascii="Arial" w:hAnsi="Arial" w:cs="Arial"/>
              </w:rPr>
              <w:t>0.0268 mS/cm</w:t>
            </w:r>
          </w:p>
        </w:tc>
      </w:tr>
    </w:tbl>
    <w:p w14:paraId="699B90C4" w14:textId="46376388" w:rsidR="004C0CD9" w:rsidRDefault="004C0CD9" w:rsidP="0088799F">
      <w:pPr>
        <w:rPr>
          <w:rFonts w:ascii="Arial" w:hAnsi="Arial" w:cs="Arial"/>
        </w:rPr>
      </w:pPr>
    </w:p>
    <w:p w14:paraId="03002D9E" w14:textId="1F15FB27" w:rsidR="00FD4F41" w:rsidRDefault="0045676A">
      <w:pPr>
        <w:widowControl/>
        <w:jc w:val="left"/>
        <w:rPr>
          <w:rFonts w:ascii="Arial" w:hAnsi="Arial" w:cs="Arial"/>
        </w:rPr>
      </w:pPr>
      <w:r>
        <w:rPr>
          <w:rFonts w:ascii="Arial" w:hAnsi="Arial" w:cs="Arial"/>
        </w:rPr>
        <w:br w:type="page"/>
      </w:r>
    </w:p>
    <w:p w14:paraId="6C88DD7A" w14:textId="3D0E8025" w:rsidR="00FD4F41" w:rsidRPr="00FD4F41" w:rsidRDefault="00FD4F41" w:rsidP="00FD4F41">
      <w:pPr>
        <w:widowControl/>
        <w:jc w:val="center"/>
        <w:rPr>
          <w:rFonts w:ascii="Arial" w:hAnsi="Arial" w:cs="Arial"/>
        </w:rPr>
      </w:pPr>
      <w:r w:rsidRPr="00877130">
        <w:rPr>
          <w:rFonts w:ascii="Arial" w:hAnsi="Arial" w:cs="Arial"/>
        </w:rPr>
        <w:lastRenderedPageBreak/>
        <w:t>Tab.S</w:t>
      </w:r>
      <w:r w:rsidR="00391239">
        <w:rPr>
          <w:rFonts w:ascii="Arial" w:hAnsi="Arial" w:cs="Arial"/>
        </w:rPr>
        <w:t>2</w:t>
      </w:r>
      <w:r>
        <w:rPr>
          <w:rFonts w:ascii="Arial" w:hAnsi="Arial" w:cs="Arial"/>
        </w:rPr>
        <w:t xml:space="preserve"> </w:t>
      </w:r>
      <w:r w:rsidRPr="00571510">
        <w:rPr>
          <w:rFonts w:ascii="Arial" w:hAnsi="Arial" w:cs="Arial"/>
        </w:rPr>
        <w:t xml:space="preserve">Comparison of </w:t>
      </w:r>
      <w:r>
        <w:rPr>
          <w:rFonts w:ascii="Arial" w:hAnsi="Arial" w:cs="Arial"/>
        </w:rPr>
        <w:t>p</w:t>
      </w:r>
      <w:r w:rsidRPr="00571510">
        <w:rPr>
          <w:rFonts w:ascii="Arial" w:hAnsi="Arial" w:cs="Arial"/>
        </w:rPr>
        <w:t xml:space="preserve">erformance </w:t>
      </w:r>
      <w:r>
        <w:rPr>
          <w:rFonts w:ascii="Arial" w:hAnsi="Arial" w:cs="Arial"/>
        </w:rPr>
        <w:t>i</w:t>
      </w:r>
      <w:r w:rsidRPr="00856A36">
        <w:rPr>
          <w:rFonts w:ascii="Arial" w:hAnsi="Arial" w:cs="Arial"/>
        </w:rPr>
        <w:t>ncreased multiplier</w:t>
      </w:r>
      <w:r w:rsidRPr="00571510">
        <w:rPr>
          <w:rFonts w:ascii="Arial" w:hAnsi="Arial" w:cs="Arial"/>
        </w:rPr>
        <w:t xml:space="preserve"> </w:t>
      </w:r>
      <w:r>
        <w:rPr>
          <w:rFonts w:ascii="Arial" w:hAnsi="Arial" w:cs="Arial"/>
        </w:rPr>
        <w:t>f</w:t>
      </w:r>
      <w:r w:rsidRPr="00571510">
        <w:rPr>
          <w:rFonts w:ascii="Arial" w:hAnsi="Arial" w:cs="Arial"/>
        </w:rPr>
        <w:t xml:space="preserve">actors between </w:t>
      </w:r>
      <w:r>
        <w:rPr>
          <w:rFonts w:ascii="Arial" w:hAnsi="Arial" w:cs="Arial"/>
        </w:rPr>
        <w:t>PIL-EY[M]</w:t>
      </w:r>
      <w:r w:rsidRPr="00571510">
        <w:rPr>
          <w:rFonts w:ascii="Arial" w:hAnsi="Arial" w:cs="Arial"/>
        </w:rPr>
        <w:t xml:space="preserve"> and </w:t>
      </w:r>
      <w:r>
        <w:rPr>
          <w:rFonts w:ascii="Arial" w:hAnsi="Arial" w:cs="Arial"/>
        </w:rPr>
        <w:t>s</w:t>
      </w:r>
      <w:r w:rsidRPr="00571510">
        <w:rPr>
          <w:rFonts w:ascii="Arial" w:hAnsi="Arial" w:cs="Arial"/>
        </w:rPr>
        <w:t xml:space="preserve">imilar </w:t>
      </w:r>
      <w:r>
        <w:rPr>
          <w:rFonts w:ascii="Arial" w:hAnsi="Arial" w:cs="Arial"/>
        </w:rPr>
        <w:t>i</w:t>
      </w:r>
      <w:r w:rsidRPr="00571510">
        <w:rPr>
          <w:rFonts w:ascii="Arial" w:hAnsi="Arial" w:cs="Arial"/>
        </w:rPr>
        <w:t xml:space="preserve">midazole </w:t>
      </w:r>
      <w:r>
        <w:rPr>
          <w:rFonts w:ascii="Arial" w:hAnsi="Arial" w:cs="Arial"/>
        </w:rPr>
        <w:t>p</w:t>
      </w:r>
      <w:r w:rsidRPr="00571510">
        <w:rPr>
          <w:rFonts w:ascii="Arial" w:hAnsi="Arial" w:cs="Arial"/>
        </w:rPr>
        <w:t xml:space="preserve">hotocatalysts and </w:t>
      </w:r>
      <w:r>
        <w:rPr>
          <w:rFonts w:ascii="Arial" w:hAnsi="Arial" w:cs="Arial"/>
        </w:rPr>
        <w:t>i</w:t>
      </w:r>
      <w:r w:rsidRPr="00571510">
        <w:rPr>
          <w:rFonts w:ascii="Arial" w:hAnsi="Arial" w:cs="Arial"/>
        </w:rPr>
        <w:t xml:space="preserve">onic </w:t>
      </w:r>
      <w:r>
        <w:rPr>
          <w:rFonts w:ascii="Arial" w:hAnsi="Arial" w:cs="Arial"/>
        </w:rPr>
        <w:t>c</w:t>
      </w:r>
      <w:r w:rsidRPr="00571510">
        <w:rPr>
          <w:rFonts w:ascii="Arial" w:hAnsi="Arial" w:cs="Arial"/>
        </w:rPr>
        <w:t xml:space="preserve">omposite </w:t>
      </w:r>
      <w:r>
        <w:rPr>
          <w:rFonts w:ascii="Arial" w:hAnsi="Arial" w:cs="Arial"/>
        </w:rPr>
        <w:t>p</w:t>
      </w:r>
      <w:r w:rsidRPr="00571510">
        <w:rPr>
          <w:rFonts w:ascii="Arial" w:hAnsi="Arial" w:cs="Arial"/>
        </w:rPr>
        <w:t>hotocatalysts</w:t>
      </w:r>
      <w:r>
        <w:rPr>
          <w:rFonts w:ascii="Arial" w:hAnsi="Arial" w:cs="Arial"/>
        </w:rPr>
        <w:t>.</w:t>
      </w:r>
    </w:p>
    <w:tbl>
      <w:tblPr>
        <w:tblStyle w:val="a7"/>
        <w:tblW w:w="82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27"/>
        <w:gridCol w:w="1559"/>
        <w:gridCol w:w="1843"/>
        <w:gridCol w:w="999"/>
      </w:tblGrid>
      <w:tr w:rsidR="00FD4F41" w:rsidRPr="000B1FF9" w14:paraId="1AB0A9DD" w14:textId="77777777" w:rsidTr="00A71A78">
        <w:trPr>
          <w:trHeight w:val="735"/>
        </w:trPr>
        <w:tc>
          <w:tcPr>
            <w:tcW w:w="3828" w:type="dxa"/>
            <w:gridSpan w:val="2"/>
            <w:tcBorders>
              <w:top w:val="single" w:sz="4" w:space="0" w:color="auto"/>
              <w:bottom w:val="single" w:sz="4" w:space="0" w:color="auto"/>
            </w:tcBorders>
            <w:vAlign w:val="center"/>
          </w:tcPr>
          <w:p w14:paraId="5E65DB2E" w14:textId="77777777" w:rsidR="00FD4F41" w:rsidRPr="000B1FF9" w:rsidRDefault="00FD4F41" w:rsidP="00AD10F8">
            <w:pPr>
              <w:jc w:val="center"/>
              <w:rPr>
                <w:rFonts w:ascii="Arial" w:hAnsi="Arial" w:cs="Arial"/>
                <w:sz w:val="18"/>
                <w:szCs w:val="18"/>
              </w:rPr>
            </w:pPr>
            <w:r w:rsidRPr="000B1FF9">
              <w:rPr>
                <w:rFonts w:ascii="Arial" w:hAnsi="Arial" w:cs="Arial"/>
                <w:sz w:val="18"/>
                <w:szCs w:val="18"/>
              </w:rPr>
              <w:t>Samples</w:t>
            </w:r>
          </w:p>
        </w:tc>
        <w:tc>
          <w:tcPr>
            <w:tcW w:w="1559" w:type="dxa"/>
            <w:tcBorders>
              <w:top w:val="single" w:sz="4" w:space="0" w:color="auto"/>
              <w:bottom w:val="single" w:sz="4" w:space="0" w:color="auto"/>
            </w:tcBorders>
            <w:vAlign w:val="center"/>
          </w:tcPr>
          <w:p w14:paraId="04966621" w14:textId="77777777" w:rsidR="00FD4F41" w:rsidRPr="000B1FF9" w:rsidRDefault="00FD4F41" w:rsidP="00AD10F8">
            <w:pPr>
              <w:jc w:val="center"/>
              <w:rPr>
                <w:rFonts w:ascii="Arial" w:hAnsi="Arial" w:cs="Arial"/>
                <w:sz w:val="18"/>
                <w:szCs w:val="18"/>
              </w:rPr>
            </w:pPr>
            <w:r w:rsidRPr="000B1FF9">
              <w:rPr>
                <w:rFonts w:ascii="Arial" w:hAnsi="Arial" w:cs="Arial"/>
                <w:sz w:val="18"/>
                <w:szCs w:val="18"/>
              </w:rPr>
              <w:t>Properties</w:t>
            </w:r>
          </w:p>
        </w:tc>
        <w:tc>
          <w:tcPr>
            <w:tcW w:w="1843" w:type="dxa"/>
            <w:tcBorders>
              <w:top w:val="single" w:sz="4" w:space="0" w:color="auto"/>
              <w:bottom w:val="single" w:sz="4" w:space="0" w:color="auto"/>
            </w:tcBorders>
            <w:vAlign w:val="center"/>
          </w:tcPr>
          <w:p w14:paraId="18D8C17A" w14:textId="77777777" w:rsidR="00FD4F41" w:rsidRPr="000B1FF9" w:rsidRDefault="00FD4F41" w:rsidP="00AD10F8">
            <w:pPr>
              <w:jc w:val="center"/>
              <w:rPr>
                <w:rFonts w:ascii="Arial" w:hAnsi="Arial" w:cs="Arial"/>
                <w:sz w:val="18"/>
                <w:szCs w:val="18"/>
              </w:rPr>
            </w:pPr>
            <w:r w:rsidRPr="005C188B">
              <w:rPr>
                <w:rFonts w:ascii="Arial" w:hAnsi="Arial" w:cs="Arial"/>
                <w:sz w:val="18"/>
                <w:szCs w:val="18"/>
              </w:rPr>
              <w:t>Increased multiplier</w:t>
            </w:r>
          </w:p>
        </w:tc>
        <w:tc>
          <w:tcPr>
            <w:tcW w:w="999" w:type="dxa"/>
            <w:tcBorders>
              <w:top w:val="single" w:sz="4" w:space="0" w:color="auto"/>
              <w:bottom w:val="single" w:sz="4" w:space="0" w:color="auto"/>
            </w:tcBorders>
            <w:vAlign w:val="center"/>
          </w:tcPr>
          <w:p w14:paraId="4E8335B8" w14:textId="77777777" w:rsidR="00FD4F41" w:rsidRPr="000B1FF9" w:rsidRDefault="00FD4F41" w:rsidP="00AD10F8">
            <w:pPr>
              <w:jc w:val="center"/>
              <w:rPr>
                <w:rFonts w:ascii="Arial" w:hAnsi="Arial" w:cs="Arial"/>
                <w:sz w:val="18"/>
                <w:szCs w:val="18"/>
              </w:rPr>
            </w:pPr>
            <w:r w:rsidRPr="000B1FF9">
              <w:rPr>
                <w:rFonts w:ascii="Arial" w:hAnsi="Arial" w:cs="Arial" w:hint="eastAsia"/>
                <w:sz w:val="18"/>
                <w:szCs w:val="18"/>
              </w:rPr>
              <w:t>R</w:t>
            </w:r>
            <w:r w:rsidRPr="000B1FF9">
              <w:rPr>
                <w:rFonts w:ascii="Arial" w:hAnsi="Arial" w:cs="Arial"/>
                <w:sz w:val="18"/>
                <w:szCs w:val="18"/>
              </w:rPr>
              <w:t>ef</w:t>
            </w:r>
            <w:r>
              <w:rPr>
                <w:rFonts w:ascii="Arial" w:hAnsi="Arial" w:cs="Arial"/>
                <w:sz w:val="18"/>
                <w:szCs w:val="18"/>
              </w:rPr>
              <w:t>.</w:t>
            </w:r>
          </w:p>
        </w:tc>
      </w:tr>
      <w:tr w:rsidR="004B7C18" w:rsidRPr="000B1FF9" w14:paraId="11B604FA" w14:textId="77777777" w:rsidTr="00A71A78">
        <w:trPr>
          <w:trHeight w:val="463"/>
        </w:trPr>
        <w:tc>
          <w:tcPr>
            <w:tcW w:w="3828" w:type="dxa"/>
            <w:gridSpan w:val="2"/>
            <w:tcBorders>
              <w:top w:val="single" w:sz="4" w:space="0" w:color="auto"/>
              <w:bottom w:val="single" w:sz="4" w:space="0" w:color="auto"/>
            </w:tcBorders>
            <w:vAlign w:val="center"/>
          </w:tcPr>
          <w:p w14:paraId="2807A1B3" w14:textId="1EACDBCD" w:rsidR="004B7C18" w:rsidRPr="000B1FF9" w:rsidRDefault="004B7C18" w:rsidP="004B7C18">
            <w:pPr>
              <w:jc w:val="center"/>
              <w:rPr>
                <w:rFonts w:ascii="Arial" w:hAnsi="Arial" w:cs="Arial"/>
                <w:color w:val="1F1F1F"/>
                <w:sz w:val="18"/>
                <w:szCs w:val="18"/>
              </w:rPr>
            </w:pPr>
            <w:r>
              <w:rPr>
                <w:rFonts w:ascii="Arial" w:hAnsi="Arial" w:cs="Arial" w:hint="eastAsia"/>
                <w:color w:val="1F1F1F"/>
                <w:sz w:val="18"/>
                <w:szCs w:val="18"/>
              </w:rPr>
              <w:t>P</w:t>
            </w:r>
            <w:r>
              <w:rPr>
                <w:rFonts w:ascii="Arial" w:hAnsi="Arial" w:cs="Arial"/>
                <w:color w:val="1F1F1F"/>
                <w:sz w:val="18"/>
                <w:szCs w:val="18"/>
              </w:rPr>
              <w:t>IL</w:t>
            </w:r>
          </w:p>
        </w:tc>
        <w:tc>
          <w:tcPr>
            <w:tcW w:w="1559" w:type="dxa"/>
            <w:tcBorders>
              <w:top w:val="single" w:sz="4" w:space="0" w:color="auto"/>
              <w:bottom w:val="single" w:sz="4" w:space="0" w:color="auto"/>
            </w:tcBorders>
            <w:vAlign w:val="center"/>
          </w:tcPr>
          <w:p w14:paraId="47D31530" w14:textId="7E1AC1CC" w:rsidR="004B7C18" w:rsidRPr="000B1FF9" w:rsidRDefault="00450D7B" w:rsidP="004B7C18">
            <w:pPr>
              <w:jc w:val="center"/>
              <w:rPr>
                <w:rFonts w:ascii="Arial" w:hAnsi="Arial" w:cs="Arial"/>
                <w:sz w:val="18"/>
                <w:szCs w:val="18"/>
              </w:rPr>
            </w:pPr>
            <w:r w:rsidRPr="00450D7B">
              <w:rPr>
                <w:rFonts w:ascii="Arial" w:hAnsi="Arial" w:cs="Arial"/>
                <w:sz w:val="18"/>
                <w:szCs w:val="18"/>
              </w:rPr>
              <w:t>1228.</w:t>
            </w:r>
            <w:r>
              <w:rPr>
                <w:rFonts w:ascii="Arial" w:hAnsi="Arial" w:cs="Arial"/>
                <w:sz w:val="18"/>
                <w:szCs w:val="18"/>
              </w:rPr>
              <w:t>7</w:t>
            </w:r>
            <w:r w:rsidR="004B7C18" w:rsidRPr="000B1FF9">
              <w:rPr>
                <w:rFonts w:ascii="Arial" w:hAnsi="Arial" w:cs="Arial"/>
                <w:sz w:val="18"/>
                <w:szCs w:val="18"/>
              </w:rPr>
              <w:t xml:space="preserve"> </w:t>
            </w:r>
            <w:proofErr w:type="spellStart"/>
            <w:r w:rsidR="004B7C18" w:rsidRPr="000B1FF9">
              <w:rPr>
                <w:rFonts w:ascii="Arial" w:hAnsi="Arial" w:cs="Arial"/>
                <w:sz w:val="18"/>
                <w:szCs w:val="18"/>
              </w:rPr>
              <w:t>μmol</w:t>
            </w:r>
            <w:proofErr w:type="spellEnd"/>
            <w:r w:rsidR="004B7C18" w:rsidRPr="000B1FF9">
              <w:rPr>
                <w:rFonts w:ascii="Arial" w:hAnsi="Arial" w:cs="Arial"/>
                <w:sz w:val="18"/>
                <w:szCs w:val="18"/>
              </w:rPr>
              <w:t>/h/m</w:t>
            </w:r>
            <w:r w:rsidR="004B7C18" w:rsidRPr="000B1FF9">
              <w:rPr>
                <w:rFonts w:ascii="Arial" w:hAnsi="Arial" w:cs="Arial"/>
                <w:sz w:val="18"/>
                <w:szCs w:val="18"/>
                <w:vertAlign w:val="superscript"/>
              </w:rPr>
              <w:t>2</w:t>
            </w:r>
          </w:p>
        </w:tc>
        <w:tc>
          <w:tcPr>
            <w:tcW w:w="1843" w:type="dxa"/>
            <w:tcBorders>
              <w:top w:val="single" w:sz="4" w:space="0" w:color="auto"/>
              <w:bottom w:val="single" w:sz="4" w:space="0" w:color="auto"/>
            </w:tcBorders>
            <w:vAlign w:val="center"/>
          </w:tcPr>
          <w:p w14:paraId="07E09F05" w14:textId="2DB5D0B9" w:rsidR="004B7C18" w:rsidRPr="000B1FF9" w:rsidRDefault="004B7C18" w:rsidP="004B7C18">
            <w:pPr>
              <w:jc w:val="center"/>
              <w:rPr>
                <w:rFonts w:ascii="Arial" w:hAnsi="Arial" w:cs="Arial"/>
                <w:b/>
                <w:bCs/>
                <w:color w:val="FF0000"/>
                <w:sz w:val="18"/>
                <w:szCs w:val="18"/>
              </w:rPr>
            </w:pPr>
            <w:r w:rsidRPr="00953B50">
              <w:rPr>
                <w:rFonts w:ascii="Arial" w:hAnsi="Arial" w:cs="Arial" w:hint="eastAsia"/>
                <w:b/>
                <w:bCs/>
                <w:color w:val="FF0000"/>
                <w:sz w:val="18"/>
                <w:szCs w:val="18"/>
              </w:rPr>
              <w:t>5</w:t>
            </w:r>
            <w:r w:rsidRPr="00953B50">
              <w:rPr>
                <w:rFonts w:ascii="Arial" w:hAnsi="Arial" w:cs="Arial"/>
                <w:b/>
                <w:bCs/>
                <w:color w:val="FF0000"/>
                <w:sz w:val="18"/>
                <w:szCs w:val="18"/>
              </w:rPr>
              <w:t>7.8</w:t>
            </w:r>
            <w:r w:rsidRPr="000B1FF9">
              <w:rPr>
                <w:rFonts w:ascii="Arial" w:hAnsi="Arial" w:cs="Arial"/>
                <w:b/>
                <w:bCs/>
                <w:color w:val="FF0000"/>
                <w:sz w:val="18"/>
                <w:szCs w:val="18"/>
              </w:rPr>
              <w:t xml:space="preserve"> times</w:t>
            </w:r>
          </w:p>
        </w:tc>
        <w:tc>
          <w:tcPr>
            <w:tcW w:w="999" w:type="dxa"/>
            <w:tcBorders>
              <w:top w:val="single" w:sz="4" w:space="0" w:color="auto"/>
              <w:bottom w:val="single" w:sz="4" w:space="0" w:color="auto"/>
            </w:tcBorders>
            <w:vAlign w:val="center"/>
          </w:tcPr>
          <w:p w14:paraId="4F41285B" w14:textId="4E1903BD" w:rsidR="004B7C18" w:rsidRPr="00016BFC" w:rsidRDefault="004B7C18" w:rsidP="004B7C18">
            <w:pPr>
              <w:jc w:val="center"/>
              <w:rPr>
                <w:rFonts w:ascii="Arial" w:hAnsi="Arial" w:cs="Arial"/>
                <w:sz w:val="18"/>
                <w:szCs w:val="18"/>
              </w:rPr>
            </w:pPr>
            <w:r>
              <w:rPr>
                <w:rFonts w:ascii="Arial" w:hAnsi="Arial" w:cs="Arial" w:hint="eastAsia"/>
                <w:sz w:val="18"/>
                <w:szCs w:val="18"/>
              </w:rPr>
              <w:t>T</w:t>
            </w:r>
            <w:r>
              <w:rPr>
                <w:rFonts w:ascii="Arial" w:hAnsi="Arial" w:cs="Arial"/>
                <w:sz w:val="18"/>
                <w:szCs w:val="18"/>
              </w:rPr>
              <w:t>his work</w:t>
            </w:r>
          </w:p>
        </w:tc>
      </w:tr>
      <w:tr w:rsidR="004B7C18" w:rsidRPr="000B1FF9" w14:paraId="7EFAE674" w14:textId="77777777" w:rsidTr="00A71A78">
        <w:trPr>
          <w:trHeight w:val="735"/>
        </w:trPr>
        <w:tc>
          <w:tcPr>
            <w:tcW w:w="1701" w:type="dxa"/>
            <w:vMerge w:val="restart"/>
            <w:tcBorders>
              <w:top w:val="single" w:sz="4" w:space="0" w:color="auto"/>
            </w:tcBorders>
            <w:vAlign w:val="center"/>
          </w:tcPr>
          <w:p w14:paraId="06714AD8" w14:textId="77777777" w:rsidR="004B7C18" w:rsidRPr="000B1FF9" w:rsidRDefault="004B7C18" w:rsidP="004B7C18">
            <w:pPr>
              <w:jc w:val="center"/>
              <w:rPr>
                <w:rFonts w:ascii="Arial" w:hAnsi="Arial" w:cs="Arial"/>
                <w:color w:val="1F1F1F"/>
                <w:sz w:val="18"/>
                <w:szCs w:val="18"/>
              </w:rPr>
            </w:pPr>
            <w:r w:rsidRPr="000B1FF9">
              <w:rPr>
                <w:rFonts w:ascii="Arial" w:hAnsi="Arial" w:cs="Arial"/>
                <w:sz w:val="18"/>
                <w:szCs w:val="18"/>
              </w:rPr>
              <w:t>Comparison of Imidazole Photocatalysts</w:t>
            </w:r>
          </w:p>
        </w:tc>
        <w:tc>
          <w:tcPr>
            <w:tcW w:w="2127" w:type="dxa"/>
            <w:tcBorders>
              <w:top w:val="single" w:sz="4" w:space="0" w:color="auto"/>
            </w:tcBorders>
            <w:vAlign w:val="center"/>
          </w:tcPr>
          <w:p w14:paraId="435105DA" w14:textId="77777777" w:rsidR="004B7C18" w:rsidRPr="000B1FF9" w:rsidRDefault="004B7C18" w:rsidP="004B7C18">
            <w:pPr>
              <w:jc w:val="center"/>
              <w:rPr>
                <w:rFonts w:ascii="Arial" w:hAnsi="Arial" w:cs="Arial"/>
                <w:color w:val="1F1F1F"/>
                <w:sz w:val="18"/>
                <w:szCs w:val="18"/>
              </w:rPr>
            </w:pPr>
            <w:r w:rsidRPr="000B1FF9">
              <w:rPr>
                <w:rFonts w:ascii="Arial" w:hAnsi="Arial" w:cs="Arial"/>
                <w:color w:val="1F1F1F"/>
                <w:sz w:val="18"/>
                <w:szCs w:val="18"/>
              </w:rPr>
              <w:t>ZIF-67/DCD/Ru</w:t>
            </w:r>
          </w:p>
        </w:tc>
        <w:tc>
          <w:tcPr>
            <w:tcW w:w="1559" w:type="dxa"/>
            <w:tcBorders>
              <w:top w:val="single" w:sz="4" w:space="0" w:color="auto"/>
            </w:tcBorders>
            <w:vAlign w:val="center"/>
          </w:tcPr>
          <w:p w14:paraId="165A5DAE" w14:textId="6D67E019" w:rsidR="004B7C18" w:rsidRPr="000B1FF9" w:rsidRDefault="004B7C18" w:rsidP="004B7C18">
            <w:pPr>
              <w:jc w:val="center"/>
              <w:rPr>
                <w:rFonts w:ascii="Arial" w:hAnsi="Arial" w:cs="Arial"/>
                <w:sz w:val="18"/>
                <w:szCs w:val="18"/>
              </w:rPr>
            </w:pPr>
            <w:r w:rsidRPr="000B1FF9">
              <w:rPr>
                <w:rFonts w:ascii="Arial" w:hAnsi="Arial" w:cs="Arial"/>
                <w:sz w:val="18"/>
                <w:szCs w:val="18"/>
              </w:rPr>
              <w:t>189.</w:t>
            </w:r>
            <w:r>
              <w:rPr>
                <w:rFonts w:ascii="Arial" w:hAnsi="Arial" w:cs="Arial"/>
                <w:sz w:val="18"/>
                <w:szCs w:val="18"/>
              </w:rPr>
              <w:t>9</w:t>
            </w:r>
            <w:r w:rsidRPr="000B1FF9">
              <w:rPr>
                <w:rFonts w:ascii="Arial" w:hAnsi="Arial" w:cs="Arial"/>
                <w:sz w:val="18"/>
                <w:szCs w:val="18"/>
              </w:rPr>
              <w:t xml:space="preserve"> </w:t>
            </w:r>
            <w:proofErr w:type="spellStart"/>
            <w:r w:rsidRPr="000B1FF9">
              <w:rPr>
                <w:rFonts w:ascii="Arial" w:hAnsi="Arial" w:cs="Arial"/>
                <w:sz w:val="18"/>
                <w:szCs w:val="18"/>
              </w:rPr>
              <w:t>μmol</w:t>
            </w:r>
            <w:proofErr w:type="spellEnd"/>
            <w:r w:rsidRPr="000B1FF9">
              <w:rPr>
                <w:rFonts w:ascii="Arial" w:hAnsi="Arial" w:cs="Arial"/>
                <w:sz w:val="18"/>
                <w:szCs w:val="18"/>
              </w:rPr>
              <w:t>/h/m</w:t>
            </w:r>
            <w:r w:rsidRPr="000B1FF9">
              <w:rPr>
                <w:rFonts w:ascii="Arial" w:hAnsi="Arial" w:cs="Arial"/>
                <w:sz w:val="18"/>
                <w:szCs w:val="18"/>
                <w:vertAlign w:val="superscript"/>
              </w:rPr>
              <w:t>2</w:t>
            </w:r>
          </w:p>
        </w:tc>
        <w:tc>
          <w:tcPr>
            <w:tcW w:w="1843" w:type="dxa"/>
            <w:tcBorders>
              <w:top w:val="single" w:sz="4" w:space="0" w:color="auto"/>
            </w:tcBorders>
            <w:vAlign w:val="center"/>
          </w:tcPr>
          <w:p w14:paraId="23C89BC1"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12.2 times</w:t>
            </w:r>
          </w:p>
        </w:tc>
        <w:tc>
          <w:tcPr>
            <w:tcW w:w="999" w:type="dxa"/>
            <w:tcBorders>
              <w:top w:val="single" w:sz="4" w:space="0" w:color="auto"/>
            </w:tcBorders>
            <w:vAlign w:val="center"/>
          </w:tcPr>
          <w:p w14:paraId="620BEFC9" w14:textId="4F200E77"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&lt;EndNote&gt;&lt;Cite&gt;&lt;Author&gt;Dai&lt;/Author&gt;&lt;Year&gt;2023&lt;/Year&gt;&lt;RecNum&gt;60&lt;/RecNum&gt;&lt;DisplayText&gt;&lt;style face="superscript"&gt;1&lt;/style&gt;&lt;/DisplayText&gt;&lt;record&gt;&lt;rec-number&gt;60&lt;/rec-number&gt;&lt;foreign-keys&gt;&lt;key app="EN" db-id="9w5fevawaxf0wmefz59pfxe7zedxpwvsa5ap" timestamp="1743496424"&gt;60&lt;/key&gt;&lt;/foreign-keys&gt;&lt;ref-type name="Journal Article"&gt;17&lt;/ref-type&gt;&lt;contributors&gt;&lt;authors&gt;&lt;author&gt;Dai, Fangxu&lt;/author&gt;&lt;author&gt;Zhang, Mingming&lt;/author&gt;&lt;author&gt;Chen, Qian&lt;/author&gt;&lt;author&gt;Mi, Mingzhong&lt;/author&gt;&lt;author&gt;Li, Zhenjiang&lt;/author&gt;&lt;author&gt;Han, Jishu&lt;/author&gt;&lt;author&gt;Xing, Jun&lt;/author&gt;&lt;author&gt;Feng, Shouhua&lt;/author&gt;&lt;author&gt;Wang, Lei&lt;/author&gt;&lt;/authors&gt;&lt;/contributors&gt;&lt;titles&gt;&lt;title&gt;&lt;style face="normal" font="default" size="100%"&gt;Highly efficient CO&lt;/style&gt;&lt;style face="subscript" font="default" size="100%"&gt;2&lt;/style&gt;&lt;style face="normal" font="default" size="100%"&gt; photoreduction by ultralow-Ru-Loading ZIF-67&lt;/style&gt;&lt;/title&gt;&lt;secondary-title&gt;Applied Catalysis B: Environmental&lt;/secondary-title&gt;&lt;/titles&gt;&lt;periodical&gt;&lt;full-title&gt;Applied Catalysis B: Environmental&lt;/full-title&gt;&lt;abbr-1&gt;Appl. Catal., B&lt;/abbr-1&gt;&lt;/periodical&gt;&lt;pages&gt;122934&lt;/pages&gt;&lt;volume&gt;336&lt;/volume&gt;&lt;keywords&gt;&lt;keyword&gt;Ultra-low loading&lt;/keyword&gt;&lt;keyword&gt;Co-catalyst&lt;/keyword&gt;&lt;keyword&gt;Intermediate link&lt;/keyword&gt;&lt;keyword&gt;Photocatalytic&lt;/keyword&gt;&lt;keyword&gt;CO reduction&lt;/keyword&gt;&lt;/keywords&gt;&lt;dates&gt;&lt;year&gt;2023&lt;/year&gt;&lt;pub-dates&gt;&lt;date&gt;2023/11/05/&lt;/date&gt;&lt;/pub-dates&gt;&lt;/dates&gt;&lt;isbn&gt;0926-3373&lt;/isbn&gt;&lt;urls&gt;&lt;related-urls&gt;&lt;url&gt;https://www.sciencedirect.com/science/article/pii/S0926337323005775&lt;/url&gt;&lt;/related-urls&gt;&lt;/urls&gt;&lt;electronic-resource-num&gt;https://doi.org/10.1016/j.apcatb.2023.122934&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w:t>
            </w:r>
            <w:r w:rsidRPr="00016BFC">
              <w:rPr>
                <w:rFonts w:ascii="Arial" w:hAnsi="Arial" w:cs="Arial"/>
                <w:sz w:val="18"/>
                <w:szCs w:val="18"/>
              </w:rPr>
              <w:fldChar w:fldCharType="end"/>
            </w:r>
          </w:p>
        </w:tc>
      </w:tr>
      <w:tr w:rsidR="004B7C18" w:rsidRPr="000B1FF9" w14:paraId="4C65C76E" w14:textId="77777777" w:rsidTr="00AD10F8">
        <w:trPr>
          <w:trHeight w:val="724"/>
        </w:trPr>
        <w:tc>
          <w:tcPr>
            <w:tcW w:w="1701" w:type="dxa"/>
            <w:vMerge/>
            <w:vAlign w:val="center"/>
          </w:tcPr>
          <w:p w14:paraId="7A67FAAE" w14:textId="77777777" w:rsidR="004B7C18" w:rsidRPr="000B1FF9" w:rsidRDefault="004B7C18" w:rsidP="004B7C18">
            <w:pPr>
              <w:jc w:val="center"/>
              <w:rPr>
                <w:rFonts w:ascii="Arial" w:hAnsi="Arial" w:cs="Arial"/>
                <w:sz w:val="18"/>
                <w:szCs w:val="18"/>
              </w:rPr>
            </w:pPr>
          </w:p>
        </w:tc>
        <w:tc>
          <w:tcPr>
            <w:tcW w:w="2127" w:type="dxa"/>
            <w:vAlign w:val="center"/>
          </w:tcPr>
          <w:p w14:paraId="0208DFDF" w14:textId="77777777" w:rsidR="004B7C18" w:rsidRPr="000B1FF9" w:rsidRDefault="004B7C18" w:rsidP="004B7C18">
            <w:pPr>
              <w:jc w:val="center"/>
              <w:rPr>
                <w:rFonts w:ascii="Arial" w:hAnsi="Arial" w:cs="Arial"/>
                <w:sz w:val="18"/>
                <w:szCs w:val="18"/>
              </w:rPr>
            </w:pPr>
            <w:proofErr w:type="spellStart"/>
            <w:r w:rsidRPr="000B1FF9">
              <w:rPr>
                <w:rFonts w:ascii="Arial" w:hAnsi="Arial" w:cs="Arial"/>
                <w:sz w:val="18"/>
                <w:szCs w:val="18"/>
              </w:rPr>
              <w:t>SmL</w:t>
            </w:r>
            <w:proofErr w:type="spellEnd"/>
          </w:p>
        </w:tc>
        <w:tc>
          <w:tcPr>
            <w:tcW w:w="1559" w:type="dxa"/>
            <w:vAlign w:val="center"/>
          </w:tcPr>
          <w:p w14:paraId="29812ED4"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0.7 mmol</w:t>
            </w:r>
          </w:p>
        </w:tc>
        <w:tc>
          <w:tcPr>
            <w:tcW w:w="1843" w:type="dxa"/>
            <w:vAlign w:val="center"/>
          </w:tcPr>
          <w:p w14:paraId="5BEE3310"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5.</w:t>
            </w:r>
            <w:r>
              <w:rPr>
                <w:rFonts w:ascii="Arial" w:hAnsi="Arial" w:cs="Arial"/>
                <w:b/>
                <w:bCs/>
                <w:color w:val="FF0000"/>
                <w:sz w:val="18"/>
                <w:szCs w:val="18"/>
              </w:rPr>
              <w:t>5</w:t>
            </w:r>
            <w:r w:rsidRPr="000B1FF9">
              <w:rPr>
                <w:rFonts w:ascii="Arial" w:hAnsi="Arial" w:cs="Arial"/>
                <w:b/>
                <w:bCs/>
                <w:color w:val="FF0000"/>
                <w:sz w:val="18"/>
                <w:szCs w:val="18"/>
              </w:rPr>
              <w:t xml:space="preserve"> times</w:t>
            </w:r>
          </w:p>
        </w:tc>
        <w:tc>
          <w:tcPr>
            <w:tcW w:w="999" w:type="dxa"/>
            <w:vAlign w:val="center"/>
          </w:tcPr>
          <w:p w14:paraId="5C29D88F" w14:textId="26A2D36C"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&lt;EndNote&gt;&lt;Cite&gt;&lt;Author&gt;Bhimpuria&lt;/Author&gt;&lt;RecNum&gt;73&lt;/RecNum&gt;&lt;DisplayText&gt;&lt;style face="superscript"&gt;2&lt;/style&gt;&lt;/DisplayText&gt;&lt;record&gt;&lt;rec-number&gt;73&lt;/rec-number&gt;&lt;foreign-keys&gt;&lt;key app="EN" db-id="9w5fevawaxf0wmefz59pfxe7zedxpwvsa5ap" timestamp="1743508104"&gt;73&lt;/key&gt;&lt;/foreign-keys&gt;&lt;ref-type name="Journal Article"&gt;17&lt;/ref-type&gt;&lt;contributors&gt;&lt;authors&gt;&lt;author&gt;Bhimpuria, Rohan&lt;/author&gt;&lt;author&gt;Tomar, Monika&lt;/author&gt;&lt;author&gt;Thapper, Anders&lt;/author&gt;&lt;author&gt;Ahlquist, Mårten&lt;/author&gt;&lt;author&gt;Borbas, K. Eszter&lt;/author&gt;&lt;/authors&gt;&lt;/contributors&gt;&lt;titles&gt;&lt;title&gt;&lt;style face="normal" font="default" size="100%"&gt;Photocatalytic product-selective reduction of CO&lt;/style&gt;&lt;style face="subscript" font="default" size="100%"&gt;2&lt;/style&gt;&lt;style face="normal" font="default" size="100%"&gt;, CO, and carbonates&lt;/style&gt;&lt;/title&gt;&lt;secondary-title&gt;Chem&lt;/secondary-title&gt;&lt;/titles&gt;&lt;periodical&gt;&lt;full-title&gt;Chem&lt;/full-title&gt;&lt;abbr-1&gt;Chem&lt;/abbr-1&gt;&lt;/periodical&gt;&lt;dates&gt;&lt;/dates&gt;&lt;publisher&gt;Elsevier&lt;/publisher&gt;&lt;isbn&gt;2451-9294&lt;/isbn&gt;&lt;urls&gt;&lt;related-urls&gt;&lt;url&gt;https://doi.org/10.1016/j.chempr.2025.102450&lt;/url&gt;&lt;/related-urls&gt;&lt;/urls&gt;&lt;electronic-resource-num&gt;10.1016/j.chempr.2025.102450&lt;/electronic-resource-num&gt;&lt;access-date&gt;2025/04/01&lt;/access-date&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2</w:t>
            </w:r>
            <w:r w:rsidRPr="00016BFC">
              <w:rPr>
                <w:rFonts w:ascii="Arial" w:hAnsi="Arial" w:cs="Arial"/>
                <w:sz w:val="18"/>
                <w:szCs w:val="18"/>
              </w:rPr>
              <w:fldChar w:fldCharType="end"/>
            </w:r>
          </w:p>
        </w:tc>
      </w:tr>
      <w:tr w:rsidR="004B7C18" w:rsidRPr="000B1FF9" w14:paraId="7719C2ED" w14:textId="77777777" w:rsidTr="00AD10F8">
        <w:trPr>
          <w:trHeight w:val="718"/>
        </w:trPr>
        <w:tc>
          <w:tcPr>
            <w:tcW w:w="1701" w:type="dxa"/>
            <w:vMerge/>
            <w:vAlign w:val="center"/>
          </w:tcPr>
          <w:p w14:paraId="77A0ACDC" w14:textId="77777777" w:rsidR="004B7C18" w:rsidRPr="000B1FF9" w:rsidRDefault="004B7C18" w:rsidP="004B7C18">
            <w:pPr>
              <w:jc w:val="center"/>
              <w:rPr>
                <w:rFonts w:ascii="Arial" w:hAnsi="Arial" w:cs="Arial"/>
                <w:sz w:val="18"/>
                <w:szCs w:val="18"/>
              </w:rPr>
            </w:pPr>
          </w:p>
        </w:tc>
        <w:tc>
          <w:tcPr>
            <w:tcW w:w="2127" w:type="dxa"/>
            <w:vAlign w:val="center"/>
          </w:tcPr>
          <w:p w14:paraId="6A147552"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TiO</w:t>
            </w:r>
            <w:r w:rsidRPr="000B1FF9">
              <w:rPr>
                <w:rFonts w:ascii="Arial" w:hAnsi="Arial" w:cs="Arial"/>
                <w:sz w:val="18"/>
                <w:szCs w:val="18"/>
                <w:vertAlign w:val="subscript"/>
              </w:rPr>
              <w:t>2</w:t>
            </w:r>
            <w:r w:rsidRPr="000B1FF9">
              <w:rPr>
                <w:rFonts w:ascii="Arial" w:hAnsi="Arial" w:cs="Arial"/>
                <w:sz w:val="18"/>
                <w:szCs w:val="18"/>
              </w:rPr>
              <w:t>/</w:t>
            </w:r>
            <w:proofErr w:type="spellStart"/>
            <w:r w:rsidRPr="000B1FF9">
              <w:rPr>
                <w:rFonts w:ascii="Arial" w:hAnsi="Arial" w:cs="Arial"/>
                <w:sz w:val="18"/>
                <w:szCs w:val="18"/>
              </w:rPr>
              <w:t>NiIP</w:t>
            </w:r>
            <w:proofErr w:type="spellEnd"/>
            <w:r w:rsidRPr="000B1FF9">
              <w:rPr>
                <w:rFonts w:ascii="Arial" w:hAnsi="Arial" w:cs="Arial"/>
                <w:sz w:val="18"/>
                <w:szCs w:val="18"/>
              </w:rPr>
              <w:t>-NSs</w:t>
            </w:r>
          </w:p>
        </w:tc>
        <w:tc>
          <w:tcPr>
            <w:tcW w:w="1559" w:type="dxa"/>
            <w:vAlign w:val="center"/>
          </w:tcPr>
          <w:p w14:paraId="2DE5BF4E"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54.9 mmol/g/h</w:t>
            </w:r>
          </w:p>
        </w:tc>
        <w:tc>
          <w:tcPr>
            <w:tcW w:w="1843" w:type="dxa"/>
            <w:vAlign w:val="center"/>
          </w:tcPr>
          <w:p w14:paraId="61E8D81E"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4.3 times</w:t>
            </w:r>
          </w:p>
        </w:tc>
        <w:tc>
          <w:tcPr>
            <w:tcW w:w="999" w:type="dxa"/>
            <w:vAlign w:val="center"/>
          </w:tcPr>
          <w:p w14:paraId="3CB7ED5C" w14:textId="28A6B401"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&lt;EndNote&gt;&lt;Cite&gt;&lt;Author&gt;Wu&lt;/Author&gt;&lt;Year&gt;2025&lt;/Year&gt;&lt;RecNum&gt;61&lt;/RecNum&gt;&lt;DisplayText&gt;&lt;style face="superscript"&gt;3&lt;/style&gt;&lt;/DisplayText&gt;&lt;record&gt;&lt;rec-number&gt;61&lt;/rec-number&gt;&lt;foreign-keys&gt;&lt;key app="EN" db-id="9w5fevawaxf0wmefz59pfxe7zedxpwvsa5ap" timestamp="1743496577"&gt;61&lt;/key&gt;&lt;/foreign-keys&gt;&lt;ref-type name="Journal Article"&gt;17&lt;/ref-type&gt;&lt;contributors&gt;&lt;authors&gt;&lt;author&gt;Wu, Can&lt;/author&gt;&lt;author&gt;Song, Ke&lt;/author&gt;&lt;author&gt;Zhang, Xiting&lt;/author&gt;&lt;author&gt;Tan, Bien&lt;/author&gt;&lt;author&gt;Liao, Rongzhen&lt;/author&gt;&lt;author&gt;Liu, Zhao-Qing&lt;/author&gt;&lt;author&gt;Zhu, Huaiyong&lt;/author&gt;&lt;author&gt;Wang, Jingyu&lt;/author&gt;&lt;/authors&gt;&lt;/contributors&gt;&lt;titles&gt;&lt;title&gt;&lt;style face="normal" font="default" size="100%"&gt;Highly Efficient Photocatalytic CO&lt;/style&gt;&lt;style face="subscript" font="default" size="100%"&gt;2&lt;/style&gt;&lt;style face="normal" font="default" size="100%"&gt;-to-CO on Ni-Based Cationic Polymer with TiO&lt;/style&gt;&lt;style face="subscript" font="default" size="100%"&gt;2&lt;/style&gt;&lt;style face="normal" font="default" size="100%"&gt;-Assisted Exfoliation and Stabilization&lt;/style&gt;&lt;/title&gt;&lt;secondary-title&gt;Angewandte Chemie International Edition&lt;/secondary-title&gt;&lt;/titles&gt;&lt;periodical&gt;&lt;full-title&gt;Angewandte Chemie International Edition&lt;/full-title&gt;&lt;abbr-1&gt;Angew. Chem., Int. Ed.&lt;/abbr-1&gt;&lt;/periodical&gt;&lt;pages&gt;e202423200&lt;/pages&gt;&lt;volume&gt;64&lt;/volume&gt;&lt;number&gt;13&lt;/number&gt;&lt;keywords&gt;&lt;keyword&gt;Layered Ni-imidazolium-based polymer&lt;/keyword&gt;&lt;keyword&gt;TiO2-assisted exfoliation&lt;/keyword&gt;&lt;keyword&gt;Photocatalytic CO2 reaction&lt;/keyword&gt;&lt;keyword&gt;Porous structure&lt;/keyword&gt;&lt;keyword&gt;Ni active sites&lt;/keyword&gt;&lt;/keywords&gt;&lt;dates&gt;&lt;year&gt;2025&lt;/year&gt;&lt;pub-dates&gt;&lt;date&gt;2025/03/24&lt;/date&gt;&lt;/pub-dates&gt;&lt;/dates&gt;&lt;publisher&gt;John Wiley &amp;amp; Sons, Ltd&lt;/publisher&gt;&lt;isbn&gt;1433-7851&lt;/isbn&gt;&lt;urls&gt;&lt;related-urls&gt;&lt;url&gt;https://doi.org/10.1002/anie.202423200&lt;/url&gt;&lt;/related-urls&gt;&lt;/urls&gt;&lt;electronic-resource-num&gt;https://doi.org/10.1002/anie.202423200&lt;/electronic-resource-num&gt;&lt;access-date&gt;2025/04/01&lt;/access-date&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3</w:t>
            </w:r>
            <w:r w:rsidRPr="00016BFC">
              <w:rPr>
                <w:rFonts w:ascii="Arial" w:hAnsi="Arial" w:cs="Arial"/>
                <w:sz w:val="18"/>
                <w:szCs w:val="18"/>
              </w:rPr>
              <w:fldChar w:fldCharType="end"/>
            </w:r>
          </w:p>
        </w:tc>
      </w:tr>
      <w:tr w:rsidR="004B7C18" w:rsidRPr="000B1FF9" w14:paraId="168053B0" w14:textId="77777777" w:rsidTr="00AD10F8">
        <w:trPr>
          <w:trHeight w:val="688"/>
        </w:trPr>
        <w:tc>
          <w:tcPr>
            <w:tcW w:w="1701" w:type="dxa"/>
            <w:vMerge/>
            <w:vAlign w:val="center"/>
          </w:tcPr>
          <w:p w14:paraId="3257FC81" w14:textId="77777777" w:rsidR="004B7C18" w:rsidRPr="000B1FF9" w:rsidRDefault="004B7C18" w:rsidP="004B7C18">
            <w:pPr>
              <w:jc w:val="center"/>
              <w:rPr>
                <w:rFonts w:ascii="Arial" w:hAnsi="Arial" w:cs="Arial"/>
                <w:sz w:val="18"/>
                <w:szCs w:val="18"/>
              </w:rPr>
            </w:pPr>
          </w:p>
        </w:tc>
        <w:tc>
          <w:tcPr>
            <w:tcW w:w="2127" w:type="dxa"/>
            <w:vAlign w:val="center"/>
          </w:tcPr>
          <w:p w14:paraId="747EA4D2"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Ni-TCPP-</w:t>
            </w:r>
            <w:proofErr w:type="spellStart"/>
            <w:r w:rsidRPr="000B1FF9">
              <w:rPr>
                <w:rFonts w:ascii="Arial" w:hAnsi="Arial" w:cs="Arial"/>
                <w:sz w:val="18"/>
                <w:szCs w:val="18"/>
              </w:rPr>
              <w:t>TPyP</w:t>
            </w:r>
            <w:proofErr w:type="spellEnd"/>
          </w:p>
        </w:tc>
        <w:tc>
          <w:tcPr>
            <w:tcW w:w="1559" w:type="dxa"/>
            <w:vAlign w:val="center"/>
          </w:tcPr>
          <w:p w14:paraId="398602D4"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309.3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vAlign w:val="center"/>
          </w:tcPr>
          <w:p w14:paraId="65274047"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11.</w:t>
            </w:r>
            <w:r>
              <w:rPr>
                <w:rFonts w:ascii="Arial" w:hAnsi="Arial" w:cs="Arial"/>
                <w:b/>
                <w:bCs/>
                <w:color w:val="FF0000"/>
                <w:sz w:val="18"/>
                <w:szCs w:val="18"/>
              </w:rPr>
              <w:t xml:space="preserve">1 </w:t>
            </w:r>
            <w:r w:rsidRPr="000B1FF9">
              <w:rPr>
                <w:rFonts w:ascii="Arial" w:hAnsi="Arial" w:cs="Arial"/>
                <w:b/>
                <w:bCs/>
                <w:color w:val="FF0000"/>
                <w:sz w:val="18"/>
                <w:szCs w:val="18"/>
              </w:rPr>
              <w:t>times</w:t>
            </w:r>
          </w:p>
        </w:tc>
        <w:tc>
          <w:tcPr>
            <w:tcW w:w="999" w:type="dxa"/>
            <w:vAlign w:val="center"/>
          </w:tcPr>
          <w:p w14:paraId="2DD9C5A7" w14:textId="72D29C97"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&lt;EndNote&gt;&lt;Cite&gt;&lt;Author&gt;Zhang&lt;/Author&gt;&lt;Year&gt;2024&lt;/Year&gt;&lt;RecNum&gt;71&lt;/RecNum&gt;&lt;DisplayText&gt;&lt;style face="superscript"&gt;4&lt;/style&gt;&lt;/DisplayText&gt;&lt;record&gt;&lt;rec-number&gt;71&lt;/rec-number&gt;&lt;foreign-keys&gt;&lt;key app="EN" db-id="9w5fevawaxf0wmefz59pfxe7zedxpwvsa5ap" timestamp="1743497673"&gt;71&lt;/key&gt;&lt;/foreign-keys&gt;&lt;ref-type name="Journal Article"&gt;17&lt;/ref-type&gt;&lt;contributors&gt;&lt;authors&gt;&lt;author&gt;Zhang, Yaqin&lt;/author&gt;&lt;author&gt;Li, Ping&lt;/author&gt;&lt;author&gt;Cui, Peng&lt;/author&gt;&lt;author&gt;Hu, Xunliang&lt;/author&gt;&lt;author&gt;Shu, Chang&lt;/author&gt;&lt;author&gt;Sun, Ruixue&lt;/author&gt;&lt;author&gt;Peng, Mengjie&lt;/author&gt;&lt;author&gt;Tan, Bien&lt;/author&gt;&lt;author&gt;Wang, Xiaoyan&lt;/author&gt;&lt;/authors&gt;&lt;/contributors&gt;&lt;titles&gt;&lt;title&gt;&lt;style face="normal" font="default" size="100%"&gt;Precisely Constructing Molecular Junctions in Hydrogen-Bonded Organic Frameworks for Efficient Artificial Photosynthetic CO&lt;/style&gt;&lt;style face="subscript" font="default" size="100%"&gt;2 &lt;/style&gt;&lt;style face="normal" font="default" size="100%"&gt;Reduction&lt;/style&gt;&lt;/title&gt;&lt;secondary-title&gt;Angewandte Chemie International Edition&lt;/secondary-title&gt;&lt;/titles&gt;&lt;periodical&gt;&lt;full-title&gt;Angewandte Chemie International Edition&lt;/full-title&gt;&lt;abbr-1&gt;Angew. Chem., Int. Ed.&lt;/abbr-1&gt;&lt;/periodical&gt;&lt;pages&gt;e202413131&lt;/pages&gt;&lt;volume&gt;63&lt;/volume&gt;&lt;number&gt;46&lt;/number&gt;&lt;dates&gt;&lt;year&gt;2024&lt;/year&gt;&lt;/dates&gt;&lt;isbn&gt;1433-7851&lt;/isbn&gt;&lt;urls&gt;&lt;related-urls&gt;&lt;url&gt;https://onlinelibrary.wiley.com/doi/abs/10.1002/anie.202413131&lt;/url&gt;&lt;/related-urls&gt;&lt;/urls&gt;&lt;electronic-resource-num&gt;https://doi.org/10.1002/anie.202413131&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4</w:t>
            </w:r>
            <w:r w:rsidRPr="00016BFC">
              <w:rPr>
                <w:rFonts w:ascii="Arial" w:hAnsi="Arial" w:cs="Arial"/>
                <w:sz w:val="18"/>
                <w:szCs w:val="18"/>
              </w:rPr>
              <w:fldChar w:fldCharType="end"/>
            </w:r>
          </w:p>
        </w:tc>
      </w:tr>
      <w:tr w:rsidR="004B7C18" w:rsidRPr="000B1FF9" w14:paraId="70DF0077" w14:textId="77777777" w:rsidTr="00AD10F8">
        <w:trPr>
          <w:trHeight w:val="735"/>
        </w:trPr>
        <w:tc>
          <w:tcPr>
            <w:tcW w:w="1701" w:type="dxa"/>
            <w:vMerge/>
            <w:vAlign w:val="center"/>
          </w:tcPr>
          <w:p w14:paraId="54174D5F" w14:textId="77777777" w:rsidR="004B7C18" w:rsidRPr="000B1FF9" w:rsidRDefault="004B7C18" w:rsidP="004B7C18">
            <w:pPr>
              <w:jc w:val="center"/>
              <w:rPr>
                <w:rFonts w:ascii="Arial" w:hAnsi="Arial" w:cs="Arial"/>
                <w:sz w:val="18"/>
                <w:szCs w:val="18"/>
              </w:rPr>
            </w:pPr>
          </w:p>
        </w:tc>
        <w:tc>
          <w:tcPr>
            <w:tcW w:w="2127" w:type="dxa"/>
            <w:vAlign w:val="center"/>
          </w:tcPr>
          <w:p w14:paraId="1D000576"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3DOM Co-SNS</w:t>
            </w:r>
          </w:p>
        </w:tc>
        <w:tc>
          <w:tcPr>
            <w:tcW w:w="1559" w:type="dxa"/>
            <w:vAlign w:val="center"/>
          </w:tcPr>
          <w:p w14:paraId="24DE5271"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347.3 </w:t>
            </w:r>
            <w:proofErr w:type="spellStart"/>
            <w:r w:rsidRPr="000B1FF9">
              <w:rPr>
                <w:rFonts w:ascii="Arial" w:hAnsi="Arial" w:cs="Arial"/>
                <w:sz w:val="18"/>
                <w:szCs w:val="18"/>
              </w:rPr>
              <w:t>μmol</w:t>
            </w:r>
            <w:proofErr w:type="spellEnd"/>
            <w:r w:rsidRPr="000B1FF9">
              <w:rPr>
                <w:rFonts w:ascii="Arial" w:hAnsi="Arial" w:cs="Arial"/>
                <w:sz w:val="18"/>
                <w:szCs w:val="18"/>
              </w:rPr>
              <w:t>/h</w:t>
            </w:r>
          </w:p>
        </w:tc>
        <w:tc>
          <w:tcPr>
            <w:tcW w:w="1843" w:type="dxa"/>
            <w:vAlign w:val="center"/>
          </w:tcPr>
          <w:p w14:paraId="000D72F9"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8</w:t>
            </w:r>
            <w:r>
              <w:rPr>
                <w:rFonts w:ascii="Arial" w:hAnsi="Arial" w:cs="Arial"/>
                <w:b/>
                <w:bCs/>
                <w:color w:val="FF0000"/>
                <w:sz w:val="18"/>
                <w:szCs w:val="18"/>
              </w:rPr>
              <w:t>.0</w:t>
            </w:r>
            <w:r w:rsidRPr="000B1FF9">
              <w:rPr>
                <w:rFonts w:ascii="Arial" w:hAnsi="Arial" w:cs="Arial"/>
                <w:b/>
                <w:bCs/>
                <w:color w:val="FF0000"/>
                <w:sz w:val="18"/>
                <w:szCs w:val="18"/>
              </w:rPr>
              <w:t xml:space="preserve"> times</w:t>
            </w:r>
          </w:p>
        </w:tc>
        <w:tc>
          <w:tcPr>
            <w:tcW w:w="999" w:type="dxa"/>
            <w:vAlign w:val="center"/>
          </w:tcPr>
          <w:p w14:paraId="1F007D98" w14:textId="5D9EA8BD"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&lt;EndNote&gt;&lt;Cite&gt;&lt;Author&gt;Lyu&lt;/Author&gt;&lt;Year&gt;2024&lt;/Year&gt;&lt;RecNum&gt;62&lt;/RecNum&gt;&lt;DisplayText&gt;&lt;style face="superscript"&gt;5&lt;/style&gt;&lt;/DisplayText&gt;&lt;record&gt;&lt;rec-number&gt;62&lt;/rec-number&gt;&lt;foreign-keys&gt;&lt;key app="EN" db-id="9w5fevawaxf0wmefz59pfxe7zedxpwvsa5ap" timestamp="1743497025"&gt;62&lt;/key&gt;&lt;/foreign-keys&gt;&lt;ref-type name="Journal Article"&gt;17&lt;/ref-type&gt;&lt;contributors&gt;&lt;authors&gt;&lt;author&gt;Lyu, Wenyuan&lt;/author&gt;&lt;author&gt;Liu, Yang&lt;/author&gt;&lt;author&gt;Chen, Datong&lt;/author&gt;&lt;author&gt;Wang, Fengliang&lt;/author&gt;&lt;author&gt;Li, Yingwei&lt;/author&gt;&lt;/authors&gt;&lt;/contributors&gt;&lt;titles&gt;&lt;title&gt;&lt;style face="normal" font="default" size="100%"&gt;Engineering the electron localization of metal sites on nanosheets assembled periodic macropores for CO&lt;/style&gt;&lt;style face="subscript" font="default" size="100%"&gt;2 &lt;/style&gt;&lt;style face="normal" font="default" size="100%"&gt;photoreduction&lt;/style&gt;&lt;/title&gt;&lt;secondary-title&gt;Nature Communications&lt;/secondary-title&gt;&lt;/titles&gt;&lt;periodical&gt;&lt;full-title&gt;Nature Communications&lt;/full-title&gt;&lt;abbr-1&gt;Nat. Commun.&lt;/abbr-1&gt;&lt;/periodical&gt;&lt;pages&gt;10589&lt;/pages&gt;&lt;volume&gt;15&lt;/volume&gt;&lt;number&gt;1&lt;/number&gt;&lt;dates&gt;&lt;year&gt;2024&lt;/year&gt;&lt;pub-dates&gt;&lt;date&gt;2024/12/04&lt;/date&gt;&lt;/pub-dates&gt;&lt;/dates&gt;&lt;isbn&gt;2041-1723&lt;/isbn&gt;&lt;urls&gt;&lt;related-urls&gt;&lt;url&gt;https://doi.org/10.1038/s41467-024-54988-3&lt;/url&gt;&lt;/related-urls&gt;&lt;/urls&gt;&lt;electronic-resource-num&gt;10.1038/s41467-024-54988-3&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5</w:t>
            </w:r>
            <w:r w:rsidRPr="00016BFC">
              <w:rPr>
                <w:rFonts w:ascii="Arial" w:hAnsi="Arial" w:cs="Arial"/>
                <w:sz w:val="18"/>
                <w:szCs w:val="18"/>
              </w:rPr>
              <w:fldChar w:fldCharType="end"/>
            </w:r>
          </w:p>
        </w:tc>
      </w:tr>
      <w:tr w:rsidR="004B7C18" w:rsidRPr="000B1FF9" w14:paraId="05E5B0EA" w14:textId="77777777" w:rsidTr="00AD10F8">
        <w:trPr>
          <w:trHeight w:val="735"/>
        </w:trPr>
        <w:tc>
          <w:tcPr>
            <w:tcW w:w="1701" w:type="dxa"/>
            <w:vMerge/>
            <w:vAlign w:val="center"/>
          </w:tcPr>
          <w:p w14:paraId="3621D150" w14:textId="77777777" w:rsidR="004B7C18" w:rsidRPr="000B1FF9" w:rsidRDefault="004B7C18" w:rsidP="004B7C18">
            <w:pPr>
              <w:jc w:val="center"/>
              <w:rPr>
                <w:rFonts w:ascii="Arial" w:hAnsi="Arial" w:cs="Arial"/>
                <w:sz w:val="18"/>
                <w:szCs w:val="18"/>
              </w:rPr>
            </w:pPr>
          </w:p>
        </w:tc>
        <w:tc>
          <w:tcPr>
            <w:tcW w:w="2127" w:type="dxa"/>
            <w:vAlign w:val="center"/>
          </w:tcPr>
          <w:p w14:paraId="4A67BC1C"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PFC-73-Ni/Cu/Zn</w:t>
            </w:r>
          </w:p>
        </w:tc>
        <w:tc>
          <w:tcPr>
            <w:tcW w:w="1559" w:type="dxa"/>
            <w:vAlign w:val="center"/>
          </w:tcPr>
          <w:p w14:paraId="08A8540B"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14.7</w:t>
            </w:r>
            <w:r w:rsidRPr="000B1FF9">
              <w:rPr>
                <w:rFonts w:ascii="Arial" w:eastAsia="MS Gothic" w:hAnsi="Arial" w:cs="Arial"/>
                <w:sz w:val="18"/>
                <w:szCs w:val="18"/>
              </w:rPr>
              <w:t> </w:t>
            </w:r>
            <w:proofErr w:type="spellStart"/>
            <w:r w:rsidRPr="000B1FF9">
              <w:rPr>
                <w:rFonts w:ascii="Arial" w:eastAsia="等线" w:hAnsi="Arial" w:cs="Arial"/>
                <w:sz w:val="18"/>
                <w:szCs w:val="18"/>
              </w:rPr>
              <w:t>μ</w:t>
            </w:r>
            <w:r w:rsidRPr="000B1FF9">
              <w:rPr>
                <w:rFonts w:ascii="Arial" w:hAnsi="Arial" w:cs="Arial"/>
                <w:sz w:val="18"/>
                <w:szCs w:val="18"/>
              </w:rPr>
              <w:t>mol</w:t>
            </w:r>
            <w:proofErr w:type="spellEnd"/>
            <w:r w:rsidRPr="000B1FF9">
              <w:rPr>
                <w:rFonts w:ascii="Arial" w:hAnsi="Arial" w:cs="Arial"/>
                <w:sz w:val="18"/>
                <w:szCs w:val="18"/>
              </w:rPr>
              <w:t>/g/h</w:t>
            </w:r>
          </w:p>
        </w:tc>
        <w:tc>
          <w:tcPr>
            <w:tcW w:w="1843" w:type="dxa"/>
            <w:vAlign w:val="center"/>
          </w:tcPr>
          <w:p w14:paraId="3CACE39E"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1.5 times</w:t>
            </w:r>
          </w:p>
        </w:tc>
        <w:tc>
          <w:tcPr>
            <w:tcW w:w="999" w:type="dxa"/>
            <w:vAlign w:val="center"/>
          </w:tcPr>
          <w:p w14:paraId="4FA4F206" w14:textId="452276E8"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&lt;EndNote&gt;&lt;Cite&gt;&lt;Author&gt;Yin&lt;/Author&gt;&lt;Year&gt;2022&lt;/Year&gt;&lt;RecNum&gt;72&lt;/RecNum&gt;&lt;DisplayText&gt;&lt;style face="superscript"&gt;6&lt;/style&gt;&lt;/DisplayText&gt;&lt;record&gt;&lt;rec-number&gt;72&lt;/rec-number&gt;&lt;foreign-keys&gt;&lt;key app="EN" db-id="9w5fevawaxf0wmefz59pfxe7zedxpwvsa5ap" timestamp="1743497887"&gt;72&lt;/key&gt;&lt;/foreign-keys&gt;&lt;ref-type name="Journal Article"&gt;17&lt;/ref-type&gt;&lt;contributors&gt;&lt;authors&gt;&lt;author&gt;Yin, Qi&lt;/author&gt;&lt;author&gt;Alexandrov, Eugeny V.&lt;/author&gt;&lt;author&gt;Si, Duan-Hui&lt;/author&gt;&lt;author&gt;Huang, Qian-Qian&lt;/author&gt;&lt;author&gt;Fang, Zhi-Bin&lt;/author&gt;&lt;author&gt;Zhang, Yuan&lt;/author&gt;&lt;author&gt;Zhang, An-An&lt;/author&gt;&lt;author&gt;Qin, Wei-Kang&lt;/author&gt;&lt;author&gt;Li, Yu-Lin&lt;/author&gt;&lt;author&gt;Liu, Tian-Fu&lt;/author&gt;&lt;author&gt;Proserpio, Davide M.&lt;/author&gt;&lt;/authors&gt;&lt;/contributors&gt;&lt;titles&gt;&lt;title&gt;&lt;style face="normal" font="default" size="100%"&gt;Metallization-Prompted Robust Porphyrin-Based Hydrogen-Bonded Organic Frameworks for Photocatalytic CO&lt;/style&gt;&lt;style face="subscript" font="default" size="100%"&gt;2&lt;/style&gt;&lt;style face="normal" font="default" size="100%"&gt; Reduction&lt;/style&gt;&lt;/title&gt;&lt;secondary-title&gt;Angewandte Chemie International Edition&lt;/secondary-title&gt;&lt;/titles&gt;&lt;periodical&gt;&lt;full-title&gt;Angewandte Chemie International Edition&lt;/full-title&gt;&lt;abbr-1&gt;Angew. Chem., Int. Ed.&lt;/abbr-1&gt;&lt;/periodical&gt;&lt;pages&gt;e202115854&lt;/pages&gt;&lt;volume&gt;61&lt;/volume&gt;&lt;number&gt;6&lt;/number&gt;&lt;dates&gt;&lt;year&gt;2022&lt;/year&gt;&lt;/dates&gt;&lt;isbn&gt;1433-7851&lt;/isbn&gt;&lt;urls&gt;&lt;related-urls&gt;&lt;url&gt;https://onlinelibrary.wiley.com/doi/abs/10.1002/anie.202115854&lt;/url&gt;&lt;/related-urls&gt;&lt;/urls&gt;&lt;electronic-resource-num&gt;https://doi.org/10.1002/anie.202115854&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6</w:t>
            </w:r>
            <w:r w:rsidRPr="00016BFC">
              <w:rPr>
                <w:rFonts w:ascii="Arial" w:hAnsi="Arial" w:cs="Arial"/>
                <w:sz w:val="18"/>
                <w:szCs w:val="18"/>
              </w:rPr>
              <w:fldChar w:fldCharType="end"/>
            </w:r>
          </w:p>
        </w:tc>
      </w:tr>
      <w:tr w:rsidR="004B7C18" w:rsidRPr="000B1FF9" w14:paraId="6575A0E3" w14:textId="77777777" w:rsidTr="00AD10F8">
        <w:trPr>
          <w:trHeight w:val="735"/>
        </w:trPr>
        <w:tc>
          <w:tcPr>
            <w:tcW w:w="1701" w:type="dxa"/>
            <w:vMerge/>
            <w:tcBorders>
              <w:bottom w:val="single" w:sz="4" w:space="0" w:color="auto"/>
            </w:tcBorders>
            <w:vAlign w:val="center"/>
          </w:tcPr>
          <w:p w14:paraId="57C0C797" w14:textId="77777777" w:rsidR="004B7C18" w:rsidRPr="000B1FF9" w:rsidRDefault="004B7C18" w:rsidP="004B7C18">
            <w:pPr>
              <w:jc w:val="center"/>
              <w:rPr>
                <w:rFonts w:ascii="Arial" w:hAnsi="Arial" w:cs="Arial"/>
                <w:sz w:val="18"/>
                <w:szCs w:val="18"/>
              </w:rPr>
            </w:pPr>
          </w:p>
        </w:tc>
        <w:tc>
          <w:tcPr>
            <w:tcW w:w="2127" w:type="dxa"/>
            <w:tcBorders>
              <w:bottom w:val="single" w:sz="4" w:space="0" w:color="auto"/>
            </w:tcBorders>
            <w:vAlign w:val="center"/>
          </w:tcPr>
          <w:p w14:paraId="19B5C9BE"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3DOM Ag</w:t>
            </w:r>
            <w:r w:rsidRPr="000B1FF9">
              <w:rPr>
                <w:rFonts w:ascii="Arial" w:hAnsi="Arial" w:cs="Arial"/>
                <w:sz w:val="18"/>
                <w:szCs w:val="18"/>
                <w:vertAlign w:val="subscript"/>
              </w:rPr>
              <w:t>2</w:t>
            </w:r>
            <w:r w:rsidRPr="000B1FF9">
              <w:rPr>
                <w:rFonts w:ascii="Arial" w:hAnsi="Arial" w:cs="Arial"/>
                <w:sz w:val="18"/>
                <w:szCs w:val="18"/>
              </w:rPr>
              <w:t>S-CoOx/NC</w:t>
            </w:r>
          </w:p>
        </w:tc>
        <w:tc>
          <w:tcPr>
            <w:tcW w:w="1559" w:type="dxa"/>
            <w:tcBorders>
              <w:bottom w:val="single" w:sz="4" w:space="0" w:color="auto"/>
            </w:tcBorders>
            <w:vAlign w:val="center"/>
          </w:tcPr>
          <w:p w14:paraId="6E09485A"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66.0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tcBorders>
              <w:bottom w:val="single" w:sz="4" w:space="0" w:color="auto"/>
            </w:tcBorders>
            <w:vAlign w:val="center"/>
          </w:tcPr>
          <w:p w14:paraId="752985B9"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1.8 times</w:t>
            </w:r>
          </w:p>
        </w:tc>
        <w:tc>
          <w:tcPr>
            <w:tcW w:w="999" w:type="dxa"/>
            <w:tcBorders>
              <w:bottom w:val="single" w:sz="4" w:space="0" w:color="auto"/>
            </w:tcBorders>
            <w:vAlign w:val="center"/>
          </w:tcPr>
          <w:p w14:paraId="54FC131A" w14:textId="03FA6573"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&lt;EndNote&gt;&lt;Cite&gt;&lt;Author&gt;Mo&lt;/Author&gt;&lt;Year&gt;2024&lt;/Year&gt;&lt;RecNum&gt;63&lt;/RecNum&gt;&lt;DisplayText&gt;&lt;style face="superscript"&gt;7&lt;/style&gt;&lt;/DisplayText&gt;&lt;record&gt;&lt;rec-number&gt;63&lt;/rec-number&gt;&lt;foreign-keys&gt;&lt;key app="EN" db-id="9w5fevawaxf0wmefz59pfxe7zedxpwvsa5ap" timestamp="1743497133"&gt;63&lt;/key&gt;&lt;/foreign-keys&gt;&lt;ref-type name="Journal Article"&gt;17&lt;/ref-type&gt;&lt;contributors&gt;&lt;authors&gt;&lt;author&gt;Mo, Shengpeng&lt;/author&gt;&lt;author&gt;Huang, Lili&lt;/author&gt;&lt;author&gt;Zhao, Xin&lt;/author&gt;&lt;author&gt;Li, Jun&lt;/author&gt;&lt;author&gt;Ding, Xuegang&lt;/author&gt;&lt;author&gt;Zhou, Xiaobin&lt;/author&gt;&lt;author&gt;Zhang, Yanan&lt;/author&gt;&lt;author&gt;Fan, Yinming&lt;/author&gt;&lt;author&gt;Fu, Mingming&lt;/author&gt;&lt;author&gt;Zhu, Hongxiang&lt;/author&gt;&lt;author&gt;Xie, Qinglin&lt;/author&gt;&lt;author&gt;Ye, Daiqi&lt;/author&gt;&lt;/authors&gt;&lt;/contributors&gt;&lt;titles&gt;&lt;title&gt;&lt;style face="normal" font="default" size="100%"&gt;Hierarchically ordered microporous Ag&lt;/style&gt;&lt;style face="subscript" font="default" size="100%"&gt;2&lt;/style&gt;&lt;style face="normal" font="default" size="100%"&gt;S QDs-CoOx/NC nanostructures for enhancing photocatalytic CO&lt;/style&gt;&lt;style face="subscript" font="default" size="100%"&gt;2&lt;/style&gt;&lt;style face="normal" font="default" size="100%"&gt; reduction to chemical fuels&lt;/style&gt;&lt;/title&gt;&lt;secondary-title&gt;Fuel&lt;/secondary-title&gt;&lt;/titles&gt;&lt;periodical&gt;&lt;full-title&gt;Fuel&lt;/full-title&gt;&lt;abbr-1&gt;Fuel&lt;/abbr-1&gt;&lt;/periodical&gt;&lt;pages&gt;130113&lt;/pages&gt;&lt;volume&gt;358&lt;/volume&gt;&lt;keywords&gt;&lt;keyword&gt;Ordered microporous structure&lt;/keyword&gt;&lt;keyword&gt;AgS QDs&lt;/keyword&gt;&lt;keyword&gt;CoO/NC&lt;/keyword&gt;&lt;keyword&gt;Dual heterojunctions&lt;/keyword&gt;&lt;keyword&gt;CO photoreduction&lt;/keyword&gt;&lt;/keywords&gt;&lt;dates&gt;&lt;year&gt;2024&lt;/year&gt;&lt;pub-dates&gt;&lt;date&gt;2024/02/15/&lt;/date&gt;&lt;/pub-dates&gt;&lt;/dates&gt;&lt;isbn&gt;0016-2361&lt;/isbn&gt;&lt;urls&gt;&lt;related-urls&gt;&lt;url&gt;https://www.sciencedirect.com/science/article/pii/S0016236123027278&lt;/url&gt;&lt;/related-urls&gt;&lt;/urls&gt;&lt;electronic-resource-num&gt;https://doi.org/10.1016/j.fuel.2023.130113&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7</w:t>
            </w:r>
            <w:r w:rsidRPr="00016BFC">
              <w:rPr>
                <w:rFonts w:ascii="Arial" w:hAnsi="Arial" w:cs="Arial"/>
                <w:sz w:val="18"/>
                <w:szCs w:val="18"/>
              </w:rPr>
              <w:fldChar w:fldCharType="end"/>
            </w:r>
          </w:p>
        </w:tc>
      </w:tr>
      <w:tr w:rsidR="004B7C18" w:rsidRPr="000B1FF9" w14:paraId="20CEDA75" w14:textId="77777777" w:rsidTr="00AD10F8">
        <w:trPr>
          <w:trHeight w:val="735"/>
        </w:trPr>
        <w:tc>
          <w:tcPr>
            <w:tcW w:w="1701" w:type="dxa"/>
            <w:vMerge w:val="restart"/>
            <w:tcBorders>
              <w:top w:val="single" w:sz="4" w:space="0" w:color="auto"/>
            </w:tcBorders>
            <w:vAlign w:val="center"/>
          </w:tcPr>
          <w:p w14:paraId="6CAA1980"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Comparison of ion composite photocatalysts</w:t>
            </w:r>
          </w:p>
        </w:tc>
        <w:tc>
          <w:tcPr>
            <w:tcW w:w="2127" w:type="dxa"/>
            <w:tcBorders>
              <w:top w:val="single" w:sz="4" w:space="0" w:color="auto"/>
            </w:tcBorders>
            <w:vAlign w:val="center"/>
          </w:tcPr>
          <w:p w14:paraId="54A13910"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Cu/a-In</w:t>
            </w:r>
            <w:r w:rsidRPr="000B1FF9">
              <w:rPr>
                <w:rFonts w:ascii="Arial" w:hAnsi="Arial" w:cs="Arial"/>
                <w:sz w:val="18"/>
                <w:szCs w:val="18"/>
                <w:vertAlign w:val="subscript"/>
              </w:rPr>
              <w:t>2</w:t>
            </w:r>
            <w:r w:rsidRPr="000B1FF9">
              <w:rPr>
                <w:rFonts w:ascii="Arial" w:hAnsi="Arial" w:cs="Arial"/>
                <w:sz w:val="18"/>
                <w:szCs w:val="18"/>
              </w:rPr>
              <w:t>O</w:t>
            </w:r>
            <w:r w:rsidRPr="000B1FF9">
              <w:rPr>
                <w:rFonts w:ascii="Arial" w:hAnsi="Arial" w:cs="Arial"/>
                <w:sz w:val="18"/>
                <w:szCs w:val="18"/>
                <w:vertAlign w:val="subscript"/>
              </w:rPr>
              <w:t>3</w:t>
            </w:r>
            <w:r w:rsidRPr="000B1FF9">
              <w:rPr>
                <w:rFonts w:ascii="Arial" w:hAnsi="Arial" w:cs="Arial"/>
                <w:sz w:val="18"/>
                <w:szCs w:val="18"/>
              </w:rPr>
              <w:t xml:space="preserve"> NSs</w:t>
            </w:r>
          </w:p>
        </w:tc>
        <w:tc>
          <w:tcPr>
            <w:tcW w:w="1559" w:type="dxa"/>
            <w:tcBorders>
              <w:top w:val="single" w:sz="4" w:space="0" w:color="auto"/>
            </w:tcBorders>
            <w:vAlign w:val="center"/>
          </w:tcPr>
          <w:p w14:paraId="4816F480"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798.7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tcBorders>
              <w:top w:val="single" w:sz="4" w:space="0" w:color="auto"/>
            </w:tcBorders>
            <w:vAlign w:val="center"/>
          </w:tcPr>
          <w:p w14:paraId="33AEBC99"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5.8 times</w:t>
            </w:r>
          </w:p>
        </w:tc>
        <w:tc>
          <w:tcPr>
            <w:tcW w:w="999" w:type="dxa"/>
            <w:tcBorders>
              <w:top w:val="single" w:sz="4" w:space="0" w:color="auto"/>
            </w:tcBorders>
            <w:vAlign w:val="center"/>
          </w:tcPr>
          <w:p w14:paraId="51861B36" w14:textId="48F7DE83"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&lt;EndNote&gt;&lt;Cite&gt;&lt;Author&gt;Pan&lt;/Author&gt;&lt;Year&gt;2023&lt;/Year&gt;&lt;RecNum&gt;64&lt;/RecNum&gt;&lt;DisplayText&gt;&lt;style face="superscript"&gt;8&lt;/style&gt;&lt;/DisplayText&gt;&lt;record&gt;&lt;rec-number&gt;64&lt;/rec-number&gt;&lt;foreign-keys&gt;&lt;key app="EN" db-id="9w5fevawaxf0wmefz59pfxe7zedxpwvsa5ap" timestamp="1743497195"&gt;64&lt;/key&gt;&lt;/foreign-keys&gt;&lt;ref-type name="Journal Article"&gt;17&lt;/ref-type&gt;&lt;contributors&gt;&lt;authors&gt;&lt;author&gt;Pan, Rongrong&lt;/author&gt;&lt;author&gt;Niu, Shuwen&lt;/author&gt;&lt;author&gt;Huang, Zixiang&lt;/author&gt;&lt;author&gt;Li, Yapeng&lt;/author&gt;&lt;author&gt;Liu, Peigen&lt;/author&gt;&lt;author&gt;Han, Xiao&lt;/author&gt;&lt;author&gt;Wu, Geng&lt;/author&gt;&lt;author&gt;Shi, Yi&lt;/author&gt;&lt;author&gt;Hu, Haohui&lt;/author&gt;&lt;author&gt;Sun, Rongbo&lt;/author&gt;&lt;author&gt;Zheng, Xusheng&lt;/author&gt;&lt;author&gt;Jin, Huile&lt;/author&gt;&lt;author&gt;Chen, Wei&lt;/author&gt;&lt;author&gt;Shi, Qian&lt;/author&gt;&lt;author&gt;Hong, Xun&lt;/author&gt;&lt;/authors&gt;&lt;/contributors&gt;&lt;titles&gt;&lt;title&gt;&lt;style face="normal" font="default" size="100%"&gt;Amorphization-Induced Cation Exchange in Indium Oxide Nanosheets for CO&lt;/style&gt;&lt;style face="subscript" font="default" size="100%"&gt;2&lt;/style&gt;&lt;style face="normal" font="default" size="100%"&gt;-to-Ethanol Conversion&lt;/style&gt;&lt;/title&gt;&lt;secondary-title&gt;Nano Letters&lt;/secondary-title&gt;&lt;/titles&gt;&lt;periodical&gt;&lt;full-title&gt;Nano Letters&lt;/full-title&gt;&lt;abbr-1&gt;Nano Lett.&lt;/abbr-1&gt;&lt;/periodical&gt;&lt;pages&gt;10004-10012&lt;/pages&gt;&lt;volume&gt;23&lt;/volume&gt;&lt;number&gt;21&lt;/number&gt;&lt;dates&gt;&lt;year&gt;2023&lt;/year&gt;&lt;pub-dates&gt;&lt;date&gt;2023/11/08&lt;/date&gt;&lt;/pub-dates&gt;&lt;/dates&gt;&lt;publisher&gt;American Chemical Society&lt;/publisher&gt;&lt;isbn&gt;1530-6984&lt;/isbn&gt;&lt;urls&gt;&lt;related-urls&gt;&lt;url&gt;https://doi.org/10.1021/acs.nanolett.3c03178&lt;/url&gt;&lt;/related-urls&gt;&lt;/urls&gt;&lt;electronic-resource-num&gt;10.1021/acs.nanolett.3c03178&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8</w:t>
            </w:r>
            <w:r w:rsidRPr="00016BFC">
              <w:rPr>
                <w:rFonts w:ascii="Arial" w:hAnsi="Arial" w:cs="Arial"/>
                <w:sz w:val="18"/>
                <w:szCs w:val="18"/>
              </w:rPr>
              <w:fldChar w:fldCharType="end"/>
            </w:r>
          </w:p>
        </w:tc>
      </w:tr>
      <w:tr w:rsidR="004B7C18" w:rsidRPr="000B1FF9" w14:paraId="6A4C5944" w14:textId="77777777" w:rsidTr="00AD10F8">
        <w:trPr>
          <w:trHeight w:val="735"/>
        </w:trPr>
        <w:tc>
          <w:tcPr>
            <w:tcW w:w="1701" w:type="dxa"/>
            <w:vMerge/>
            <w:vAlign w:val="center"/>
          </w:tcPr>
          <w:p w14:paraId="3A9F8D4D" w14:textId="77777777" w:rsidR="004B7C18" w:rsidRPr="000B1FF9" w:rsidRDefault="004B7C18" w:rsidP="004B7C18">
            <w:pPr>
              <w:jc w:val="center"/>
              <w:rPr>
                <w:rFonts w:ascii="Arial" w:hAnsi="Arial" w:cs="Arial"/>
                <w:sz w:val="18"/>
                <w:szCs w:val="18"/>
              </w:rPr>
            </w:pPr>
          </w:p>
        </w:tc>
        <w:tc>
          <w:tcPr>
            <w:tcW w:w="2127" w:type="dxa"/>
            <w:vAlign w:val="center"/>
          </w:tcPr>
          <w:p w14:paraId="15FC91CD"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TiO</w:t>
            </w:r>
            <w:r w:rsidRPr="000B1FF9">
              <w:rPr>
                <w:rFonts w:ascii="Arial" w:hAnsi="Arial" w:cs="Arial"/>
                <w:sz w:val="18"/>
                <w:szCs w:val="18"/>
                <w:vertAlign w:val="subscript"/>
              </w:rPr>
              <w:t>2</w:t>
            </w:r>
            <w:r w:rsidRPr="000B1FF9">
              <w:rPr>
                <w:rFonts w:ascii="Arial" w:hAnsi="Arial" w:cs="Arial"/>
                <w:sz w:val="18"/>
                <w:szCs w:val="18"/>
              </w:rPr>
              <w:t>/CsPbBr</w:t>
            </w:r>
            <w:r w:rsidRPr="000B1FF9">
              <w:rPr>
                <w:rFonts w:ascii="Arial" w:hAnsi="Arial" w:cs="Arial"/>
                <w:sz w:val="18"/>
                <w:szCs w:val="18"/>
                <w:vertAlign w:val="subscript"/>
              </w:rPr>
              <w:t>3</w:t>
            </w:r>
          </w:p>
        </w:tc>
        <w:tc>
          <w:tcPr>
            <w:tcW w:w="1559" w:type="dxa"/>
            <w:vAlign w:val="center"/>
          </w:tcPr>
          <w:p w14:paraId="15721C40"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23.9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vAlign w:val="center"/>
          </w:tcPr>
          <w:p w14:paraId="55B26E42"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w:t>
            </w:r>
            <w:r>
              <w:rPr>
                <w:rFonts w:ascii="Arial" w:hAnsi="Arial" w:cs="Arial"/>
                <w:b/>
                <w:bCs/>
                <w:color w:val="FF0000"/>
                <w:sz w:val="18"/>
                <w:szCs w:val="18"/>
              </w:rPr>
              <w:t>8</w:t>
            </w:r>
            <w:r w:rsidRPr="000B1FF9">
              <w:rPr>
                <w:rFonts w:ascii="Arial" w:hAnsi="Arial" w:cs="Arial"/>
                <w:b/>
                <w:bCs/>
                <w:color w:val="FF0000"/>
                <w:sz w:val="18"/>
                <w:szCs w:val="18"/>
              </w:rPr>
              <w:t xml:space="preserve"> times</w:t>
            </w:r>
          </w:p>
        </w:tc>
        <w:tc>
          <w:tcPr>
            <w:tcW w:w="999" w:type="dxa"/>
            <w:vAlign w:val="center"/>
          </w:tcPr>
          <w:p w14:paraId="393CBDDB" w14:textId="04A54BDF"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&lt;EndNote&gt;&lt;Cite&gt;&lt;Author&gt;Xu&lt;/Author&gt;&lt;Year&gt;2020&lt;/Year&gt;&lt;RecNum&gt;65&lt;/RecNum&gt;&lt;DisplayText&gt;&lt;style face="superscript"&gt;9&lt;/style&gt;&lt;/DisplayText&gt;&lt;record&gt;&lt;rec-number&gt;65&lt;/rec-number&gt;&lt;foreign-keys&gt;&lt;key app="EN" db-id="9w5fevawaxf0wmefz59pfxe7zedxpwvsa5ap" timestamp="1743497239"&gt;65&lt;/key&gt;&lt;/foreign-keys&gt;&lt;ref-type name="Journal Article"&gt;17&lt;/ref-type&gt;&lt;contributors&gt;&lt;authors&gt;&lt;author&gt;Xu, Feiyan&lt;/author&gt;&lt;author&gt;Meng, Kai&lt;/author&gt;&lt;author&gt;Cheng, Bei&lt;/author&gt;&lt;author&gt;Wang, Shengyao&lt;/author&gt;&lt;author&gt;Xu, Jingsan&lt;/author&gt;&lt;author&gt;Yu, Jiaguo&lt;/author&gt;&lt;/authors&gt;&lt;/contributors&gt;&lt;titles&gt;&lt;title&gt;&lt;style face="normal" font="default" size="100%"&gt;Unique S-scheme heterojunctions in self-assembled TiO&lt;/style&gt;&lt;style face="subscript" font="default" size="100%"&gt;2&lt;/style&gt;&lt;style face="normal" font="default" size="100%"&gt;/CsPbBr&lt;/style&gt;&lt;style face="subscript" font="default" size="100%"&gt;3&lt;/style&gt;&lt;style face="normal" font="default" size="100%"&gt; hybrids for CO&lt;/style&gt;&lt;style face="subscript" font="default" size="100%"&gt;2&lt;/style&gt;&lt;style face="normal" font="default" size="100%"&gt; photoreduction&lt;/style&gt;&lt;/title&gt;&lt;secondary-title&gt;Nature Communications&lt;/secondary-title&gt;&lt;/titles&gt;&lt;periodical&gt;&lt;full-title&gt;Nature Communications&lt;/full-title&gt;&lt;abbr-1&gt;Nat. Commun.&lt;/abbr-1&gt;&lt;/periodical&gt;&lt;pages&gt;4613&lt;/pages&gt;&lt;volume&gt;11&lt;/volume&gt;&lt;number&gt;1&lt;/number&gt;&lt;dates&gt;&lt;year&gt;2020&lt;/year&gt;&lt;pub-dates&gt;&lt;date&gt;2020/09/14&lt;/date&gt;&lt;/pub-dates&gt;&lt;/dates&gt;&lt;isbn&gt;2041-1723&lt;/isbn&gt;&lt;urls&gt;&lt;related-urls&gt;&lt;url&gt;https://doi.org/10.1038/s41467-020-18350-7&lt;/url&gt;&lt;/related-urls&gt;&lt;/urls&gt;&lt;electronic-resource-num&gt;10.1038/s41467-020-18350-7&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9</w:t>
            </w:r>
            <w:r w:rsidRPr="00016BFC">
              <w:rPr>
                <w:rFonts w:ascii="Arial" w:hAnsi="Arial" w:cs="Arial"/>
                <w:sz w:val="18"/>
                <w:szCs w:val="18"/>
              </w:rPr>
              <w:fldChar w:fldCharType="end"/>
            </w:r>
          </w:p>
        </w:tc>
      </w:tr>
      <w:tr w:rsidR="004B7C18" w:rsidRPr="000B1FF9" w14:paraId="731CF03E" w14:textId="77777777" w:rsidTr="00AD10F8">
        <w:trPr>
          <w:trHeight w:val="735"/>
        </w:trPr>
        <w:tc>
          <w:tcPr>
            <w:tcW w:w="1701" w:type="dxa"/>
            <w:vMerge/>
            <w:vAlign w:val="center"/>
          </w:tcPr>
          <w:p w14:paraId="0E097653" w14:textId="77777777" w:rsidR="004B7C18" w:rsidRPr="000B1FF9" w:rsidRDefault="004B7C18" w:rsidP="004B7C18">
            <w:pPr>
              <w:jc w:val="center"/>
              <w:rPr>
                <w:rFonts w:ascii="Arial" w:hAnsi="Arial" w:cs="Arial"/>
                <w:sz w:val="18"/>
                <w:szCs w:val="18"/>
              </w:rPr>
            </w:pPr>
          </w:p>
        </w:tc>
        <w:tc>
          <w:tcPr>
            <w:tcW w:w="2127" w:type="dxa"/>
            <w:vAlign w:val="center"/>
          </w:tcPr>
          <w:p w14:paraId="1C0D01DB"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ZnSe-CsSnCl</w:t>
            </w:r>
            <w:r w:rsidRPr="000B1FF9">
              <w:rPr>
                <w:rFonts w:ascii="Arial" w:hAnsi="Arial" w:cs="Arial"/>
                <w:sz w:val="18"/>
                <w:szCs w:val="18"/>
                <w:vertAlign w:val="subscript"/>
              </w:rPr>
              <w:t>3</w:t>
            </w:r>
          </w:p>
        </w:tc>
        <w:tc>
          <w:tcPr>
            <w:tcW w:w="1559" w:type="dxa"/>
            <w:vAlign w:val="center"/>
          </w:tcPr>
          <w:p w14:paraId="3A0CEEC6"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57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vAlign w:val="center"/>
          </w:tcPr>
          <w:p w14:paraId="1D30EEF5"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5.0 times</w:t>
            </w:r>
          </w:p>
        </w:tc>
        <w:tc>
          <w:tcPr>
            <w:tcW w:w="999" w:type="dxa"/>
            <w:vAlign w:val="center"/>
          </w:tcPr>
          <w:p w14:paraId="794BFC5A" w14:textId="1EC1BAA2"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&lt;EndNote&gt;&lt;Cite&gt;&lt;Author&gt;Li&lt;/Author&gt;&lt;Year&gt;2022&lt;/Year&gt;&lt;RecNum&gt;66&lt;/RecNum&gt;&lt;DisplayText&gt;&lt;style face="superscript"&gt;10&lt;/style&gt;&lt;/DisplayText&gt;&lt;record&gt;&lt;rec-number&gt;66&lt;/rec-number&gt;&lt;foreign-keys&gt;&lt;key app="EN" db-id="9w5fevawaxf0wmefz59pfxe7zedxpwvsa5ap" timestamp="1743497272"&gt;66&lt;/key&gt;&lt;/foreign-keys&gt;&lt;ref-type name="Journal Article"&gt;17&lt;/ref-type&gt;&lt;contributors&gt;&lt;authors&gt;&lt;author&gt;Li, Nuoya&lt;/author&gt;&lt;author&gt;Chen, Xujian&lt;/author&gt;&lt;author&gt;Wang, Jin&lt;/author&gt;&lt;author&gt;Liang, Xinmeng&lt;/author&gt;&lt;author&gt;Ma, Lintao&lt;/author&gt;&lt;author&gt;Jing, Xiaolang&lt;/author&gt;&lt;author&gt;Chen, De-Li&lt;/author&gt;&lt;author&gt;Li, Zhengquan&lt;/author&gt;&lt;/authors&gt;&lt;/contributors&gt;&lt;titles&gt;&lt;title&gt;&lt;style face="normal" font="default" size="100%"&gt;ZnSe Nanorods–CsSnCl&lt;/style&gt;&lt;style face="subscript" font="default" size="100%"&gt;3&lt;/style&gt;&lt;style face="normal" font="default" size="100%"&gt; Perovskite Heterojunction Composite for Photocatalytic CO&lt;/style&gt;&lt;style face="subscript" font="default" size="100%"&gt;2&lt;/style&gt;&lt;style face="normal" font="default" size="100%"&gt; Reduction&lt;/style&gt;&lt;/title&gt;&lt;secondary-title&gt;ACS Nano&lt;/secondary-title&gt;&lt;/titles&gt;&lt;periodical&gt;&lt;full-title&gt;ACS Nano&lt;/full-title&gt;&lt;abbr-1&gt;ACS Nano&lt;/abbr-1&gt;&lt;/periodical&gt;&lt;pages&gt;3332-3340&lt;/pages&gt;&lt;volume&gt;16&lt;/volume&gt;&lt;number&gt;2&lt;/number&gt;&lt;dates&gt;&lt;year&gt;2022&lt;/year&gt;&lt;pub-dates&gt;&lt;date&gt;2022/02/22&lt;/date&gt;&lt;/pub-dates&gt;&lt;/dates&gt;&lt;publisher&gt;American Chemical Society&lt;/publisher&gt;&lt;isbn&gt;1936-0851&lt;/isbn&gt;&lt;urls&gt;&lt;related-urls&gt;&lt;url&gt;https://doi.org/10.1021/acsnano.1c11442&lt;/url&gt;&lt;/related-urls&gt;&lt;/urls&gt;&lt;electronic-resource-num&gt;10.1021/acsnano.1c11442&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10</w:t>
            </w:r>
            <w:r w:rsidRPr="00016BFC">
              <w:rPr>
                <w:rFonts w:ascii="Arial" w:hAnsi="Arial" w:cs="Arial"/>
                <w:sz w:val="18"/>
                <w:szCs w:val="18"/>
              </w:rPr>
              <w:fldChar w:fldCharType="end"/>
            </w:r>
          </w:p>
        </w:tc>
      </w:tr>
      <w:tr w:rsidR="004B7C18" w:rsidRPr="000B1FF9" w14:paraId="52244813" w14:textId="77777777" w:rsidTr="00AD10F8">
        <w:trPr>
          <w:trHeight w:val="735"/>
        </w:trPr>
        <w:tc>
          <w:tcPr>
            <w:tcW w:w="1701" w:type="dxa"/>
            <w:vMerge/>
            <w:vAlign w:val="center"/>
          </w:tcPr>
          <w:p w14:paraId="38397BED" w14:textId="77777777" w:rsidR="004B7C18" w:rsidRPr="000B1FF9" w:rsidRDefault="004B7C18" w:rsidP="004B7C18">
            <w:pPr>
              <w:jc w:val="center"/>
              <w:rPr>
                <w:rFonts w:ascii="Arial" w:hAnsi="Arial" w:cs="Arial"/>
                <w:sz w:val="18"/>
                <w:szCs w:val="18"/>
              </w:rPr>
            </w:pPr>
          </w:p>
        </w:tc>
        <w:tc>
          <w:tcPr>
            <w:tcW w:w="2127" w:type="dxa"/>
            <w:vAlign w:val="center"/>
          </w:tcPr>
          <w:p w14:paraId="10540140"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[Co(</w:t>
            </w:r>
            <w:proofErr w:type="spellStart"/>
            <w:r w:rsidRPr="000B1FF9">
              <w:rPr>
                <w:rFonts w:ascii="Arial" w:hAnsi="Arial" w:cs="Arial"/>
                <w:sz w:val="18"/>
                <w:szCs w:val="18"/>
              </w:rPr>
              <w:t>qpy</w:t>
            </w:r>
            <w:proofErr w:type="spellEnd"/>
            <w:r w:rsidRPr="000B1FF9">
              <w:rPr>
                <w:rFonts w:ascii="Arial" w:hAnsi="Arial" w:cs="Arial"/>
                <w:sz w:val="18"/>
                <w:szCs w:val="18"/>
              </w:rPr>
              <w:t>)(OH</w:t>
            </w:r>
            <w:r w:rsidRPr="000B1FF9">
              <w:rPr>
                <w:rFonts w:ascii="Arial" w:hAnsi="Arial" w:cs="Arial"/>
                <w:sz w:val="18"/>
                <w:szCs w:val="18"/>
                <w:vertAlign w:val="subscript"/>
              </w:rPr>
              <w:t>2</w:t>
            </w:r>
            <w:r w:rsidRPr="000B1FF9">
              <w:rPr>
                <w:rFonts w:ascii="Arial" w:hAnsi="Arial" w:cs="Arial"/>
                <w:sz w:val="18"/>
                <w:szCs w:val="18"/>
              </w:rPr>
              <w:t>)</w:t>
            </w:r>
            <w:r w:rsidRPr="000B1FF9">
              <w:rPr>
                <w:rFonts w:ascii="Arial" w:hAnsi="Arial" w:cs="Arial"/>
                <w:sz w:val="18"/>
                <w:szCs w:val="18"/>
                <w:vertAlign w:val="subscript"/>
              </w:rPr>
              <w:t>2</w:t>
            </w:r>
            <w:r w:rsidRPr="000B1FF9">
              <w:rPr>
                <w:rFonts w:ascii="Arial" w:hAnsi="Arial" w:cs="Arial"/>
                <w:sz w:val="18"/>
                <w:szCs w:val="18"/>
              </w:rPr>
              <w:t>]</w:t>
            </w:r>
            <w:r w:rsidRPr="000B1FF9">
              <w:rPr>
                <w:rFonts w:ascii="Arial" w:hAnsi="Arial" w:cs="Arial"/>
                <w:sz w:val="18"/>
                <w:szCs w:val="18"/>
                <w:vertAlign w:val="superscript"/>
              </w:rPr>
              <w:t>2+</w:t>
            </w:r>
          </w:p>
        </w:tc>
        <w:tc>
          <w:tcPr>
            <w:tcW w:w="1559" w:type="dxa"/>
            <w:vAlign w:val="center"/>
          </w:tcPr>
          <w:p w14:paraId="01C0B90A"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11.6 </w:t>
            </w:r>
            <w:proofErr w:type="spellStart"/>
            <w:r w:rsidRPr="000B1FF9">
              <w:rPr>
                <w:rFonts w:ascii="Arial" w:hAnsi="Arial" w:cs="Arial"/>
                <w:sz w:val="18"/>
                <w:szCs w:val="18"/>
              </w:rPr>
              <w:t>μmol</w:t>
            </w:r>
            <w:proofErr w:type="spellEnd"/>
          </w:p>
        </w:tc>
        <w:tc>
          <w:tcPr>
            <w:tcW w:w="1843" w:type="dxa"/>
            <w:vAlign w:val="center"/>
          </w:tcPr>
          <w:p w14:paraId="59875E5E"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13</w:t>
            </w:r>
            <w:r>
              <w:rPr>
                <w:rFonts w:ascii="Arial" w:hAnsi="Arial" w:cs="Arial"/>
                <w:b/>
                <w:bCs/>
                <w:color w:val="FF0000"/>
                <w:sz w:val="18"/>
                <w:szCs w:val="18"/>
              </w:rPr>
              <w:t>.0</w:t>
            </w:r>
            <w:r w:rsidRPr="000B1FF9">
              <w:rPr>
                <w:rFonts w:ascii="Arial" w:hAnsi="Arial" w:cs="Arial"/>
                <w:b/>
                <w:bCs/>
                <w:color w:val="FF0000"/>
                <w:sz w:val="18"/>
                <w:szCs w:val="18"/>
              </w:rPr>
              <w:t xml:space="preserve"> times</w:t>
            </w:r>
          </w:p>
        </w:tc>
        <w:tc>
          <w:tcPr>
            <w:tcW w:w="999" w:type="dxa"/>
            <w:vAlign w:val="center"/>
          </w:tcPr>
          <w:p w14:paraId="393C1CA9" w14:textId="1B28996A"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&lt;EndNote&gt;&lt;Cite&gt;&lt;Author&gt;Ho&lt;/Author&gt;&lt;Year&gt;2023&lt;/Year&gt;&lt;RecNum&gt;67&lt;/RecNum&gt;&lt;DisplayText&gt;&lt;style face="superscript"&gt;11&lt;/style&gt;&lt;/DisplayText&gt;&lt;record&gt;&lt;rec-number&gt;67&lt;/rec-number&gt;&lt;foreign-keys&gt;&lt;key app="EN" db-id="9w5fevawaxf0wmefz59pfxe7zedxpwvsa5ap" timestamp="1743497313"&gt;67&lt;/key&gt;&lt;/foreign-keys&gt;&lt;ref-type name="Journal Article"&gt;17&lt;/ref-type&gt;&lt;contributors&gt;&lt;authors&gt;&lt;author&gt;Ho, Pui-Yu&lt;/author&gt;&lt;author&gt;Cheng, Shun-Cheung&lt;/author&gt;&lt;author&gt;Yu, Fei&lt;/author&gt;&lt;author&gt;Yeung, Yau-Yuen&lt;/author&gt;&lt;author&gt;Ni, Wen-Xiu&lt;/author&gt;&lt;author&gt;Ko, Chi-Chiu&lt;/author&gt;&lt;author&gt;Leung, Chi-Fai&lt;/author&gt;&lt;author&gt;Lau, Tai-Chu&lt;/author&gt;&lt;author&gt;Robert, Marc&lt;/author&gt;&lt;/authors&gt;&lt;/contributors&gt;&lt;titles&gt;&lt;title&gt;&lt;style face="normal" font="default" size="100%"&gt;Light-Driven Reduction of CO&lt;/style&gt;&lt;style face="subscript" font="default" size="100%"&gt;2&lt;/style&gt;&lt;style face="normal" font="default" size="100%"&gt; to CO in Water with a Cobalt Molecular Catalyst and an Organic Sensitizer&lt;/style&gt;&lt;/title&gt;&lt;secondary-title&gt;ACS Catalysis&lt;/secondary-title&gt;&lt;/titles&gt;&lt;periodical&gt;&lt;full-title&gt;ACS Catalysis&lt;/full-title&gt;&lt;abbr-1&gt;ACS Catal.&lt;/abbr-1&gt;&lt;/periodical&gt;&lt;pages&gt;5979-5985&lt;/pages&gt;&lt;volume&gt;13&lt;/volume&gt;&lt;number&gt;9&lt;/number&gt;&lt;dates&gt;&lt;year&gt;2023&lt;/year&gt;&lt;pub-dates&gt;&lt;date&gt;2023/05/05&lt;/date&gt;&lt;/pub-dates&gt;&lt;/dates&gt;&lt;publisher&gt;American Chemical Society&lt;/publisher&gt;&lt;urls&gt;&lt;related-urls&gt;&lt;url&gt;https://doi.org/10.1021/acscatal.3c00036&lt;/url&gt;&lt;/related-urls&gt;&lt;/urls&gt;&lt;electronic-resource-num&gt;10.1021/acscatal.3c00036&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11</w:t>
            </w:r>
            <w:r w:rsidRPr="00016BFC">
              <w:rPr>
                <w:rFonts w:ascii="Arial" w:hAnsi="Arial" w:cs="Arial"/>
                <w:sz w:val="18"/>
                <w:szCs w:val="18"/>
              </w:rPr>
              <w:fldChar w:fldCharType="end"/>
            </w:r>
          </w:p>
        </w:tc>
      </w:tr>
      <w:tr w:rsidR="004B7C18" w:rsidRPr="000B1FF9" w14:paraId="4C7C9BBC" w14:textId="77777777" w:rsidTr="00AD10F8">
        <w:trPr>
          <w:trHeight w:val="735"/>
        </w:trPr>
        <w:tc>
          <w:tcPr>
            <w:tcW w:w="1701" w:type="dxa"/>
            <w:vMerge/>
            <w:vAlign w:val="center"/>
          </w:tcPr>
          <w:p w14:paraId="54EDE215" w14:textId="77777777" w:rsidR="004B7C18" w:rsidRPr="000B1FF9" w:rsidRDefault="004B7C18" w:rsidP="004B7C18">
            <w:pPr>
              <w:jc w:val="center"/>
              <w:rPr>
                <w:rFonts w:ascii="Arial" w:hAnsi="Arial" w:cs="Arial"/>
                <w:sz w:val="18"/>
                <w:szCs w:val="18"/>
              </w:rPr>
            </w:pPr>
          </w:p>
        </w:tc>
        <w:tc>
          <w:tcPr>
            <w:tcW w:w="2127" w:type="dxa"/>
            <w:vAlign w:val="center"/>
          </w:tcPr>
          <w:p w14:paraId="45073005"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[Fe(</w:t>
            </w:r>
            <w:proofErr w:type="spellStart"/>
            <w:r w:rsidRPr="000B1FF9">
              <w:rPr>
                <w:rFonts w:ascii="Arial" w:hAnsi="Arial" w:cs="Arial"/>
                <w:sz w:val="18"/>
                <w:szCs w:val="18"/>
              </w:rPr>
              <w:t>qpy</w:t>
            </w:r>
            <w:proofErr w:type="spellEnd"/>
            <w:r w:rsidRPr="000B1FF9">
              <w:rPr>
                <w:rFonts w:ascii="Arial" w:hAnsi="Arial" w:cs="Arial"/>
                <w:sz w:val="18"/>
                <w:szCs w:val="18"/>
              </w:rPr>
              <w:t>)(OH</w:t>
            </w:r>
            <w:r w:rsidRPr="000B1FF9">
              <w:rPr>
                <w:rFonts w:ascii="Arial" w:hAnsi="Arial" w:cs="Arial"/>
                <w:sz w:val="18"/>
                <w:szCs w:val="18"/>
                <w:vertAlign w:val="subscript"/>
              </w:rPr>
              <w:t>2</w:t>
            </w:r>
            <w:r w:rsidRPr="000B1FF9">
              <w:rPr>
                <w:rFonts w:ascii="Arial" w:hAnsi="Arial" w:cs="Arial"/>
                <w:sz w:val="18"/>
                <w:szCs w:val="18"/>
              </w:rPr>
              <w:t>)</w:t>
            </w:r>
            <w:proofErr w:type="gramStart"/>
            <w:r w:rsidRPr="000B1FF9">
              <w:rPr>
                <w:rFonts w:ascii="Arial" w:hAnsi="Arial" w:cs="Arial"/>
                <w:sz w:val="18"/>
                <w:szCs w:val="18"/>
                <w:vertAlign w:val="subscript"/>
              </w:rPr>
              <w:t>2</w:t>
            </w:r>
            <w:r w:rsidRPr="000B1FF9">
              <w:rPr>
                <w:rFonts w:ascii="Arial" w:hAnsi="Arial" w:cs="Arial"/>
                <w:sz w:val="18"/>
                <w:szCs w:val="18"/>
              </w:rPr>
              <w:t>](</w:t>
            </w:r>
            <w:proofErr w:type="gramEnd"/>
            <w:r w:rsidRPr="000B1FF9">
              <w:rPr>
                <w:rFonts w:ascii="Arial" w:hAnsi="Arial" w:cs="Arial"/>
                <w:sz w:val="18"/>
                <w:szCs w:val="18"/>
              </w:rPr>
              <w:t>ClO</w:t>
            </w:r>
            <w:r w:rsidRPr="000B1FF9">
              <w:rPr>
                <w:rFonts w:ascii="Arial" w:hAnsi="Arial" w:cs="Arial"/>
                <w:sz w:val="18"/>
                <w:szCs w:val="18"/>
                <w:vertAlign w:val="subscript"/>
              </w:rPr>
              <w:t>4</w:t>
            </w:r>
            <w:r w:rsidRPr="000B1FF9">
              <w:rPr>
                <w:rFonts w:ascii="Arial" w:hAnsi="Arial" w:cs="Arial"/>
                <w:sz w:val="18"/>
                <w:szCs w:val="18"/>
              </w:rPr>
              <w:t>)</w:t>
            </w:r>
            <w:r w:rsidRPr="000B1FF9">
              <w:rPr>
                <w:rFonts w:ascii="Arial" w:hAnsi="Arial" w:cs="Arial"/>
                <w:sz w:val="18"/>
                <w:szCs w:val="18"/>
                <w:vertAlign w:val="subscript"/>
              </w:rPr>
              <w:t>2</w:t>
            </w:r>
          </w:p>
        </w:tc>
        <w:tc>
          <w:tcPr>
            <w:tcW w:w="1559" w:type="dxa"/>
            <w:vAlign w:val="center"/>
          </w:tcPr>
          <w:p w14:paraId="3FCA1B57"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62.5</w:t>
            </w:r>
            <w:r>
              <w:rPr>
                <w:rFonts w:ascii="Arial" w:hAnsi="Arial" w:cs="Arial"/>
                <w:sz w:val="18"/>
                <w:szCs w:val="18"/>
              </w:rPr>
              <w:t xml:space="preserve"> </w:t>
            </w:r>
            <w:proofErr w:type="spellStart"/>
            <w:r w:rsidRPr="000B1FF9">
              <w:rPr>
                <w:rFonts w:ascii="Arial" w:hAnsi="Arial" w:cs="Arial"/>
                <w:sz w:val="18"/>
                <w:szCs w:val="18"/>
              </w:rPr>
              <w:t>μmol</w:t>
            </w:r>
            <w:proofErr w:type="spellEnd"/>
          </w:p>
        </w:tc>
        <w:tc>
          <w:tcPr>
            <w:tcW w:w="1843" w:type="dxa"/>
            <w:vAlign w:val="center"/>
          </w:tcPr>
          <w:p w14:paraId="4787A52F"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7.4 times</w:t>
            </w:r>
          </w:p>
        </w:tc>
        <w:tc>
          <w:tcPr>
            <w:tcW w:w="999" w:type="dxa"/>
            <w:vAlign w:val="center"/>
          </w:tcPr>
          <w:p w14:paraId="39D8C7FA" w14:textId="3D740D38"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&lt;EndNote&gt;&lt;Cite&gt;&lt;Author&gt;Wang&lt;/Author&gt;&lt;Year&gt;2023&lt;/Year&gt;&lt;RecNum&gt;68&lt;/RecNum&gt;&lt;DisplayText&gt;&lt;style face="superscript"&gt;12&lt;/style&gt;&lt;/DisplayText&gt;&lt;record&gt;&lt;rec-number&gt;68&lt;/rec-number&gt;&lt;foreign-keys&gt;&lt;key app="EN" db-id="9w5fevawaxf0wmefz59pfxe7zedxpwvsa5ap" timestamp="1743497348"&gt;68&lt;/key&gt;&lt;/foreign-keys&gt;&lt;ref-type name="Journal Article"&gt;17&lt;/ref-type&gt;&lt;contributors&gt;&lt;authors&gt;&lt;author&gt;Wang, Jia-Wei&lt;/author&gt;&lt;author&gt;Ma, Fan&lt;/author&gt;&lt;author&gt;Jin, Tao&lt;/author&gt;&lt;author&gt;He, Piao&lt;/author&gt;&lt;author&gt;Luo, Zhi-Mei&lt;/author&gt;&lt;author&gt;Kupfer, Stephan&lt;/author&gt;&lt;author&gt;Karnahl, Michael&lt;/author&gt;&lt;author&gt;Zhao, Fengyi&lt;/author&gt;&lt;author&gt;Xu, Zihao&lt;/author&gt;&lt;author&gt;Jin, Tao&lt;/author&gt;&lt;author&gt;Lian, Tianquan&lt;/author&gt;&lt;author&gt;Huang, Yong-Liang&lt;/author&gt;&lt;author&gt;Jiang, Long&lt;/author&gt;&lt;author&gt;Fu, Li-Zhi&lt;/author&gt;&lt;author&gt;Ouyang, Gangfeng&lt;/author&gt;&lt;author&gt;Yi, Xiao-Yi&lt;/author&gt;&lt;/authors&gt;&lt;/contributors&gt;&lt;titles&gt;&lt;title&gt;&lt;style face="normal" font="default" size="100%"&gt;Homoleptic Al(III) Photosensitizers for Durable CO&lt;/style&gt;&lt;style face="subscript" font="default" size="100%"&gt;2 &lt;/style&gt;&lt;style face="normal" font="default" size="100%"&gt;Photoreduction&lt;/style&gt;&lt;/title&gt;&lt;secondary-title&gt;Journal of the American Chemical Society&lt;/secondary-title&gt;&lt;/titles&gt;&lt;periodical&gt;&lt;full-title&gt;Journal of the American Chemical Society&lt;/full-title&gt;&lt;abbr-1&gt;J. Am. Chem. Soc&lt;/abbr-1&gt;&lt;/periodical&gt;&lt;pages&gt;676-688&lt;/pages&gt;&lt;volume&gt;145&lt;/volume&gt;&lt;number&gt;1&lt;/number&gt;&lt;dates&gt;&lt;year&gt;2023&lt;/year&gt;&lt;pub-dates&gt;&lt;date&gt;2023/01/11&lt;/date&gt;&lt;/pub-dates&gt;&lt;/dates&gt;&lt;publisher&gt;American Chemical Society&lt;/publisher&gt;&lt;isbn&gt;0002-7863&lt;/isbn&gt;&lt;urls&gt;&lt;related-urls&gt;&lt;url&gt;https://doi.org/10.1021/jacs.2c11740&lt;/url&gt;&lt;/related-urls&gt;&lt;/urls&gt;&lt;electronic-resource-num&gt;10.1021/jacs.2c11740&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12</w:t>
            </w:r>
            <w:r w:rsidRPr="00016BFC">
              <w:rPr>
                <w:rFonts w:ascii="Arial" w:hAnsi="Arial" w:cs="Arial"/>
                <w:sz w:val="18"/>
                <w:szCs w:val="18"/>
              </w:rPr>
              <w:fldChar w:fldCharType="end"/>
            </w:r>
          </w:p>
        </w:tc>
      </w:tr>
      <w:tr w:rsidR="004B7C18" w:rsidRPr="000B1FF9" w14:paraId="68594BE7" w14:textId="77777777" w:rsidTr="00AD10F8">
        <w:trPr>
          <w:trHeight w:val="782"/>
        </w:trPr>
        <w:tc>
          <w:tcPr>
            <w:tcW w:w="1701" w:type="dxa"/>
            <w:vMerge/>
            <w:vAlign w:val="center"/>
          </w:tcPr>
          <w:p w14:paraId="636F53EF" w14:textId="77777777" w:rsidR="004B7C18" w:rsidRPr="000B1FF9" w:rsidRDefault="004B7C18" w:rsidP="004B7C18">
            <w:pPr>
              <w:jc w:val="center"/>
              <w:rPr>
                <w:rFonts w:ascii="Arial" w:hAnsi="Arial" w:cs="Arial"/>
                <w:sz w:val="18"/>
                <w:szCs w:val="18"/>
              </w:rPr>
            </w:pPr>
          </w:p>
        </w:tc>
        <w:tc>
          <w:tcPr>
            <w:tcW w:w="2127" w:type="dxa"/>
            <w:vAlign w:val="center"/>
          </w:tcPr>
          <w:p w14:paraId="40F3F375"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PRGO/TP-COF</w:t>
            </w:r>
          </w:p>
        </w:tc>
        <w:tc>
          <w:tcPr>
            <w:tcW w:w="1559" w:type="dxa"/>
            <w:vAlign w:val="center"/>
          </w:tcPr>
          <w:p w14:paraId="69CF9E1A"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48.8 </w:t>
            </w:r>
            <w:proofErr w:type="spellStart"/>
            <w:r w:rsidRPr="000B1FF9">
              <w:rPr>
                <w:rFonts w:ascii="Arial" w:hAnsi="Arial" w:cs="Arial"/>
                <w:sz w:val="18"/>
                <w:szCs w:val="18"/>
              </w:rPr>
              <w:t>μmol</w:t>
            </w:r>
            <w:proofErr w:type="spellEnd"/>
            <w:r w:rsidRPr="000B1FF9">
              <w:rPr>
                <w:rFonts w:ascii="Arial" w:hAnsi="Arial" w:cs="Arial"/>
                <w:sz w:val="18"/>
                <w:szCs w:val="18"/>
              </w:rPr>
              <w:t>/g</w:t>
            </w:r>
          </w:p>
        </w:tc>
        <w:tc>
          <w:tcPr>
            <w:tcW w:w="1843" w:type="dxa"/>
            <w:vAlign w:val="center"/>
          </w:tcPr>
          <w:p w14:paraId="5CF13A0A"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1.7 times</w:t>
            </w:r>
          </w:p>
        </w:tc>
        <w:tc>
          <w:tcPr>
            <w:tcW w:w="999" w:type="dxa"/>
            <w:vAlign w:val="center"/>
          </w:tcPr>
          <w:p w14:paraId="2D4C6F5F" w14:textId="66CFF0A8"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&lt;EndNote&gt;&lt;Cite&gt;&lt;Author&gt;Liu&lt;/Author&gt;&lt;Year&gt;2024&lt;/Year&gt;&lt;RecNum&gt;69&lt;/RecNum&gt;&lt;DisplayText&gt;&lt;style face="superscript"&gt;13&lt;/style&gt;&lt;/DisplayText&gt;&lt;record&gt;&lt;rec-number&gt;69&lt;/rec-number&gt;&lt;foreign-keys&gt;&lt;key app="EN" db-id="9w5fevawaxf0wmefz59pfxe7zedxpwvsa5ap" timestamp="1743497391"&gt;69&lt;/key&gt;&lt;/foreign-keys&gt;&lt;ref-type name="Journal Article"&gt;17&lt;/ref-type&gt;&lt;contributors&gt;&lt;authors&gt;&lt;author&gt;Liu, Yuhan&lt;/author&gt;&lt;author&gt;Wang, Yue&lt;/author&gt;&lt;author&gt;Shang, Jing&lt;/author&gt;&lt;author&gt;Peng, Jing&lt;/author&gt;&lt;author&gt;Zhu, Tong&lt;/author&gt;&lt;/authors&gt;&lt;/contributors&gt;&lt;titles&gt;&lt;title&gt;&lt;style face="normal" font="default" size="100%"&gt;Construction of a novel metal-free heterostructure photocatalyst PRGO/TP-COF for enhanced photocatalytic CO&lt;/style&gt;&lt;style face="subscript" font="default" size="100%"&gt;2&lt;/style&gt;&lt;style face="normal" font="default" size="100%"&gt; reduction&lt;/style&gt;&lt;/title&gt;&lt;secondary-title&gt;Applied Catalysis B: Environment and Energy&lt;/secondary-title&gt;&lt;/titles&gt;&lt;periodical&gt;&lt;full-title&gt;Applied Catalysis B: Environment and Energy&lt;/full-title&gt;&lt;abbr-1&gt;Appl. Catal. B Environ.&lt;/abbr-1&gt;&lt;/periodical&gt;&lt;pages&gt;123937&lt;/pages&gt;&lt;volume&gt;350&lt;/volume&gt;&lt;keywords&gt;&lt;keyword&gt;Reduced graphene oxide&lt;/keyword&gt;&lt;keyword&gt;Covalent organic frameworks&lt;/keyword&gt;&lt;keyword&gt;Carbon dioxide&lt;/keyword&gt;&lt;keyword&gt;π-π interaction&lt;/keyword&gt;&lt;keyword&gt;S-scheme heterojunction&lt;/keyword&gt;&lt;/keywords&gt;&lt;dates&gt;&lt;year&gt;2024&lt;/year&gt;&lt;pub-dates&gt;&lt;date&gt;2024/08/05/&lt;/date&gt;&lt;/pub-dates&gt;&lt;/dates&gt;&lt;isbn&gt;0926-3373&lt;/isbn&gt;&lt;urls&gt;&lt;related-urls&gt;&lt;url&gt;https://www.sciencedirect.com/science/article/pii/S0926337324002510&lt;/url&gt;&lt;/related-urls&gt;&lt;/urls&gt;&lt;electronic-resource-num&gt;https://doi.org/10.1016/j.apcatb.2024.123937&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13</w:t>
            </w:r>
            <w:r w:rsidRPr="00016BFC">
              <w:rPr>
                <w:rFonts w:ascii="Arial" w:hAnsi="Arial" w:cs="Arial"/>
                <w:sz w:val="18"/>
                <w:szCs w:val="18"/>
              </w:rPr>
              <w:fldChar w:fldCharType="end"/>
            </w:r>
          </w:p>
        </w:tc>
      </w:tr>
      <w:tr w:rsidR="004B7C18" w:rsidRPr="000B1FF9" w14:paraId="030E7556" w14:textId="77777777" w:rsidTr="00AD10F8">
        <w:trPr>
          <w:trHeight w:val="735"/>
        </w:trPr>
        <w:tc>
          <w:tcPr>
            <w:tcW w:w="1701" w:type="dxa"/>
            <w:vMerge/>
            <w:vAlign w:val="center"/>
          </w:tcPr>
          <w:p w14:paraId="44C1C631" w14:textId="77777777" w:rsidR="004B7C18" w:rsidRPr="000B1FF9" w:rsidRDefault="004B7C18" w:rsidP="004B7C18">
            <w:pPr>
              <w:jc w:val="center"/>
              <w:rPr>
                <w:rFonts w:ascii="Arial" w:hAnsi="Arial" w:cs="Arial"/>
                <w:sz w:val="18"/>
                <w:szCs w:val="18"/>
              </w:rPr>
            </w:pPr>
          </w:p>
        </w:tc>
        <w:tc>
          <w:tcPr>
            <w:tcW w:w="2127" w:type="dxa"/>
            <w:vAlign w:val="center"/>
          </w:tcPr>
          <w:p w14:paraId="58DD2782"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IL/Co-</w:t>
            </w:r>
            <w:proofErr w:type="spellStart"/>
            <w:r w:rsidRPr="000B1FF9">
              <w:rPr>
                <w:rFonts w:ascii="Arial" w:hAnsi="Arial" w:cs="Arial"/>
                <w:sz w:val="18"/>
                <w:szCs w:val="18"/>
              </w:rPr>
              <w:t>bCN</w:t>
            </w:r>
            <w:proofErr w:type="spellEnd"/>
          </w:p>
        </w:tc>
        <w:tc>
          <w:tcPr>
            <w:tcW w:w="1559" w:type="dxa"/>
            <w:vAlign w:val="center"/>
          </w:tcPr>
          <w:p w14:paraId="37417AAC" w14:textId="77777777" w:rsidR="004B7C18" w:rsidRPr="000B1FF9" w:rsidRDefault="004B7C18" w:rsidP="004B7C18">
            <w:pPr>
              <w:jc w:val="center"/>
              <w:rPr>
                <w:rFonts w:ascii="Arial" w:hAnsi="Arial" w:cs="Arial"/>
                <w:sz w:val="18"/>
                <w:szCs w:val="18"/>
              </w:rPr>
            </w:pPr>
            <w:r w:rsidRPr="000B1FF9">
              <w:rPr>
                <w:rFonts w:ascii="Arial" w:hAnsi="Arial" w:cs="Arial"/>
                <w:sz w:val="18"/>
                <w:szCs w:val="18"/>
              </w:rPr>
              <w:t xml:space="preserve">20.6 </w:t>
            </w:r>
            <w:proofErr w:type="spellStart"/>
            <w:r w:rsidRPr="000B1FF9">
              <w:rPr>
                <w:rFonts w:ascii="Arial" w:hAnsi="Arial" w:cs="Arial"/>
                <w:sz w:val="18"/>
                <w:szCs w:val="18"/>
              </w:rPr>
              <w:t>μmol</w:t>
            </w:r>
            <w:proofErr w:type="spellEnd"/>
            <w:r w:rsidRPr="000B1FF9">
              <w:rPr>
                <w:rFonts w:ascii="Arial" w:hAnsi="Arial" w:cs="Arial"/>
                <w:sz w:val="18"/>
                <w:szCs w:val="18"/>
              </w:rPr>
              <w:t>/g/h</w:t>
            </w:r>
          </w:p>
        </w:tc>
        <w:tc>
          <w:tcPr>
            <w:tcW w:w="1843" w:type="dxa"/>
            <w:vAlign w:val="center"/>
          </w:tcPr>
          <w:p w14:paraId="660BE728" w14:textId="77777777" w:rsidR="004B7C18" w:rsidRPr="000B1FF9" w:rsidRDefault="004B7C18" w:rsidP="004B7C18">
            <w:pPr>
              <w:jc w:val="center"/>
              <w:rPr>
                <w:rFonts w:ascii="Arial" w:hAnsi="Arial" w:cs="Arial"/>
                <w:b/>
                <w:bCs/>
                <w:color w:val="FF0000"/>
                <w:sz w:val="18"/>
                <w:szCs w:val="18"/>
              </w:rPr>
            </w:pPr>
            <w:r w:rsidRPr="000B1FF9">
              <w:rPr>
                <w:rFonts w:ascii="Arial" w:hAnsi="Arial" w:cs="Arial"/>
                <w:b/>
                <w:bCs/>
                <w:color w:val="FF0000"/>
                <w:sz w:val="18"/>
                <w:szCs w:val="18"/>
              </w:rPr>
              <w:t>42</w:t>
            </w:r>
            <w:r>
              <w:rPr>
                <w:rFonts w:ascii="Arial" w:hAnsi="Arial" w:cs="Arial"/>
                <w:b/>
                <w:bCs/>
                <w:color w:val="FF0000"/>
                <w:sz w:val="18"/>
                <w:szCs w:val="18"/>
              </w:rPr>
              <w:t>.0</w:t>
            </w:r>
            <w:r w:rsidRPr="000B1FF9">
              <w:rPr>
                <w:rFonts w:ascii="Arial" w:hAnsi="Arial" w:cs="Arial"/>
                <w:b/>
                <w:bCs/>
                <w:color w:val="FF0000"/>
                <w:sz w:val="18"/>
                <w:szCs w:val="18"/>
              </w:rPr>
              <w:t xml:space="preserve"> times</w:t>
            </w:r>
          </w:p>
        </w:tc>
        <w:tc>
          <w:tcPr>
            <w:tcW w:w="999" w:type="dxa"/>
            <w:vAlign w:val="center"/>
          </w:tcPr>
          <w:p w14:paraId="71AFDF17" w14:textId="52A93F3D" w:rsidR="004B7C18" w:rsidRPr="00016BFC" w:rsidRDefault="004B7C18" w:rsidP="004B7C18">
            <w:pPr>
              <w:jc w:val="center"/>
              <w:rPr>
                <w:rFonts w:ascii="Arial" w:hAnsi="Arial" w:cs="Arial"/>
                <w:sz w:val="18"/>
                <w:szCs w:val="18"/>
              </w:rPr>
            </w:pPr>
            <w:r w:rsidRPr="00016BFC">
              <w:rPr>
                <w:rFonts w:ascii="Arial" w:hAnsi="Arial" w:cs="Arial"/>
                <w:sz w:val="18"/>
                <w:szCs w:val="18"/>
              </w:rPr>
              <w:fldChar w:fldCharType="begin"/>
            </w:r>
            <w:r>
              <w:rPr>
                <w:rFonts w:ascii="Arial" w:hAnsi="Arial" w:cs="Arial"/>
                <w:sz w:val="18"/>
                <w:szCs w:val="18"/>
              </w:rPr>
              <w:instrText xml:space="preserve"> ADDIN EN.CITE &lt;EndNote&gt;&lt;Cite&gt;&lt;Author&gt;Liu&lt;/Author&gt;&lt;Year&gt;2023&lt;/Year&gt;&lt;RecNum&gt;70&lt;/RecNum&gt;&lt;DisplayText&gt;&lt;style face="superscript"&gt;14&lt;/style&gt;&lt;/DisplayText&gt;&lt;record&gt;&lt;rec-number&gt;70&lt;/rec-number&gt;&lt;foreign-keys&gt;&lt;key app="EN" db-id="9w5fevawaxf0wmefz59pfxe7zedxpwvsa5ap" timestamp="1743497452"&gt;70&lt;/key&gt;&lt;/foreign-keys&gt;&lt;ref-type name="Journal Article"&gt;17&lt;/ref-type&gt;&lt;contributors&gt;&lt;authors&gt;&lt;author&gt;Liu, Yang&lt;/author&gt;&lt;author&gt;Sun, Jianhui&lt;/author&gt;&lt;author&gt;Huang, Houhou&lt;/author&gt;&lt;author&gt;Bai, Linlu&lt;/author&gt;&lt;author&gt;Zhao, Xiaomeng&lt;/author&gt;&lt;author&gt;Qu, Binhong&lt;/author&gt;&lt;author&gt;Xiong, Lunqiao&lt;/author&gt;&lt;author&gt;Bai, Fuquan&lt;/author&gt;&lt;author&gt;Tang, Junwang&lt;/author&gt;&lt;author&gt;Jing, Liqiang&lt;/author&gt;&lt;/authors&gt;&lt;/contributors&gt;&lt;titles&gt;&lt;title&gt;&lt;style face="normal" font="default" size="100%"&gt;Improving CO&lt;/style&gt;&lt;style face="subscript" font="default" size="100%"&gt;2&lt;/style&gt;&lt;style face="normal" font="default" size="100%"&gt; photoconversion with ionic liquid and Co single atoms&lt;/style&gt;&lt;/title&gt;&lt;secondary-title&gt;Nature Communications&lt;/secondary-title&gt;&lt;/titles&gt;&lt;periodical&gt;&lt;full-title&gt;Nature Communications&lt;/full-title&gt;&lt;abbr-1&gt;Nat. Commun.&lt;/abbr-1&gt;&lt;/periodical&gt;&lt;pages&gt;1457&lt;/pages&gt;&lt;volume&gt;14&lt;/volume&gt;&lt;number&gt;1&lt;/number&gt;&lt;dates&gt;&lt;year&gt;2023&lt;/year&gt;&lt;pub-dates&gt;&lt;date&gt;2023/03/16&lt;/date&gt;&lt;/pub-dates&gt;&lt;/dates&gt;&lt;isbn&gt;2041-1723&lt;/isbn&gt;&lt;urls&gt;&lt;related-urls&gt;&lt;url&gt;https://doi.org/10.1038/s41467-023-36980-5&lt;/url&gt;&lt;/related-urls&gt;&lt;/urls&gt;&lt;electronic-resource-num&gt;10.1038/s41467-023-36980-5&lt;/electronic-resource-num&gt;&lt;/record&gt;&lt;/Cite&gt;&lt;/EndNote&gt;</w:instrText>
            </w:r>
            <w:r w:rsidRPr="00016BFC">
              <w:rPr>
                <w:rFonts w:ascii="Arial" w:hAnsi="Arial" w:cs="Arial"/>
                <w:sz w:val="18"/>
                <w:szCs w:val="18"/>
              </w:rPr>
              <w:fldChar w:fldCharType="separate"/>
            </w:r>
            <w:r w:rsidRPr="00F252C1">
              <w:rPr>
                <w:rFonts w:ascii="Arial" w:hAnsi="Arial" w:cs="Arial"/>
                <w:noProof/>
                <w:sz w:val="18"/>
                <w:szCs w:val="18"/>
                <w:vertAlign w:val="superscript"/>
              </w:rPr>
              <w:t>14</w:t>
            </w:r>
            <w:r w:rsidRPr="00016BFC">
              <w:rPr>
                <w:rFonts w:ascii="Arial" w:hAnsi="Arial" w:cs="Arial"/>
                <w:sz w:val="18"/>
                <w:szCs w:val="18"/>
              </w:rPr>
              <w:fldChar w:fldCharType="end"/>
            </w:r>
          </w:p>
        </w:tc>
      </w:tr>
    </w:tbl>
    <w:p w14:paraId="6D11C956" w14:textId="77777777" w:rsidR="00FD4F41" w:rsidRDefault="00FD4F41" w:rsidP="0088799F">
      <w:pPr>
        <w:rPr>
          <w:rFonts w:ascii="Arial" w:hAnsi="Arial" w:cs="Arial"/>
        </w:rPr>
      </w:pPr>
    </w:p>
    <w:p w14:paraId="01BFB61E" w14:textId="2950C788" w:rsidR="00E9571A" w:rsidRDefault="00E9571A">
      <w:pPr>
        <w:widowControl/>
        <w:jc w:val="left"/>
        <w:rPr>
          <w:rFonts w:ascii="Arial" w:hAnsi="Arial" w:cs="Arial"/>
        </w:rPr>
      </w:pPr>
      <w:r>
        <w:rPr>
          <w:rFonts w:ascii="Arial" w:hAnsi="Arial" w:cs="Arial"/>
        </w:rPr>
        <w:br w:type="page"/>
      </w:r>
    </w:p>
    <w:p w14:paraId="72084CCB" w14:textId="4F705ACB" w:rsidR="00391239" w:rsidRPr="0045676A" w:rsidRDefault="00391239" w:rsidP="00391239">
      <w:pPr>
        <w:widowControl/>
        <w:jc w:val="center"/>
        <w:rPr>
          <w:rFonts w:ascii="Arial" w:hAnsi="Arial" w:cs="Arial"/>
        </w:rPr>
      </w:pPr>
      <w:bookmarkStart w:id="2" w:name="_Hlk188621529"/>
      <w:r w:rsidRPr="00877130">
        <w:rPr>
          <w:rFonts w:ascii="Arial" w:hAnsi="Arial" w:cs="Arial"/>
        </w:rPr>
        <w:lastRenderedPageBreak/>
        <w:t>Tab.S</w:t>
      </w:r>
      <w:bookmarkEnd w:id="2"/>
      <w:r>
        <w:rPr>
          <w:rFonts w:ascii="Arial" w:hAnsi="Arial" w:cs="Arial"/>
        </w:rPr>
        <w:t xml:space="preserve">3 </w:t>
      </w:r>
      <w:r w:rsidRPr="00571510">
        <w:rPr>
          <w:rFonts w:ascii="Arial" w:hAnsi="Arial" w:cs="Arial"/>
        </w:rPr>
        <w:t xml:space="preserve">Comparison of </w:t>
      </w:r>
      <w:r>
        <w:rPr>
          <w:rFonts w:ascii="Arial" w:hAnsi="Arial" w:cs="Arial"/>
        </w:rPr>
        <w:t>p</w:t>
      </w:r>
      <w:r w:rsidRPr="00571510">
        <w:rPr>
          <w:rFonts w:ascii="Arial" w:hAnsi="Arial" w:cs="Arial"/>
        </w:rPr>
        <w:t xml:space="preserve">erformance </w:t>
      </w:r>
      <w:r>
        <w:rPr>
          <w:rFonts w:ascii="Arial" w:hAnsi="Arial" w:cs="Arial"/>
        </w:rPr>
        <w:t>i</w:t>
      </w:r>
      <w:r w:rsidRPr="00856A36">
        <w:rPr>
          <w:rFonts w:ascii="Arial" w:hAnsi="Arial" w:cs="Arial"/>
        </w:rPr>
        <w:t>ncreased multiplier</w:t>
      </w:r>
      <w:r w:rsidRPr="00571510">
        <w:rPr>
          <w:rFonts w:ascii="Arial" w:hAnsi="Arial" w:cs="Arial"/>
        </w:rPr>
        <w:t xml:space="preserve"> </w:t>
      </w:r>
      <w:r>
        <w:rPr>
          <w:rFonts w:ascii="Arial" w:hAnsi="Arial" w:cs="Arial"/>
        </w:rPr>
        <w:t>f</w:t>
      </w:r>
      <w:r w:rsidRPr="00571510">
        <w:rPr>
          <w:rFonts w:ascii="Arial" w:hAnsi="Arial" w:cs="Arial"/>
        </w:rPr>
        <w:t xml:space="preserve">actors between </w:t>
      </w:r>
      <w:r>
        <w:rPr>
          <w:rFonts w:ascii="Arial" w:hAnsi="Arial" w:cs="Arial"/>
        </w:rPr>
        <w:t>PIL-EY[M]</w:t>
      </w:r>
      <w:r w:rsidRPr="00571510">
        <w:rPr>
          <w:rFonts w:ascii="Arial" w:hAnsi="Arial" w:cs="Arial"/>
        </w:rPr>
        <w:t xml:space="preserve"> and </w:t>
      </w:r>
      <w:r w:rsidRPr="006E5072">
        <w:rPr>
          <w:rFonts w:ascii="Arial" w:hAnsi="Arial" w:cs="Arial"/>
        </w:rPr>
        <w:t>different types of photocatalysts</w:t>
      </w:r>
      <w:r>
        <w:rPr>
          <w:rFonts w:ascii="Arial" w:hAnsi="Arial" w:cs="Arial"/>
        </w:rPr>
        <w:t>.</w:t>
      </w:r>
    </w:p>
    <w:tbl>
      <w:tblPr>
        <w:tblStyle w:val="a7"/>
        <w:tblW w:w="8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417"/>
        <w:gridCol w:w="1528"/>
        <w:gridCol w:w="1874"/>
        <w:gridCol w:w="751"/>
        <w:gridCol w:w="1092"/>
        <w:gridCol w:w="641"/>
      </w:tblGrid>
      <w:tr w:rsidR="00391239" w:rsidRPr="005C188B" w14:paraId="729680FB" w14:textId="77777777" w:rsidTr="009C353F">
        <w:trPr>
          <w:trHeight w:val="1248"/>
        </w:trPr>
        <w:tc>
          <w:tcPr>
            <w:tcW w:w="993" w:type="dxa"/>
            <w:tcBorders>
              <w:top w:val="single" w:sz="4" w:space="0" w:color="auto"/>
              <w:bottom w:val="single" w:sz="4" w:space="0" w:color="auto"/>
            </w:tcBorders>
            <w:vAlign w:val="center"/>
          </w:tcPr>
          <w:p w14:paraId="4377009B" w14:textId="77777777" w:rsidR="00391239" w:rsidRPr="005C188B" w:rsidRDefault="00391239" w:rsidP="009C353F">
            <w:pPr>
              <w:jc w:val="center"/>
              <w:rPr>
                <w:rFonts w:ascii="Arial" w:hAnsi="Arial" w:cs="Arial"/>
                <w:sz w:val="18"/>
                <w:szCs w:val="18"/>
              </w:rPr>
            </w:pPr>
            <w:proofErr w:type="spellStart"/>
            <w:r w:rsidRPr="005C188B">
              <w:rPr>
                <w:rFonts w:ascii="Arial" w:hAnsi="Arial" w:cs="Arial"/>
                <w:sz w:val="18"/>
                <w:szCs w:val="18"/>
              </w:rPr>
              <w:t>Prinstin</w:t>
            </w:r>
            <w:proofErr w:type="spellEnd"/>
          </w:p>
          <w:p w14:paraId="475F13B3"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materials</w:t>
            </w:r>
          </w:p>
        </w:tc>
        <w:tc>
          <w:tcPr>
            <w:tcW w:w="1417" w:type="dxa"/>
            <w:tcBorders>
              <w:top w:val="single" w:sz="4" w:space="0" w:color="auto"/>
              <w:bottom w:val="single" w:sz="4" w:space="0" w:color="auto"/>
            </w:tcBorders>
            <w:vAlign w:val="center"/>
          </w:tcPr>
          <w:p w14:paraId="25838841"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Modified materials</w:t>
            </w:r>
          </w:p>
        </w:tc>
        <w:tc>
          <w:tcPr>
            <w:tcW w:w="1528" w:type="dxa"/>
            <w:tcBorders>
              <w:top w:val="single" w:sz="4" w:space="0" w:color="auto"/>
              <w:bottom w:val="single" w:sz="4" w:space="0" w:color="auto"/>
            </w:tcBorders>
            <w:vAlign w:val="center"/>
          </w:tcPr>
          <w:p w14:paraId="420EF15E"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Improvement approach</w:t>
            </w:r>
          </w:p>
        </w:tc>
        <w:tc>
          <w:tcPr>
            <w:tcW w:w="1874" w:type="dxa"/>
            <w:tcBorders>
              <w:top w:val="single" w:sz="4" w:space="0" w:color="auto"/>
              <w:bottom w:val="single" w:sz="4" w:space="0" w:color="auto"/>
            </w:tcBorders>
            <w:vAlign w:val="center"/>
          </w:tcPr>
          <w:p w14:paraId="524E6F20"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Catalytic methods</w:t>
            </w:r>
          </w:p>
        </w:tc>
        <w:tc>
          <w:tcPr>
            <w:tcW w:w="751" w:type="dxa"/>
            <w:tcBorders>
              <w:top w:val="single" w:sz="4" w:space="0" w:color="auto"/>
              <w:bottom w:val="single" w:sz="4" w:space="0" w:color="auto"/>
            </w:tcBorders>
            <w:vAlign w:val="center"/>
          </w:tcPr>
          <w:p w14:paraId="2609FF82"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Selectivity</w:t>
            </w:r>
          </w:p>
        </w:tc>
        <w:tc>
          <w:tcPr>
            <w:tcW w:w="1092" w:type="dxa"/>
            <w:tcBorders>
              <w:top w:val="single" w:sz="4" w:space="0" w:color="auto"/>
              <w:bottom w:val="single" w:sz="4" w:space="0" w:color="auto"/>
            </w:tcBorders>
            <w:vAlign w:val="center"/>
          </w:tcPr>
          <w:p w14:paraId="689BF2BE"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Increased multiplier</w:t>
            </w:r>
          </w:p>
        </w:tc>
        <w:tc>
          <w:tcPr>
            <w:tcW w:w="641" w:type="dxa"/>
            <w:tcBorders>
              <w:top w:val="single" w:sz="4" w:space="0" w:color="auto"/>
              <w:bottom w:val="single" w:sz="4" w:space="0" w:color="auto"/>
            </w:tcBorders>
            <w:vAlign w:val="center"/>
          </w:tcPr>
          <w:p w14:paraId="41BC5F08" w14:textId="77777777" w:rsidR="00391239" w:rsidRPr="005C188B" w:rsidRDefault="00391239" w:rsidP="009C353F">
            <w:pPr>
              <w:jc w:val="center"/>
              <w:rPr>
                <w:rFonts w:ascii="Arial" w:hAnsi="Arial" w:cs="Arial"/>
                <w:sz w:val="18"/>
                <w:szCs w:val="18"/>
              </w:rPr>
            </w:pPr>
            <w:r w:rsidRPr="000B1FF9">
              <w:rPr>
                <w:rFonts w:ascii="Arial" w:hAnsi="Arial" w:cs="Arial" w:hint="eastAsia"/>
                <w:sz w:val="18"/>
                <w:szCs w:val="18"/>
              </w:rPr>
              <w:t>R</w:t>
            </w:r>
            <w:r w:rsidRPr="000B1FF9">
              <w:rPr>
                <w:rFonts w:ascii="Arial" w:hAnsi="Arial" w:cs="Arial"/>
                <w:sz w:val="18"/>
                <w:szCs w:val="18"/>
              </w:rPr>
              <w:t>ef</w:t>
            </w:r>
            <w:r>
              <w:rPr>
                <w:rFonts w:ascii="Arial" w:hAnsi="Arial" w:cs="Arial"/>
                <w:sz w:val="18"/>
                <w:szCs w:val="18"/>
              </w:rPr>
              <w:t>.</w:t>
            </w:r>
          </w:p>
        </w:tc>
      </w:tr>
      <w:tr w:rsidR="00391239" w:rsidRPr="005C188B" w14:paraId="5E033D87" w14:textId="77777777" w:rsidTr="009C353F">
        <w:trPr>
          <w:trHeight w:val="1248"/>
        </w:trPr>
        <w:tc>
          <w:tcPr>
            <w:tcW w:w="993" w:type="dxa"/>
            <w:tcBorders>
              <w:top w:val="single" w:sz="4" w:space="0" w:color="auto"/>
            </w:tcBorders>
            <w:vAlign w:val="center"/>
          </w:tcPr>
          <w:p w14:paraId="12DF1D8A" w14:textId="77777777" w:rsidR="00391239" w:rsidRPr="005C188B" w:rsidRDefault="00391239" w:rsidP="009C353F">
            <w:pPr>
              <w:jc w:val="center"/>
              <w:rPr>
                <w:rFonts w:ascii="Arial" w:eastAsia="微软雅黑" w:hAnsi="Arial" w:cs="Arial"/>
                <w:color w:val="000000"/>
                <w:spacing w:val="15"/>
                <w:sz w:val="18"/>
                <w:szCs w:val="18"/>
                <w:shd w:val="clear" w:color="auto" w:fill="FFFFFF"/>
              </w:rPr>
            </w:pPr>
            <w:r w:rsidRPr="005C188B">
              <w:rPr>
                <w:rFonts w:ascii="Arial" w:eastAsia="微软雅黑" w:hAnsi="Arial" w:cs="Arial" w:hint="eastAsia"/>
                <w:color w:val="000000"/>
                <w:spacing w:val="15"/>
                <w:sz w:val="18"/>
                <w:szCs w:val="18"/>
                <w:shd w:val="clear" w:color="auto" w:fill="FFFFFF"/>
              </w:rPr>
              <w:t>P</w:t>
            </w:r>
            <w:r w:rsidRPr="005C188B">
              <w:rPr>
                <w:rFonts w:ascii="Arial" w:eastAsia="微软雅黑" w:hAnsi="Arial" w:cs="Arial"/>
                <w:color w:val="000000"/>
                <w:spacing w:val="15"/>
                <w:sz w:val="18"/>
                <w:szCs w:val="18"/>
                <w:shd w:val="clear" w:color="auto" w:fill="FFFFFF"/>
              </w:rPr>
              <w:t>IL</w:t>
            </w:r>
          </w:p>
        </w:tc>
        <w:tc>
          <w:tcPr>
            <w:tcW w:w="1417" w:type="dxa"/>
            <w:tcBorders>
              <w:top w:val="single" w:sz="4" w:space="0" w:color="auto"/>
            </w:tcBorders>
            <w:vAlign w:val="center"/>
          </w:tcPr>
          <w:p w14:paraId="147CF075"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P</w:t>
            </w:r>
            <w:r w:rsidRPr="005C188B">
              <w:rPr>
                <w:rFonts w:ascii="Arial" w:hAnsi="Arial" w:cs="Arial"/>
                <w:sz w:val="18"/>
                <w:szCs w:val="18"/>
              </w:rPr>
              <w:t>IL-EY[M]</w:t>
            </w:r>
          </w:p>
        </w:tc>
        <w:tc>
          <w:tcPr>
            <w:tcW w:w="1528" w:type="dxa"/>
            <w:tcBorders>
              <w:top w:val="single" w:sz="4" w:space="0" w:color="auto"/>
            </w:tcBorders>
            <w:vAlign w:val="center"/>
          </w:tcPr>
          <w:p w14:paraId="18216A42" w14:textId="77777777" w:rsidR="00391239" w:rsidRPr="005C188B" w:rsidRDefault="00391239" w:rsidP="009C353F">
            <w:pPr>
              <w:jc w:val="center"/>
              <w:rPr>
                <w:rFonts w:ascii="Arial" w:hAnsi="Arial" w:cs="Arial"/>
                <w:color w:val="000000"/>
                <w:spacing w:val="15"/>
                <w:sz w:val="18"/>
                <w:szCs w:val="18"/>
                <w:shd w:val="clear" w:color="auto" w:fill="FFFFFF"/>
              </w:rPr>
            </w:pPr>
            <w:r w:rsidRPr="005C188B">
              <w:rPr>
                <w:rFonts w:ascii="Arial" w:hAnsi="Arial" w:cs="Arial"/>
                <w:color w:val="000000"/>
                <w:spacing w:val="15"/>
                <w:sz w:val="18"/>
                <w:szCs w:val="18"/>
                <w:shd w:val="clear" w:color="auto" w:fill="FFFFFF"/>
              </w:rPr>
              <w:t>Nano-liquid</w:t>
            </w:r>
          </w:p>
        </w:tc>
        <w:tc>
          <w:tcPr>
            <w:tcW w:w="1874" w:type="dxa"/>
            <w:tcBorders>
              <w:top w:val="single" w:sz="4" w:space="0" w:color="auto"/>
            </w:tcBorders>
            <w:vAlign w:val="center"/>
          </w:tcPr>
          <w:p w14:paraId="54F630D4" w14:textId="77777777" w:rsidR="00391239" w:rsidRPr="005C188B" w:rsidRDefault="00391239" w:rsidP="009C353F">
            <w:pPr>
              <w:jc w:val="center"/>
              <w:rPr>
                <w:rFonts w:ascii="Arial" w:hAnsi="Arial" w:cs="Arial"/>
                <w:color w:val="000000"/>
                <w:spacing w:val="15"/>
                <w:sz w:val="18"/>
                <w:szCs w:val="18"/>
                <w:shd w:val="clear" w:color="auto" w:fill="FFFFFF"/>
              </w:rPr>
            </w:pPr>
            <w:r>
              <w:rPr>
                <w:rFonts w:ascii="Arial" w:hAnsi="Arial" w:cs="Arial"/>
                <w:sz w:val="18"/>
                <w:szCs w:val="18"/>
              </w:rPr>
              <w:t>P</w:t>
            </w:r>
            <w:r w:rsidRPr="005C188B">
              <w:rPr>
                <w:rFonts w:ascii="Arial" w:hAnsi="Arial" w:cs="Arial"/>
                <w:sz w:val="18"/>
                <w:szCs w:val="18"/>
              </w:rPr>
              <w:t>hotocatalysts</w:t>
            </w:r>
          </w:p>
        </w:tc>
        <w:tc>
          <w:tcPr>
            <w:tcW w:w="751" w:type="dxa"/>
            <w:tcBorders>
              <w:top w:val="single" w:sz="4" w:space="0" w:color="auto"/>
            </w:tcBorders>
            <w:vAlign w:val="center"/>
          </w:tcPr>
          <w:p w14:paraId="03BC2078"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1</w:t>
            </w:r>
            <w:r w:rsidRPr="005C188B">
              <w:rPr>
                <w:rFonts w:ascii="Arial" w:hAnsi="Arial" w:cs="Arial"/>
                <w:sz w:val="18"/>
                <w:szCs w:val="18"/>
              </w:rPr>
              <w:t>00</w:t>
            </w:r>
            <w:r>
              <w:rPr>
                <w:rFonts w:ascii="Arial" w:hAnsi="Arial" w:cs="Arial"/>
                <w:sz w:val="18"/>
                <w:szCs w:val="18"/>
              </w:rPr>
              <w:t>%</w:t>
            </w:r>
          </w:p>
        </w:tc>
        <w:tc>
          <w:tcPr>
            <w:tcW w:w="1092" w:type="dxa"/>
            <w:tcBorders>
              <w:top w:val="single" w:sz="4" w:space="0" w:color="auto"/>
            </w:tcBorders>
            <w:vAlign w:val="center"/>
          </w:tcPr>
          <w:p w14:paraId="63363AD6"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5</w:t>
            </w:r>
            <w:r w:rsidRPr="00953B50">
              <w:rPr>
                <w:rFonts w:ascii="Arial" w:hAnsi="Arial" w:cs="Arial"/>
                <w:b/>
                <w:bCs/>
                <w:color w:val="FF0000"/>
                <w:sz w:val="18"/>
                <w:szCs w:val="18"/>
              </w:rPr>
              <w:t>7.8</w:t>
            </w:r>
            <w:r w:rsidRPr="000B1FF9">
              <w:rPr>
                <w:rFonts w:ascii="Arial" w:hAnsi="Arial" w:cs="Arial"/>
                <w:b/>
                <w:bCs/>
                <w:color w:val="FF0000"/>
                <w:sz w:val="18"/>
                <w:szCs w:val="18"/>
              </w:rPr>
              <w:t xml:space="preserve"> times</w:t>
            </w:r>
          </w:p>
        </w:tc>
        <w:tc>
          <w:tcPr>
            <w:tcW w:w="641" w:type="dxa"/>
            <w:tcBorders>
              <w:top w:val="single" w:sz="4" w:space="0" w:color="auto"/>
            </w:tcBorders>
            <w:vAlign w:val="center"/>
          </w:tcPr>
          <w:p w14:paraId="327C1A21" w14:textId="156C711A" w:rsidR="00391239" w:rsidRPr="005C188B" w:rsidRDefault="00837277" w:rsidP="009C353F">
            <w:pPr>
              <w:jc w:val="center"/>
              <w:rPr>
                <w:rFonts w:ascii="Arial" w:hAnsi="Arial" w:cs="Arial"/>
                <w:sz w:val="18"/>
                <w:szCs w:val="18"/>
              </w:rPr>
            </w:pPr>
            <w:r>
              <w:rPr>
                <w:rFonts w:ascii="Arial" w:hAnsi="Arial" w:cs="Arial"/>
                <w:sz w:val="18"/>
                <w:szCs w:val="18"/>
              </w:rPr>
              <w:t>This work</w:t>
            </w:r>
          </w:p>
        </w:tc>
      </w:tr>
      <w:tr w:rsidR="00391239" w:rsidRPr="005C188B" w14:paraId="137FFDF3" w14:textId="77777777" w:rsidTr="009C353F">
        <w:trPr>
          <w:trHeight w:val="1248"/>
        </w:trPr>
        <w:tc>
          <w:tcPr>
            <w:tcW w:w="993" w:type="dxa"/>
            <w:vAlign w:val="center"/>
          </w:tcPr>
          <w:p w14:paraId="3D5C4035" w14:textId="77777777" w:rsidR="00391239" w:rsidRPr="005C188B" w:rsidRDefault="00391239" w:rsidP="009C353F">
            <w:pPr>
              <w:jc w:val="center"/>
              <w:rPr>
                <w:rFonts w:ascii="Arial" w:hAnsi="Arial" w:cs="Arial"/>
                <w:sz w:val="18"/>
                <w:szCs w:val="18"/>
              </w:rPr>
            </w:pPr>
            <w:r w:rsidRPr="005C188B">
              <w:rPr>
                <w:rFonts w:ascii="Arial" w:eastAsia="微软雅黑" w:hAnsi="Arial" w:cs="Arial"/>
                <w:color w:val="000000"/>
                <w:spacing w:val="15"/>
                <w:sz w:val="18"/>
                <w:szCs w:val="18"/>
                <w:shd w:val="clear" w:color="auto" w:fill="FFFFFF"/>
              </w:rPr>
              <w:t>Ru/</w:t>
            </w:r>
            <w:proofErr w:type="spellStart"/>
            <w:r w:rsidRPr="005C188B">
              <w:rPr>
                <w:rFonts w:ascii="Arial" w:eastAsia="微软雅黑" w:hAnsi="Arial" w:cs="Arial"/>
                <w:color w:val="000000"/>
                <w:spacing w:val="15"/>
                <w:sz w:val="18"/>
                <w:szCs w:val="18"/>
                <w:shd w:val="clear" w:color="auto" w:fill="FFFFFF"/>
              </w:rPr>
              <w:t>MnOx</w:t>
            </w:r>
            <w:proofErr w:type="spellEnd"/>
          </w:p>
        </w:tc>
        <w:tc>
          <w:tcPr>
            <w:tcW w:w="1417" w:type="dxa"/>
            <w:vAlign w:val="center"/>
          </w:tcPr>
          <w:p w14:paraId="1717F4C4" w14:textId="77777777" w:rsidR="00391239" w:rsidRPr="009B194B" w:rsidRDefault="00391239" w:rsidP="009C353F">
            <w:pPr>
              <w:jc w:val="center"/>
              <w:rPr>
                <w:rFonts w:ascii="Arial" w:hAnsi="Arial" w:cs="Arial"/>
                <w:sz w:val="18"/>
                <w:szCs w:val="18"/>
              </w:rPr>
            </w:pPr>
            <w:r w:rsidRPr="009B194B">
              <w:rPr>
                <w:rFonts w:ascii="Arial" w:hAnsi="Arial" w:cs="Arial"/>
                <w:sz w:val="18"/>
                <w:szCs w:val="18"/>
              </w:rPr>
              <w:t>Ru/(</w:t>
            </w:r>
            <w:proofErr w:type="spellStart"/>
            <w:r w:rsidRPr="009B194B">
              <w:rPr>
                <w:rFonts w:ascii="Arial" w:hAnsi="Arial" w:cs="Arial"/>
                <w:sz w:val="18"/>
                <w:szCs w:val="18"/>
              </w:rPr>
              <w:t>TiOx</w:t>
            </w:r>
            <w:proofErr w:type="spellEnd"/>
            <w:r w:rsidRPr="009B194B">
              <w:rPr>
                <w:rFonts w:ascii="Arial" w:hAnsi="Arial" w:cs="Arial"/>
                <w:sz w:val="18"/>
                <w:szCs w:val="18"/>
              </w:rPr>
              <w:t>)</w:t>
            </w:r>
            <w:proofErr w:type="spellStart"/>
            <w:r w:rsidRPr="009B194B">
              <w:rPr>
                <w:rFonts w:ascii="Arial" w:hAnsi="Arial" w:cs="Arial"/>
                <w:sz w:val="18"/>
                <w:szCs w:val="18"/>
              </w:rPr>
              <w:t>MnO</w:t>
            </w:r>
            <w:proofErr w:type="spellEnd"/>
          </w:p>
        </w:tc>
        <w:tc>
          <w:tcPr>
            <w:tcW w:w="1528" w:type="dxa"/>
            <w:vAlign w:val="center"/>
          </w:tcPr>
          <w:p w14:paraId="0D15CFEF" w14:textId="77777777" w:rsidR="00391239" w:rsidRPr="005C188B" w:rsidRDefault="00391239" w:rsidP="009C353F">
            <w:pPr>
              <w:jc w:val="center"/>
              <w:rPr>
                <w:rFonts w:ascii="Arial" w:hAnsi="Arial" w:cs="Arial"/>
                <w:sz w:val="18"/>
                <w:szCs w:val="18"/>
              </w:rPr>
            </w:pPr>
            <w:r>
              <w:rPr>
                <w:rFonts w:ascii="Arial" w:hAnsi="Arial" w:cs="Arial"/>
                <w:color w:val="000000"/>
                <w:spacing w:val="15"/>
                <w:sz w:val="18"/>
                <w:szCs w:val="18"/>
                <w:shd w:val="clear" w:color="auto" w:fill="FFFFFF"/>
              </w:rPr>
              <w:t>O</w:t>
            </w:r>
            <w:r w:rsidRPr="005C188B">
              <w:rPr>
                <w:rFonts w:ascii="Arial" w:hAnsi="Arial" w:cs="Arial"/>
                <w:color w:val="000000"/>
                <w:spacing w:val="15"/>
                <w:sz w:val="18"/>
                <w:szCs w:val="18"/>
                <w:shd w:val="clear" w:color="auto" w:fill="FFFFFF"/>
              </w:rPr>
              <w:t>xide surface patches</w:t>
            </w:r>
          </w:p>
        </w:tc>
        <w:tc>
          <w:tcPr>
            <w:tcW w:w="1874" w:type="dxa"/>
            <w:vAlign w:val="center"/>
          </w:tcPr>
          <w:p w14:paraId="18D6B74D" w14:textId="77777777" w:rsidR="00391239" w:rsidRPr="005C188B" w:rsidRDefault="00391239" w:rsidP="009C353F">
            <w:pPr>
              <w:jc w:val="center"/>
              <w:rPr>
                <w:rFonts w:ascii="Arial" w:hAnsi="Arial" w:cs="Arial"/>
                <w:sz w:val="18"/>
                <w:szCs w:val="18"/>
              </w:rPr>
            </w:pPr>
            <w:r>
              <w:rPr>
                <w:rFonts w:ascii="Arial" w:hAnsi="Arial" w:cs="Arial"/>
                <w:color w:val="000000"/>
                <w:spacing w:val="15"/>
                <w:sz w:val="18"/>
                <w:szCs w:val="18"/>
                <w:shd w:val="clear" w:color="auto" w:fill="FFFFFF"/>
              </w:rPr>
              <w:t>S</w:t>
            </w:r>
            <w:r w:rsidRPr="005C188B">
              <w:rPr>
                <w:rFonts w:ascii="Arial" w:hAnsi="Arial" w:cs="Arial"/>
                <w:color w:val="000000"/>
                <w:spacing w:val="15"/>
                <w:sz w:val="18"/>
                <w:szCs w:val="18"/>
                <w:shd w:val="clear" w:color="auto" w:fill="FFFFFF"/>
              </w:rPr>
              <w:t>elective hydrogenation catalysts</w:t>
            </w:r>
          </w:p>
        </w:tc>
        <w:tc>
          <w:tcPr>
            <w:tcW w:w="751" w:type="dxa"/>
            <w:vAlign w:val="center"/>
          </w:tcPr>
          <w:p w14:paraId="0042D6A6"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w:t>
            </w:r>
          </w:p>
        </w:tc>
        <w:tc>
          <w:tcPr>
            <w:tcW w:w="1092" w:type="dxa"/>
            <w:vAlign w:val="center"/>
          </w:tcPr>
          <w:p w14:paraId="1F315155"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b/>
                <w:bCs/>
                <w:color w:val="FF0000"/>
                <w:sz w:val="18"/>
                <w:szCs w:val="18"/>
              </w:rPr>
              <w:t>3.3</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4209F81B" w14:textId="66BDBCDF"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&lt;EndNote&gt;&lt;Cite&gt;&lt;Author&gt;Kang&lt;/Author&gt;&lt;Year&gt;2023&lt;/Year&gt;&lt;RecNum&gt;110&lt;/RecNum&gt;&lt;DisplayText&gt;&lt;style face="superscript"&gt;15&lt;/style&gt;&lt;/DisplayText&gt;&lt;record&gt;&lt;rec-number&gt;110&lt;/rec-number&gt;&lt;foreign-keys&gt;&lt;key app="EN" db-id="9w5fevawaxf0wmefz59pfxe7zedxpwvsa5ap" timestamp="1744253581"&gt;110&lt;/key&gt;&lt;/foreign-keys&gt;&lt;ref-type name="Journal Article"&gt;17&lt;/ref-type&gt;&lt;contributors&gt;&lt;authors&gt;&lt;author&gt;Kang, Hui&lt;/author&gt;&lt;author&gt;Zhu, Ling&lt;/author&gt;&lt;author&gt;Li, Shiyan&lt;/author&gt;&lt;author&gt;Yu, Shuwen&lt;/author&gt;&lt;author&gt;Niu, Yiming&lt;/author&gt;&lt;author&gt;Zhang, Bingsen&lt;/author&gt;&lt;author&gt;Chu, Wei&lt;/author&gt;&lt;author&gt;Liu, Xingchen&lt;/author&gt;&lt;author&gt;Perathoner, Siglinda&lt;/author&gt;&lt;author&gt;Centi, Gabriele&lt;/author&gt;&lt;author&gt;Liu, Yuefeng&lt;/author&gt;&lt;/authors&gt;&lt;/contributors&gt;&lt;titles&gt;&lt;title&gt;&lt;style face="normal" font="default" size="100%"&gt;Generation of oxide surface patches promoting H-spillover in Ru/(TiOx)MnO catalysts enables CO&lt;/style&gt;&lt;style face="subscript" font="default" size="100%"&gt;2&lt;/style&gt;&lt;style face="normal" font="default" size="100%"&gt; reduction to CO&lt;/style&gt;&lt;/title&gt;&lt;secondary-title&gt;Nature Catalysis&lt;/secondary-title&gt;&lt;/titles&gt;&lt;periodical&gt;&lt;full-title&gt;Nature Catalysis&lt;/full-title&gt;&lt;abbr-1&gt;Nat. Catal.&lt;/abbr-1&gt;&lt;/periodical&gt;&lt;pages&gt;1062-1072&lt;/pages&gt;&lt;volume&gt;6&lt;/volume&gt;&lt;number&gt;11&lt;/number&gt;&lt;dates&gt;&lt;year&gt;2023&lt;/year&gt;&lt;pub-dates&gt;&lt;date&gt;2023/11/01&lt;/date&gt;&lt;/pub-dates&gt;&lt;/dates&gt;&lt;isbn&gt;2520-1158&lt;/isbn&gt;&lt;urls&gt;&lt;related-urls&gt;&lt;url&gt;https://doi.org/10.1038/s41929-023-01040-0&lt;/url&gt;&lt;/related-urls&gt;&lt;/urls&gt;&lt;electronic-resource-num&gt;10.1038/s41929-023-01040-0&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15</w:t>
            </w:r>
            <w:r>
              <w:rPr>
                <w:rFonts w:ascii="Arial" w:hAnsi="Arial" w:cs="Arial"/>
                <w:sz w:val="18"/>
                <w:szCs w:val="18"/>
              </w:rPr>
              <w:fldChar w:fldCharType="end"/>
            </w:r>
          </w:p>
        </w:tc>
      </w:tr>
      <w:tr w:rsidR="00391239" w:rsidRPr="005C188B" w14:paraId="59B6F103" w14:textId="77777777" w:rsidTr="009C353F">
        <w:trPr>
          <w:trHeight w:val="1248"/>
        </w:trPr>
        <w:tc>
          <w:tcPr>
            <w:tcW w:w="993" w:type="dxa"/>
            <w:vAlign w:val="center"/>
          </w:tcPr>
          <w:p w14:paraId="303E1A76"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P</w:t>
            </w:r>
            <w:r w:rsidRPr="005C188B">
              <w:rPr>
                <w:rFonts w:ascii="Arial" w:hAnsi="Arial" w:cs="Arial"/>
                <w:sz w:val="18"/>
                <w:szCs w:val="18"/>
              </w:rPr>
              <w:t>lanar-Cu</w:t>
            </w:r>
          </w:p>
        </w:tc>
        <w:tc>
          <w:tcPr>
            <w:tcW w:w="1417" w:type="dxa"/>
            <w:vAlign w:val="center"/>
          </w:tcPr>
          <w:p w14:paraId="5989E9C5"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C</w:t>
            </w:r>
            <w:r w:rsidRPr="005C188B">
              <w:rPr>
                <w:rFonts w:ascii="Arial" w:hAnsi="Arial" w:cs="Arial"/>
                <w:sz w:val="18"/>
                <w:szCs w:val="18"/>
              </w:rPr>
              <w:t>u-DAC</w:t>
            </w:r>
          </w:p>
        </w:tc>
        <w:tc>
          <w:tcPr>
            <w:tcW w:w="1528" w:type="dxa"/>
            <w:vAlign w:val="center"/>
          </w:tcPr>
          <w:p w14:paraId="1ADA20A8"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Atomic-level Cu active sites</w:t>
            </w:r>
          </w:p>
        </w:tc>
        <w:tc>
          <w:tcPr>
            <w:tcW w:w="1874" w:type="dxa"/>
            <w:vAlign w:val="center"/>
          </w:tcPr>
          <w:p w14:paraId="3D238AB3" w14:textId="77777777" w:rsidR="00391239" w:rsidRPr="005C188B" w:rsidRDefault="00391239" w:rsidP="009C353F">
            <w:pPr>
              <w:jc w:val="center"/>
              <w:rPr>
                <w:rFonts w:ascii="Arial" w:hAnsi="Arial" w:cs="Arial"/>
                <w:sz w:val="18"/>
                <w:szCs w:val="18"/>
              </w:rPr>
            </w:pPr>
            <w:r>
              <w:rPr>
                <w:rFonts w:ascii="Arial" w:hAnsi="Arial" w:cs="Arial"/>
                <w:sz w:val="18"/>
                <w:szCs w:val="18"/>
              </w:rPr>
              <w:t>E</w:t>
            </w:r>
            <w:r w:rsidRPr="005C188B">
              <w:rPr>
                <w:rFonts w:ascii="Arial" w:hAnsi="Arial" w:cs="Arial"/>
                <w:sz w:val="18"/>
                <w:szCs w:val="18"/>
              </w:rPr>
              <w:t>lectroreduction</w:t>
            </w:r>
          </w:p>
        </w:tc>
        <w:tc>
          <w:tcPr>
            <w:tcW w:w="751" w:type="dxa"/>
            <w:vAlign w:val="center"/>
          </w:tcPr>
          <w:p w14:paraId="178CBB50"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w:t>
            </w:r>
          </w:p>
        </w:tc>
        <w:tc>
          <w:tcPr>
            <w:tcW w:w="1092" w:type="dxa"/>
            <w:vAlign w:val="center"/>
          </w:tcPr>
          <w:p w14:paraId="0CFAAE14"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b/>
                <w:bCs/>
                <w:color w:val="FF0000"/>
                <w:sz w:val="18"/>
                <w:szCs w:val="18"/>
              </w:rPr>
              <w:t>~2.3</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07F4E9B8" w14:textId="3A025E73"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&lt;EndNote&gt;&lt;Cite&gt;&lt;Author&gt;Fan&lt;/Author&gt;&lt;Year&gt;2025&lt;/Year&gt;&lt;RecNum&gt;111&lt;/RecNum&gt;&lt;DisplayText&gt;&lt;style face="superscript"&gt;16&lt;/style&gt;&lt;/DisplayText&gt;&lt;record&gt;&lt;rec-number&gt;111&lt;/rec-number&gt;&lt;foreign-keys&gt;&lt;key app="EN" db-id="9w5fevawaxf0wmefz59pfxe7zedxpwvsa5ap" timestamp="1744253645"&gt;111&lt;/key&gt;&lt;/foreign-keys&gt;&lt;ref-type name="Journal Article"&gt;17&lt;/ref-type&gt;&lt;contributors&gt;&lt;authors&gt;&lt;author&gt;Fan, Lizhou&lt;/author&gt;&lt;author&gt;Li, Feng&lt;/author&gt;&lt;author&gt;Liu, Tianqi&lt;/author&gt;&lt;author&gt;Huang, Jianan Erick&lt;/author&gt;&lt;author&gt;Miao, Rui Kai&lt;/author&gt;&lt;author&gt;Yan, Yu&lt;/author&gt;&lt;author&gt;Feng, Shihui&lt;/author&gt;&lt;author&gt;Tai, Cheuk-Wai&lt;/author&gt;&lt;author&gt;Hung, Sung-Fu&lt;/author&gt;&lt;author&gt;Tsai, Hsin-Jung&lt;/author&gt;&lt;author&gt;Chen, Meng-Cheng&lt;/author&gt;&lt;author&gt;Bai, Yang&lt;/author&gt;&lt;author&gt;Kim, Dongha&lt;/author&gt;&lt;author&gt;Park, Sungjin&lt;/author&gt;&lt;author&gt;Papangelakis, Panos&lt;/author&gt;&lt;author&gt;Wu, Chengqian&lt;/author&gt;&lt;author&gt;Shayesteh Zeraati, Ali&lt;/author&gt;&lt;author&gt;Dorakhan, Roham&lt;/author&gt;&lt;author&gt;Sun, Licheng&lt;/author&gt;&lt;author&gt;Sinton, David&lt;/author&gt;&lt;author&gt;Sargent, Edward&lt;/author&gt;&lt;/authors&gt;&lt;/contributors&gt;&lt;titles&gt;&lt;title&gt;&lt;style face="normal" font="default" size="100%"&gt;Atomic-level Cu active sites enable energy-efficient CO&lt;/style&gt;&lt;style face="subscript" font="default" size="100%"&gt;2 &lt;/style&gt;&lt;style face="normal" font="default" size="100%"&gt;electroreduction to multicarbon products in strong acid&lt;/style&gt;&lt;/title&gt;&lt;secondary-title&gt;Nature Synthesis&lt;/secondary-title&gt;&lt;/titles&gt;&lt;periodical&gt;&lt;full-title&gt;Nature Synthesis&lt;/full-title&gt;&lt;abbr-1&gt;Nat. Synth.&lt;/abbr-1&gt;&lt;/periodical&gt;&lt;pages&gt;262-270&lt;/pages&gt;&lt;volume&gt;4&lt;/volume&gt;&lt;number&gt;2&lt;/number&gt;&lt;dates&gt;&lt;year&gt;2025&lt;/year&gt;&lt;pub-dates&gt;&lt;date&gt;2025/02/01&lt;/date&gt;&lt;/pub-dates&gt;&lt;/dates&gt;&lt;isbn&gt;2731-0582&lt;/isbn&gt;&lt;urls&gt;&lt;related-urls&gt;&lt;url&gt;https://doi.org/10.1038/s44160-024-00689-0&lt;/url&gt;&lt;/related-urls&gt;&lt;/urls&gt;&lt;electronic-resource-num&gt;10.1038/s44160-024-00689-0&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16</w:t>
            </w:r>
            <w:r>
              <w:rPr>
                <w:rFonts w:ascii="Arial" w:hAnsi="Arial" w:cs="Arial"/>
                <w:sz w:val="18"/>
                <w:szCs w:val="18"/>
              </w:rPr>
              <w:fldChar w:fldCharType="end"/>
            </w:r>
          </w:p>
        </w:tc>
      </w:tr>
      <w:tr w:rsidR="00391239" w:rsidRPr="005C188B" w14:paraId="29B842A2" w14:textId="77777777" w:rsidTr="009C353F">
        <w:trPr>
          <w:trHeight w:val="1248"/>
        </w:trPr>
        <w:tc>
          <w:tcPr>
            <w:tcW w:w="993" w:type="dxa"/>
            <w:vAlign w:val="center"/>
          </w:tcPr>
          <w:p w14:paraId="5A48F0A1" w14:textId="77777777" w:rsidR="00391239" w:rsidRPr="005C188B" w:rsidRDefault="00391239" w:rsidP="009C353F">
            <w:pPr>
              <w:jc w:val="center"/>
              <w:rPr>
                <w:rFonts w:ascii="Arial" w:hAnsi="Arial" w:cs="Arial"/>
                <w:sz w:val="18"/>
                <w:szCs w:val="18"/>
                <w:vertAlign w:val="subscript"/>
              </w:rPr>
            </w:pPr>
            <w:proofErr w:type="spellStart"/>
            <w:r w:rsidRPr="005C188B">
              <w:rPr>
                <w:rFonts w:ascii="Arial" w:hAnsi="Arial" w:cs="Arial" w:hint="eastAsia"/>
                <w:sz w:val="18"/>
                <w:szCs w:val="18"/>
              </w:rPr>
              <w:t>Cu</w:t>
            </w:r>
            <w:r w:rsidRPr="005C188B">
              <w:rPr>
                <w:rFonts w:ascii="Arial" w:hAnsi="Arial" w:cs="Arial" w:hint="eastAsia"/>
                <w:sz w:val="18"/>
                <w:szCs w:val="18"/>
                <w:vertAlign w:val="subscript"/>
              </w:rPr>
              <w:t>CO</w:t>
            </w:r>
            <w:proofErr w:type="spellEnd"/>
          </w:p>
        </w:tc>
        <w:tc>
          <w:tcPr>
            <w:tcW w:w="1417" w:type="dxa"/>
            <w:vAlign w:val="center"/>
          </w:tcPr>
          <w:p w14:paraId="3B4449F3"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Cu</w:t>
            </w:r>
            <w:r w:rsidRPr="005C188B">
              <w:rPr>
                <w:rFonts w:ascii="Arial" w:hAnsi="Arial" w:cs="Arial" w:hint="eastAsia"/>
                <w:sz w:val="18"/>
                <w:szCs w:val="18"/>
                <w:vertAlign w:val="subscript"/>
              </w:rPr>
              <w:t>CO</w:t>
            </w:r>
            <w:r w:rsidRPr="005C188B">
              <w:rPr>
                <w:rFonts w:ascii="Arial" w:hAnsi="Arial" w:cs="Arial"/>
                <w:sz w:val="18"/>
                <w:szCs w:val="18"/>
                <w:vertAlign w:val="subscript"/>
              </w:rPr>
              <w:t>2</w:t>
            </w:r>
          </w:p>
        </w:tc>
        <w:tc>
          <w:tcPr>
            <w:tcW w:w="1528" w:type="dxa"/>
            <w:vAlign w:val="center"/>
          </w:tcPr>
          <w:p w14:paraId="45D5B39D" w14:textId="77777777" w:rsidR="00391239" w:rsidRPr="005C188B" w:rsidRDefault="00391239" w:rsidP="009C353F">
            <w:pPr>
              <w:jc w:val="center"/>
              <w:rPr>
                <w:rFonts w:ascii="Arial" w:hAnsi="Arial" w:cs="Arial"/>
                <w:sz w:val="18"/>
                <w:szCs w:val="18"/>
              </w:rPr>
            </w:pPr>
            <w:r>
              <w:rPr>
                <w:rFonts w:ascii="Arial" w:hAnsi="Arial" w:cs="Arial"/>
                <w:sz w:val="18"/>
                <w:szCs w:val="18"/>
              </w:rPr>
              <w:t>D</w:t>
            </w:r>
            <w:r w:rsidRPr="005C188B">
              <w:rPr>
                <w:rFonts w:ascii="Arial" w:hAnsi="Arial" w:cs="Arial"/>
                <w:sz w:val="18"/>
                <w:szCs w:val="18"/>
              </w:rPr>
              <w:t>istinct Cu sites</w:t>
            </w:r>
          </w:p>
        </w:tc>
        <w:tc>
          <w:tcPr>
            <w:tcW w:w="1874" w:type="dxa"/>
            <w:vAlign w:val="center"/>
          </w:tcPr>
          <w:p w14:paraId="32585AB0" w14:textId="77777777" w:rsidR="00391239" w:rsidRPr="005C188B" w:rsidRDefault="00391239" w:rsidP="009C353F">
            <w:pPr>
              <w:jc w:val="center"/>
              <w:rPr>
                <w:rFonts w:ascii="Arial" w:hAnsi="Arial" w:cs="Arial"/>
                <w:sz w:val="18"/>
                <w:szCs w:val="18"/>
              </w:rPr>
            </w:pPr>
            <w:r>
              <w:rPr>
                <w:rFonts w:ascii="Arial" w:hAnsi="Arial" w:cs="Arial"/>
                <w:sz w:val="18"/>
                <w:szCs w:val="18"/>
              </w:rPr>
              <w:t>E</w:t>
            </w:r>
            <w:r w:rsidRPr="005C188B">
              <w:rPr>
                <w:rFonts w:ascii="Arial" w:hAnsi="Arial" w:cs="Arial"/>
                <w:sz w:val="18"/>
                <w:szCs w:val="18"/>
              </w:rPr>
              <w:t>lectroreduction</w:t>
            </w:r>
          </w:p>
        </w:tc>
        <w:tc>
          <w:tcPr>
            <w:tcW w:w="751" w:type="dxa"/>
            <w:vAlign w:val="center"/>
          </w:tcPr>
          <w:p w14:paraId="029BE4D0"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w:t>
            </w:r>
          </w:p>
        </w:tc>
        <w:tc>
          <w:tcPr>
            <w:tcW w:w="1092" w:type="dxa"/>
            <w:vAlign w:val="center"/>
          </w:tcPr>
          <w:p w14:paraId="31A5AEFE"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6</w:t>
            </w:r>
            <w:r>
              <w:rPr>
                <w:rFonts w:ascii="Arial" w:hAnsi="Arial" w:cs="Arial"/>
                <w:b/>
                <w:bCs/>
                <w:color w:val="FF0000"/>
                <w:sz w:val="18"/>
                <w:szCs w:val="18"/>
              </w:rPr>
              <w:t xml:space="preserve">.0 </w:t>
            </w:r>
            <w:r w:rsidRPr="000B1FF9">
              <w:rPr>
                <w:rFonts w:ascii="Arial" w:hAnsi="Arial" w:cs="Arial"/>
                <w:b/>
                <w:bCs/>
                <w:color w:val="FF0000"/>
                <w:sz w:val="18"/>
                <w:szCs w:val="18"/>
              </w:rPr>
              <w:t>times</w:t>
            </w:r>
          </w:p>
        </w:tc>
        <w:tc>
          <w:tcPr>
            <w:tcW w:w="641" w:type="dxa"/>
            <w:vAlign w:val="center"/>
          </w:tcPr>
          <w:p w14:paraId="3C371F4B" w14:textId="7FF20DB8"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&lt;EndNote&gt;&lt;Cite&gt;&lt;Author&gt;Gao&lt;/Author&gt;&lt;Year&gt;2023&lt;/Year&gt;&lt;RecNum&gt;112&lt;/RecNum&gt;&lt;DisplayText&gt;&lt;style face="superscript"&gt;17&lt;/style&gt;&lt;/DisplayText&gt;&lt;record&gt;&lt;rec-number&gt;112&lt;/rec-number&gt;&lt;foreign-keys&gt;&lt;key app="EN" db-id="9w5fevawaxf0wmefz59pfxe7zedxpwvsa5ap" timestamp="1744253681"&gt;112&lt;/key&gt;&lt;/foreign-keys&gt;&lt;ref-type name="Journal Article"&gt;17&lt;/ref-type&gt;&lt;contributors&gt;&lt;authors&gt;&lt;author&gt;Gao, Wenqiang&lt;/author&gt;&lt;author&gt;Xu, Yifei&lt;/author&gt;&lt;author&gt;Fu, Linke&lt;/author&gt;&lt;author&gt;Chang, Xiaoxia&lt;/author&gt;&lt;author&gt;Xu, Bingjun&lt;/author&gt;&lt;/authors&gt;&lt;/contributors&gt;&lt;titles&gt;&lt;title&gt;&lt;style face="normal" font="default" size="100%"&gt;Experimental evidence of distinct sites for CO&lt;/style&gt;&lt;style face="subscript" font="default" size="100%"&gt;2&lt;/style&gt;&lt;style face="normal" font="default" size="100%"&gt;-to-CO and CO conversion on Cu in the electrochemical CO&lt;/style&gt;&lt;style face="subscript" font="default" size="100%"&gt;2&lt;/style&gt;&lt;style face="normal" font="default" size="100%"&gt; reduction reaction&lt;/style&gt;&lt;/title&gt;&lt;secondary-title&gt;Nature Catalysis&lt;/secondary-title&gt;&lt;/titles&gt;&lt;periodical&gt;&lt;full-title&gt;Nature Catalysis&lt;/full-title&gt;&lt;abbr-1&gt;Nat. Catal.&lt;/abbr-1&gt;&lt;/periodical&gt;&lt;pages&gt;885-894&lt;/pages&gt;&lt;volume&gt;6&lt;/volume&gt;&lt;number&gt;10&lt;/number&gt;&lt;dates&gt;&lt;year&gt;2023&lt;/year&gt;&lt;pub-dates&gt;&lt;date&gt;2023/10/01&lt;/date&gt;&lt;/pub-dates&gt;&lt;/dates&gt;&lt;isbn&gt;2520-1158&lt;/isbn&gt;&lt;urls&gt;&lt;related-urls&gt;&lt;url&gt;https://doi.org/10.1038/s41929-023-01002-6&lt;/url&gt;&lt;/related-urls&gt;&lt;/urls&gt;&lt;electronic-resource-num&gt;10.1038/s41929-023-01002-6&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17</w:t>
            </w:r>
            <w:r>
              <w:rPr>
                <w:rFonts w:ascii="Arial" w:hAnsi="Arial" w:cs="Arial"/>
                <w:sz w:val="18"/>
                <w:szCs w:val="18"/>
              </w:rPr>
              <w:fldChar w:fldCharType="end"/>
            </w:r>
          </w:p>
        </w:tc>
      </w:tr>
      <w:tr w:rsidR="00391239" w:rsidRPr="005C188B" w14:paraId="60DF83FD" w14:textId="77777777" w:rsidTr="009C353F">
        <w:trPr>
          <w:trHeight w:val="1248"/>
        </w:trPr>
        <w:tc>
          <w:tcPr>
            <w:tcW w:w="993" w:type="dxa"/>
            <w:vAlign w:val="center"/>
          </w:tcPr>
          <w:p w14:paraId="1CE11825" w14:textId="77777777" w:rsidR="00391239" w:rsidRPr="005C188B" w:rsidRDefault="00391239" w:rsidP="009C353F">
            <w:pPr>
              <w:jc w:val="center"/>
              <w:rPr>
                <w:rFonts w:ascii="Arial" w:hAnsi="Arial" w:cs="Arial"/>
                <w:sz w:val="18"/>
                <w:szCs w:val="18"/>
                <w:vertAlign w:val="subscript"/>
              </w:rPr>
            </w:pPr>
            <w:proofErr w:type="spellStart"/>
            <w:r w:rsidRPr="005C188B">
              <w:rPr>
                <w:rFonts w:ascii="Arial" w:hAnsi="Arial" w:cs="Arial" w:hint="eastAsia"/>
                <w:sz w:val="18"/>
                <w:szCs w:val="18"/>
              </w:rPr>
              <w:t>M</w:t>
            </w:r>
            <w:r w:rsidRPr="005C188B">
              <w:rPr>
                <w:rFonts w:ascii="Arial" w:hAnsi="Arial" w:cs="Arial"/>
                <w:sz w:val="18"/>
                <w:szCs w:val="18"/>
              </w:rPr>
              <w:t>nO</w:t>
            </w:r>
            <w:r w:rsidRPr="005C188B">
              <w:rPr>
                <w:rFonts w:ascii="Arial" w:hAnsi="Arial" w:cs="Arial"/>
                <w:sz w:val="18"/>
                <w:szCs w:val="18"/>
                <w:vertAlign w:val="subscript"/>
              </w:rPr>
              <w:t>x</w:t>
            </w:r>
            <w:proofErr w:type="spellEnd"/>
          </w:p>
        </w:tc>
        <w:tc>
          <w:tcPr>
            <w:tcW w:w="1417" w:type="dxa"/>
            <w:vAlign w:val="center"/>
          </w:tcPr>
          <w:p w14:paraId="02680E60" w14:textId="77777777" w:rsidR="00391239" w:rsidRPr="005C188B" w:rsidRDefault="00391239" w:rsidP="009C353F">
            <w:pPr>
              <w:jc w:val="center"/>
              <w:rPr>
                <w:rFonts w:ascii="Arial" w:hAnsi="Arial" w:cs="Arial"/>
                <w:sz w:val="18"/>
                <w:szCs w:val="18"/>
                <w:vertAlign w:val="subscript"/>
              </w:rPr>
            </w:pPr>
            <w:r w:rsidRPr="005C188B">
              <w:rPr>
                <w:rFonts w:ascii="Arial" w:hAnsi="Arial" w:cs="Arial" w:hint="eastAsia"/>
                <w:sz w:val="18"/>
                <w:szCs w:val="18"/>
              </w:rPr>
              <w:t>R</w:t>
            </w:r>
            <w:r w:rsidRPr="005C188B">
              <w:rPr>
                <w:rFonts w:ascii="Arial" w:hAnsi="Arial" w:cs="Arial"/>
                <w:sz w:val="18"/>
                <w:szCs w:val="18"/>
              </w:rPr>
              <w:t>u/</w:t>
            </w:r>
            <w:proofErr w:type="spellStart"/>
            <w:r w:rsidRPr="005C188B">
              <w:rPr>
                <w:rFonts w:ascii="Arial" w:hAnsi="Arial" w:cs="Arial"/>
                <w:sz w:val="18"/>
                <w:szCs w:val="18"/>
              </w:rPr>
              <w:t>MnO</w:t>
            </w:r>
            <w:r w:rsidRPr="005C188B">
              <w:rPr>
                <w:rFonts w:ascii="Arial" w:hAnsi="Arial" w:cs="Arial"/>
                <w:sz w:val="18"/>
                <w:szCs w:val="18"/>
                <w:vertAlign w:val="subscript"/>
              </w:rPr>
              <w:t>x</w:t>
            </w:r>
            <w:proofErr w:type="spellEnd"/>
          </w:p>
        </w:tc>
        <w:tc>
          <w:tcPr>
            <w:tcW w:w="1528" w:type="dxa"/>
            <w:vAlign w:val="center"/>
          </w:tcPr>
          <w:p w14:paraId="6CFC1E90" w14:textId="77777777" w:rsidR="00391239" w:rsidRPr="005C188B" w:rsidRDefault="00391239" w:rsidP="009C353F">
            <w:pPr>
              <w:jc w:val="center"/>
              <w:rPr>
                <w:rFonts w:ascii="Arial" w:hAnsi="Arial" w:cs="Arial"/>
                <w:sz w:val="18"/>
                <w:szCs w:val="18"/>
              </w:rPr>
            </w:pPr>
            <w:r>
              <w:rPr>
                <w:rFonts w:ascii="Arial" w:hAnsi="Arial" w:cs="Arial"/>
                <w:sz w:val="18"/>
                <w:szCs w:val="18"/>
              </w:rPr>
              <w:t>M</w:t>
            </w:r>
            <w:r w:rsidRPr="005C188B">
              <w:rPr>
                <w:rFonts w:ascii="Arial" w:hAnsi="Arial" w:cs="Arial"/>
                <w:sz w:val="18"/>
                <w:szCs w:val="18"/>
              </w:rPr>
              <w:t>etal-support interaction</w:t>
            </w:r>
          </w:p>
        </w:tc>
        <w:tc>
          <w:tcPr>
            <w:tcW w:w="1874" w:type="dxa"/>
            <w:vAlign w:val="center"/>
          </w:tcPr>
          <w:p w14:paraId="1F2D622B"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Photo-thermal coupling</w:t>
            </w:r>
          </w:p>
        </w:tc>
        <w:tc>
          <w:tcPr>
            <w:tcW w:w="751" w:type="dxa"/>
            <w:vAlign w:val="center"/>
          </w:tcPr>
          <w:p w14:paraId="2B1BCCBC"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99.5%</w:t>
            </w:r>
          </w:p>
        </w:tc>
        <w:tc>
          <w:tcPr>
            <w:tcW w:w="1092" w:type="dxa"/>
            <w:vAlign w:val="center"/>
          </w:tcPr>
          <w:p w14:paraId="648A1C37"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2</w:t>
            </w:r>
            <w:r w:rsidRPr="00953B50">
              <w:rPr>
                <w:rFonts w:ascii="Arial" w:hAnsi="Arial" w:cs="Arial"/>
                <w:b/>
                <w:bCs/>
                <w:color w:val="FF0000"/>
                <w:sz w:val="18"/>
                <w:szCs w:val="18"/>
              </w:rPr>
              <w:t>9</w:t>
            </w:r>
            <w:r>
              <w:rPr>
                <w:rFonts w:ascii="Arial" w:hAnsi="Arial" w:cs="Arial"/>
                <w:b/>
                <w:bCs/>
                <w:color w:val="FF0000"/>
                <w:sz w:val="18"/>
                <w:szCs w:val="18"/>
              </w:rPr>
              <w:t xml:space="preserve">.0 </w:t>
            </w:r>
            <w:r w:rsidRPr="000B1FF9">
              <w:rPr>
                <w:rFonts w:ascii="Arial" w:hAnsi="Arial" w:cs="Arial"/>
                <w:b/>
                <w:bCs/>
                <w:color w:val="FF0000"/>
                <w:sz w:val="18"/>
                <w:szCs w:val="18"/>
              </w:rPr>
              <w:t>times</w:t>
            </w:r>
          </w:p>
        </w:tc>
        <w:tc>
          <w:tcPr>
            <w:tcW w:w="641" w:type="dxa"/>
            <w:vAlign w:val="center"/>
          </w:tcPr>
          <w:p w14:paraId="2169549B" w14:textId="75C77EEF"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&lt;EndNote&gt;&lt;Cite&gt;&lt;Author&gt;Zhai&lt;/Author&gt;&lt;Year&gt;2024&lt;/Year&gt;&lt;RecNum&gt;113&lt;/RecNum&gt;&lt;DisplayText&gt;&lt;style face="superscript"&gt;18&lt;/style&gt;&lt;/DisplayText&gt;&lt;record&gt;&lt;rec-number&gt;113&lt;/rec-number&gt;&lt;foreign-keys&gt;&lt;key app="EN" db-id="9w5fevawaxf0wmefz59pfxe7zedxpwvsa5ap" timestamp="1744253711"&gt;113&lt;/key&gt;&lt;/foreign-keys&gt;&lt;ref-type name="Journal Article"&gt;17&lt;/ref-type&gt;&lt;contributors&gt;&lt;authors&gt;&lt;author&gt;Zhai, Jianxin&lt;/author&gt;&lt;author&gt;Xia, Zhanghui&lt;/author&gt;&lt;author&gt;Zhou, Baowen&lt;/author&gt;&lt;author&gt;Wu, Haihong&lt;/author&gt;&lt;author&gt;Xue, Teng&lt;/author&gt;&lt;author&gt;Chen, Xiao&lt;/author&gt;&lt;author&gt;Jiao, Jiapeng&lt;/author&gt;&lt;author&gt;Jia, Shuaiqiang&lt;/author&gt;&lt;author&gt;He, Mingyuan&lt;/author&gt;&lt;author&gt;Han, Buxing&lt;/author&gt;&lt;/authors&gt;&lt;/contributors&gt;&lt;titles&gt;&lt;title&gt;&lt;style face="normal" font="default" size="100%"&gt;Photo-thermal coupling to enhance CO&lt;/style&gt;&lt;style face="subscript" font="default" size="100%"&gt;2 &lt;/style&gt;&lt;style face="normal" font="default" size="100%"&gt;hydrogenation toward CH&lt;/style&gt;&lt;style face="subscript" font="default" size="100%"&gt;4&lt;/style&gt;&lt;style face="normal" font="default" size="100%"&gt; over Ru/MnO/Mn&lt;/style&gt;&lt;style face="subscript" font="default" size="100%"&gt;3&lt;/style&gt;&lt;style face="normal" font="default" size="100%"&gt;O&lt;/style&gt;&lt;style face="subscript" font="default" size="100%"&gt;4&lt;/style&gt;&lt;/title&gt;&lt;secondary-title&gt;Nature Communications&lt;/secondary-title&gt;&lt;/titles&gt;&lt;periodical&gt;&lt;full-title&gt;Nature Communications&lt;/full-title&gt;&lt;abbr-1&gt;Nat. Commun.&lt;/abbr-1&gt;&lt;/periodical&gt;&lt;pages&gt;1109&lt;/pages&gt;&lt;volume&gt;15&lt;/volume&gt;&lt;number&gt;1&lt;/number&gt;&lt;dates&gt;&lt;year&gt;2024&lt;/year&gt;&lt;pub-dates&gt;&lt;date&gt;2024/02/06&lt;/date&gt;&lt;/pub-dates&gt;&lt;/dates&gt;&lt;isbn&gt;2041-1723&lt;/isbn&gt;&lt;urls&gt;&lt;related-urls&gt;&lt;url&gt;https://doi.org/10.1038/s41467-024-45389-7&lt;/url&gt;&lt;/related-urls&gt;&lt;/urls&gt;&lt;electronic-resource-num&gt;10.1038/s41467-024-45389-7&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18</w:t>
            </w:r>
            <w:r>
              <w:rPr>
                <w:rFonts w:ascii="Arial" w:hAnsi="Arial" w:cs="Arial"/>
                <w:sz w:val="18"/>
                <w:szCs w:val="18"/>
              </w:rPr>
              <w:fldChar w:fldCharType="end"/>
            </w:r>
          </w:p>
        </w:tc>
      </w:tr>
      <w:tr w:rsidR="00391239" w:rsidRPr="005C188B" w14:paraId="68A20CB4" w14:textId="77777777" w:rsidTr="009C353F">
        <w:trPr>
          <w:trHeight w:val="1248"/>
        </w:trPr>
        <w:tc>
          <w:tcPr>
            <w:tcW w:w="993" w:type="dxa"/>
            <w:vAlign w:val="center"/>
          </w:tcPr>
          <w:p w14:paraId="79D77E43"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PCN-250-Fe2Co</w:t>
            </w:r>
          </w:p>
        </w:tc>
        <w:tc>
          <w:tcPr>
            <w:tcW w:w="1417" w:type="dxa"/>
            <w:vAlign w:val="center"/>
          </w:tcPr>
          <w:p w14:paraId="5B13CC1F" w14:textId="77777777" w:rsidR="00391239" w:rsidRPr="005C188B" w:rsidRDefault="00391239" w:rsidP="009C353F">
            <w:pPr>
              <w:jc w:val="center"/>
              <w:rPr>
                <w:rFonts w:ascii="Arial" w:hAnsi="Arial" w:cs="Arial"/>
                <w:sz w:val="18"/>
                <w:szCs w:val="18"/>
              </w:rPr>
            </w:pPr>
            <w:proofErr w:type="spellStart"/>
            <w:r w:rsidRPr="00F72600">
              <w:rPr>
                <w:rFonts w:ascii="Arial" w:hAnsi="Arial" w:cs="Arial"/>
                <w:sz w:val="18"/>
                <w:szCs w:val="18"/>
              </w:rPr>
              <w:t>ILs@MOFs</w:t>
            </w:r>
            <w:proofErr w:type="spellEnd"/>
          </w:p>
        </w:tc>
        <w:tc>
          <w:tcPr>
            <w:tcW w:w="1528" w:type="dxa"/>
            <w:vAlign w:val="center"/>
          </w:tcPr>
          <w:p w14:paraId="218A9DCD" w14:textId="77777777" w:rsidR="00391239" w:rsidRPr="005C188B" w:rsidRDefault="00391239" w:rsidP="009C353F">
            <w:pPr>
              <w:jc w:val="center"/>
              <w:rPr>
                <w:rFonts w:ascii="Arial" w:hAnsi="Arial" w:cs="Arial"/>
                <w:sz w:val="18"/>
                <w:szCs w:val="18"/>
              </w:rPr>
            </w:pPr>
            <w:r>
              <w:rPr>
                <w:rFonts w:ascii="Arial" w:hAnsi="Arial" w:cs="Arial"/>
                <w:sz w:val="18"/>
                <w:szCs w:val="18"/>
              </w:rPr>
              <w:t>N</w:t>
            </w:r>
            <w:r w:rsidRPr="005C188B">
              <w:rPr>
                <w:rFonts w:ascii="Arial" w:hAnsi="Arial" w:cs="Arial"/>
                <w:sz w:val="18"/>
                <w:szCs w:val="18"/>
              </w:rPr>
              <w:t>ew type of host-guest</w:t>
            </w:r>
          </w:p>
        </w:tc>
        <w:tc>
          <w:tcPr>
            <w:tcW w:w="1874" w:type="dxa"/>
            <w:vAlign w:val="center"/>
          </w:tcPr>
          <w:p w14:paraId="5DD48176"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3C776A5A"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1</w:t>
            </w:r>
            <w:r w:rsidRPr="005C188B">
              <w:rPr>
                <w:rFonts w:ascii="Arial" w:hAnsi="Arial" w:cs="Arial"/>
                <w:sz w:val="18"/>
                <w:szCs w:val="18"/>
              </w:rPr>
              <w:t>00%</w:t>
            </w:r>
          </w:p>
        </w:tc>
        <w:tc>
          <w:tcPr>
            <w:tcW w:w="1092" w:type="dxa"/>
            <w:vAlign w:val="center"/>
          </w:tcPr>
          <w:p w14:paraId="4C37DA68"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2</w:t>
            </w:r>
            <w:r w:rsidRPr="00953B50">
              <w:rPr>
                <w:rFonts w:ascii="Arial" w:hAnsi="Arial" w:cs="Arial"/>
                <w:b/>
                <w:bCs/>
                <w:color w:val="FF0000"/>
                <w:sz w:val="18"/>
                <w:szCs w:val="18"/>
              </w:rPr>
              <w:t>5.5</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15C2AE36" w14:textId="50464A01"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&lt;EndNote&gt;&lt;Cite&gt;&lt;Author&gt;Wang&lt;/Author&gt;&lt;Year&gt;2024&lt;/Year&gt;&lt;RecNum&gt;114&lt;/RecNum&gt;&lt;DisplayText&gt;&lt;style face="superscript"&gt;19&lt;/style&gt;&lt;/DisplayText&gt;&lt;record&gt;&lt;rec-number&gt;114&lt;/rec-number&gt;&lt;foreign-keys&gt;&lt;key app="EN" db-id="9w5fevawaxf0wmefz59pfxe7zedxpwvsa5ap" timestamp="1744253742"&gt;114&lt;/key&gt;&lt;/foreign-keys&gt;&lt;ref-type name="Journal Article"&gt;17&lt;/ref-type&gt;&lt;contributors&gt;&lt;authors&gt;&lt;author&gt;Wang, Ya&lt;/author&gt;&lt;author&gt;Wei, Jian-Xin&lt;/author&gt;&lt;author&gt;Tang, Hong-Liang&lt;/author&gt;&lt;author&gt;Shao, Lu-Hua&lt;/author&gt;&lt;author&gt;Dong, Long-Zhang&lt;/author&gt;&lt;author&gt;Chu, Xiao-Yu&lt;/author&gt;&lt;author&gt;Jiang, Yan-Xia&lt;/author&gt;&lt;author&gt;Zhang, Gui-Ling&lt;/author&gt;&lt;author&gt;Zhang, Feng-Ming&lt;/author&gt;&lt;author&gt;Lan, Ya-Qian&lt;/author&gt;&lt;/authors&gt;&lt;/contributors&gt;&lt;titles&gt;&lt;title&gt;&lt;style face="normal" font="default" size="100%"&gt;Artificial photosynthetic system for diluted CO&lt;/style&gt;&lt;style face="subscript" font="default" size="100%"&gt;2&lt;/style&gt;&lt;style face="normal" font="default" size="100%"&gt; reduction in gas-solid phase&lt;/style&gt;&lt;/title&gt;&lt;secondary-title&gt;Nature Communications&lt;/secondary-title&gt;&lt;/titles&gt;&lt;periodical&gt;&lt;full-title&gt;Nature Communications&lt;/full-title&gt;&lt;abbr-1&gt;Nat. Commun.&lt;/abbr-1&gt;&lt;/periodical&gt;&lt;pages&gt;8818&lt;/pages&gt;&lt;volume&gt;15&lt;/volume&gt;&lt;number&gt;1&lt;/number&gt;&lt;dates&gt;&lt;year&gt;2024&lt;/year&gt;&lt;pub-dates&gt;&lt;date&gt;2024/10/11&lt;/date&gt;&lt;/pub-dates&gt;&lt;/dates&gt;&lt;isbn&gt;2041-1723&lt;/isbn&gt;&lt;urls&gt;&lt;related-urls&gt;&lt;url&gt;https://doi.org/10.1038/s41467-024-53066-y&lt;/url&gt;&lt;/related-urls&gt;&lt;/urls&gt;&lt;electronic-resource-num&gt;10.1038/s41467-024-53066-y&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19</w:t>
            </w:r>
            <w:r>
              <w:rPr>
                <w:rFonts w:ascii="Arial" w:hAnsi="Arial" w:cs="Arial"/>
                <w:sz w:val="18"/>
                <w:szCs w:val="18"/>
              </w:rPr>
              <w:fldChar w:fldCharType="end"/>
            </w:r>
          </w:p>
        </w:tc>
      </w:tr>
      <w:tr w:rsidR="00391239" w:rsidRPr="005C188B" w14:paraId="7D097795" w14:textId="77777777" w:rsidTr="009C353F">
        <w:trPr>
          <w:trHeight w:val="1248"/>
        </w:trPr>
        <w:tc>
          <w:tcPr>
            <w:tcW w:w="993" w:type="dxa"/>
            <w:vAlign w:val="center"/>
          </w:tcPr>
          <w:p w14:paraId="2BCE5359" w14:textId="77777777" w:rsidR="00391239" w:rsidRPr="005C188B" w:rsidRDefault="00391239" w:rsidP="009C353F">
            <w:pPr>
              <w:jc w:val="center"/>
              <w:rPr>
                <w:rFonts w:ascii="Arial" w:hAnsi="Arial" w:cs="Arial"/>
                <w:sz w:val="18"/>
                <w:szCs w:val="18"/>
                <w:vertAlign w:val="subscript"/>
              </w:rPr>
            </w:pPr>
            <w:r w:rsidRPr="005C188B">
              <w:rPr>
                <w:rFonts w:ascii="Arial" w:hAnsi="Arial" w:cs="Arial"/>
                <w:sz w:val="18"/>
                <w:szCs w:val="18"/>
              </w:rPr>
              <w:t>Ag/TiO</w:t>
            </w:r>
            <w:r w:rsidRPr="005C188B">
              <w:rPr>
                <w:rFonts w:ascii="Arial" w:hAnsi="Arial" w:cs="Arial"/>
                <w:sz w:val="18"/>
                <w:szCs w:val="18"/>
                <w:vertAlign w:val="subscript"/>
              </w:rPr>
              <w:t>2</w:t>
            </w:r>
          </w:p>
        </w:tc>
        <w:tc>
          <w:tcPr>
            <w:tcW w:w="1417" w:type="dxa"/>
            <w:vAlign w:val="center"/>
          </w:tcPr>
          <w:p w14:paraId="25603DC6"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Cu-Ag/TiO</w:t>
            </w:r>
            <w:r w:rsidRPr="005C188B">
              <w:rPr>
                <w:rFonts w:ascii="Arial" w:hAnsi="Arial" w:cs="Arial"/>
                <w:sz w:val="18"/>
                <w:szCs w:val="18"/>
                <w:vertAlign w:val="subscript"/>
              </w:rPr>
              <w:t>2</w:t>
            </w:r>
          </w:p>
        </w:tc>
        <w:tc>
          <w:tcPr>
            <w:tcW w:w="1528" w:type="dxa"/>
            <w:vAlign w:val="center"/>
          </w:tcPr>
          <w:p w14:paraId="782E907F"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Cu–Ag alloy synergistic effect</w:t>
            </w:r>
          </w:p>
        </w:tc>
        <w:tc>
          <w:tcPr>
            <w:tcW w:w="1874" w:type="dxa"/>
            <w:vAlign w:val="center"/>
          </w:tcPr>
          <w:p w14:paraId="2D6A417D"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605F1ADF"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4</w:t>
            </w:r>
            <w:r w:rsidRPr="005C188B">
              <w:rPr>
                <w:rFonts w:ascii="Arial" w:hAnsi="Arial" w:cs="Arial"/>
                <w:sz w:val="18"/>
                <w:szCs w:val="18"/>
              </w:rPr>
              <w:t>9.1</w:t>
            </w:r>
          </w:p>
        </w:tc>
        <w:tc>
          <w:tcPr>
            <w:tcW w:w="1092" w:type="dxa"/>
            <w:vAlign w:val="center"/>
          </w:tcPr>
          <w:p w14:paraId="3B96BB46"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b/>
                <w:bCs/>
                <w:color w:val="FF0000"/>
                <w:sz w:val="18"/>
                <w:szCs w:val="18"/>
              </w:rPr>
              <w:t>~40</w:t>
            </w:r>
            <w:r>
              <w:rPr>
                <w:rFonts w:ascii="Arial" w:hAnsi="Arial" w:cs="Arial"/>
                <w:b/>
                <w:bCs/>
                <w:color w:val="FF0000"/>
                <w:sz w:val="18"/>
                <w:szCs w:val="18"/>
              </w:rPr>
              <w:t xml:space="preserve">.0 </w:t>
            </w:r>
            <w:r w:rsidRPr="000B1FF9">
              <w:rPr>
                <w:rFonts w:ascii="Arial" w:hAnsi="Arial" w:cs="Arial"/>
                <w:b/>
                <w:bCs/>
                <w:color w:val="FF0000"/>
                <w:sz w:val="18"/>
                <w:szCs w:val="18"/>
              </w:rPr>
              <w:t>times</w:t>
            </w:r>
          </w:p>
        </w:tc>
        <w:tc>
          <w:tcPr>
            <w:tcW w:w="641" w:type="dxa"/>
            <w:vAlign w:val="center"/>
          </w:tcPr>
          <w:p w14:paraId="209B333D" w14:textId="24FC9F0F"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&lt;EndNote&gt;&lt;Cite&gt;&lt;Author&gt;Yu&lt;/Author&gt;&lt;Year&gt;2023&lt;/Year&gt;&lt;RecNum&gt;115&lt;/RecNum&gt;&lt;DisplayText&gt;&lt;style face="superscript"&gt;20&lt;/style&gt;&lt;/DisplayText&gt;&lt;record&gt;&lt;rec-number&gt;115&lt;/rec-number&gt;&lt;foreign-keys&gt;&lt;key app="EN" db-id="9w5fevawaxf0wmefz59pfxe7zedxpwvsa5ap" timestamp="1744253785"&gt;115&lt;/key&gt;&lt;/foreign-keys&gt;&lt;ref-type name="Journal Article"&gt;17&lt;/ref-type&gt;&lt;contributors&gt;&lt;authors&gt;&lt;author&gt;Yu, Yangyang&lt;/author&gt;&lt;author&gt;He, Ye&lt;/author&gt;&lt;author&gt;Yan, Ping&lt;/author&gt;&lt;author&gt;Wang, Shengyao&lt;/author&gt;&lt;author&gt;Dong, Fan&lt;/author&gt;&lt;/authors&gt;&lt;/contributors&gt;&lt;titles&gt;&lt;title&gt;&lt;style face="normal" font="default" size="100%"&gt;Boosted C–C coupling with Cu–Ag alloy sub-nanoclusters for CO&lt;/style&gt;&lt;style face="subscript" font="default" size="100%"&gt;2&lt;/style&gt;&lt;style face="normal" font="default" size="100%"&gt;-to-C&lt;/style&gt;&lt;style face="subscript" font="default" size="100%"&gt;2&lt;/style&gt;&lt;style face="normal" font="default" size="100%"&gt;H&lt;/style&gt;&lt;style face="subscript" font="default" size="100%"&gt;4&lt;/style&gt;&lt;style face="normal" font="default" size="100%"&gt; photosynthesis&lt;/style&gt;&lt;/title&gt;&lt;secondary-title&gt;Proceedings of the National Academy of Sciences&lt;/secondary-title&gt;&lt;/titles&gt;&lt;periodical&gt;&lt;full-title&gt;Proceedings of the National Academy of Sciences&lt;/full-title&gt;&lt;abbr-1&gt;Proc. Natl. Acad. Sci. U. S. A.&lt;/abbr-1&gt;&lt;/periodical&gt;&lt;pages&gt;e2307320120&lt;/pages&gt;&lt;volume&gt;120&lt;/volume&gt;&lt;number&gt;44&lt;/number&gt;&lt;dates&gt;&lt;year&gt;2023&lt;/year&gt;&lt;pub-dates&gt;&lt;date&gt;2023/10/31&lt;/date&gt;&lt;/pub-dates&gt;&lt;/dates&gt;&lt;publisher&gt;Proceedings of the National Academy of Sciences&lt;/publisher&gt;&lt;urls&gt;&lt;related-urls&gt;&lt;url&gt;https://doi.org/10.1073/pnas.2307320120&lt;/url&gt;&lt;/related-urls&gt;&lt;/urls&gt;&lt;electronic-resource-num&gt;10.1073/pnas.2307320120&lt;/electronic-resource-num&gt;&lt;access-date&gt;2025/04/09&lt;/access-date&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20</w:t>
            </w:r>
            <w:r>
              <w:rPr>
                <w:rFonts w:ascii="Arial" w:hAnsi="Arial" w:cs="Arial"/>
                <w:sz w:val="18"/>
                <w:szCs w:val="18"/>
              </w:rPr>
              <w:fldChar w:fldCharType="end"/>
            </w:r>
          </w:p>
        </w:tc>
      </w:tr>
      <w:tr w:rsidR="00391239" w:rsidRPr="005C188B" w14:paraId="7F0C2890" w14:textId="77777777" w:rsidTr="009C353F">
        <w:trPr>
          <w:trHeight w:val="1248"/>
        </w:trPr>
        <w:tc>
          <w:tcPr>
            <w:tcW w:w="993" w:type="dxa"/>
            <w:vAlign w:val="center"/>
          </w:tcPr>
          <w:p w14:paraId="6F3D99D2"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CuIn</w:t>
            </w:r>
            <w:r w:rsidRPr="005C188B">
              <w:rPr>
                <w:rFonts w:ascii="Arial" w:hAnsi="Arial" w:cs="Arial"/>
                <w:sz w:val="18"/>
                <w:szCs w:val="18"/>
                <w:vertAlign w:val="subscript"/>
              </w:rPr>
              <w:t>5</w:t>
            </w:r>
            <w:r w:rsidRPr="005C188B">
              <w:rPr>
                <w:rFonts w:ascii="Arial" w:hAnsi="Arial" w:cs="Arial"/>
                <w:sz w:val="18"/>
                <w:szCs w:val="18"/>
              </w:rPr>
              <w:t>S</w:t>
            </w:r>
            <w:r w:rsidRPr="005C188B">
              <w:rPr>
                <w:rFonts w:ascii="Arial" w:hAnsi="Arial" w:cs="Arial"/>
                <w:sz w:val="18"/>
                <w:szCs w:val="18"/>
                <w:vertAlign w:val="subscript"/>
              </w:rPr>
              <w:t>8</w:t>
            </w:r>
          </w:p>
        </w:tc>
        <w:tc>
          <w:tcPr>
            <w:tcW w:w="1417" w:type="dxa"/>
            <w:vAlign w:val="center"/>
          </w:tcPr>
          <w:p w14:paraId="2942EF86"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V</w:t>
            </w:r>
            <w:r w:rsidRPr="005C188B">
              <w:rPr>
                <w:rFonts w:ascii="Arial" w:hAnsi="Arial" w:cs="Arial"/>
                <w:sz w:val="18"/>
                <w:szCs w:val="18"/>
                <w:vertAlign w:val="subscript"/>
              </w:rPr>
              <w:t>S</w:t>
            </w:r>
            <w:r w:rsidRPr="005C188B">
              <w:rPr>
                <w:rFonts w:ascii="Arial" w:hAnsi="Arial" w:cs="Arial"/>
                <w:sz w:val="18"/>
                <w:szCs w:val="18"/>
              </w:rPr>
              <w:t>-CuIn</w:t>
            </w:r>
            <w:r w:rsidRPr="005C188B">
              <w:rPr>
                <w:rFonts w:ascii="Arial" w:hAnsi="Arial" w:cs="Arial"/>
                <w:sz w:val="18"/>
                <w:szCs w:val="18"/>
                <w:vertAlign w:val="subscript"/>
              </w:rPr>
              <w:t>5</w:t>
            </w:r>
            <w:r w:rsidRPr="005C188B">
              <w:rPr>
                <w:rFonts w:ascii="Arial" w:hAnsi="Arial" w:cs="Arial"/>
                <w:sz w:val="18"/>
                <w:szCs w:val="18"/>
              </w:rPr>
              <w:t>S</w:t>
            </w:r>
            <w:r w:rsidRPr="005C188B">
              <w:rPr>
                <w:rFonts w:ascii="Arial" w:hAnsi="Arial" w:cs="Arial"/>
                <w:sz w:val="18"/>
                <w:szCs w:val="18"/>
                <w:vertAlign w:val="subscript"/>
              </w:rPr>
              <w:t>8</w:t>
            </w:r>
          </w:p>
        </w:tc>
        <w:tc>
          <w:tcPr>
            <w:tcW w:w="1528" w:type="dxa"/>
            <w:vAlign w:val="center"/>
          </w:tcPr>
          <w:p w14:paraId="07EBA041"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Cu–In dual sites</w:t>
            </w:r>
          </w:p>
        </w:tc>
        <w:tc>
          <w:tcPr>
            <w:tcW w:w="1874" w:type="dxa"/>
            <w:vAlign w:val="center"/>
          </w:tcPr>
          <w:p w14:paraId="756F9668"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54EA07D8"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1</w:t>
            </w:r>
            <w:r w:rsidRPr="005C188B">
              <w:rPr>
                <w:rFonts w:ascii="Arial" w:hAnsi="Arial" w:cs="Arial"/>
                <w:sz w:val="18"/>
                <w:szCs w:val="18"/>
              </w:rPr>
              <w:t>00%</w:t>
            </w:r>
          </w:p>
        </w:tc>
        <w:tc>
          <w:tcPr>
            <w:tcW w:w="1092" w:type="dxa"/>
            <w:vAlign w:val="center"/>
          </w:tcPr>
          <w:p w14:paraId="313BD13F"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b/>
                <w:bCs/>
                <w:color w:val="FF0000"/>
                <w:sz w:val="18"/>
                <w:szCs w:val="18"/>
              </w:rPr>
              <w:t>5.4</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5ED72751" w14:textId="5F683ED5"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&lt;EndNote&gt;&lt;Cite&gt;&lt;Author&gt;Li&lt;/Author&gt;&lt;Year&gt;2019&lt;/Year&gt;&lt;RecNum&gt;116&lt;/RecNum&gt;&lt;DisplayText&gt;&lt;style face="superscript"&gt;21&lt;/style&gt;&lt;/DisplayText&gt;&lt;record&gt;&lt;rec-number&gt;116&lt;/rec-number&gt;&lt;foreign-keys&gt;&lt;key app="EN" db-id="9w5fevawaxf0wmefz59pfxe7zedxpwvsa5ap" timestamp="1744253816"&gt;116&lt;/key&gt;&lt;/foreign-keys&gt;&lt;ref-type name="Journal Article"&gt;17&lt;/ref-type&gt;&lt;contributors&gt;&lt;authors&gt;&lt;author&gt;Li, Xiaodong&lt;/author&gt;&lt;author&gt;Sun, Yongfu&lt;/author&gt;&lt;author&gt;Xu, Jiaqi&lt;/author&gt;&lt;author&gt;Shao, Yanjie&lt;/author&gt;&lt;author&gt;Wu, Ju&lt;/author&gt;&lt;author&gt;Xu, Xiaoliang&lt;/author&gt;&lt;author&gt;Pan, Yang&lt;/author&gt;&lt;author&gt;Ju, Huanxin&lt;/author&gt;&lt;author&gt;Zhu, Junfa&lt;/author&gt;&lt;author&gt;Xie, Yi&lt;/author&gt;&lt;/authors&gt;&lt;/contributors&gt;&lt;titles&gt;&lt;title&gt;&lt;style face="normal" font="default" size="100%"&gt;Selective visible-light-driven photocatalytic CO&lt;/style&gt;&lt;style face="subscript" font="default" size="100%"&gt;2&lt;/style&gt;&lt;style face="normal" font="default" size="100%"&gt; reduction to CH&lt;/style&gt;&lt;style face="subscript" font="default" size="100%"&gt;4 &lt;/style&gt;&lt;style face="normal" font="default" size="100%"&gt;mediated by atomically thin CuIn&lt;/style&gt;&lt;style face="subscript" font="default" size="100%"&gt;5&lt;/style&gt;&lt;style face="normal" font="default" size="100%"&gt;S&lt;/style&gt;&lt;style face="subscript" font="default" size="100%"&gt;8&lt;/style&gt;&lt;style face="normal" font="default" size="100%"&gt; layers&lt;/style&gt;&lt;/title&gt;&lt;secondary-title&gt;Nature Energy&lt;/secondary-title&gt;&lt;/titles&gt;&lt;periodical&gt;&lt;full-title&gt;Nature Energy&lt;/full-title&gt;&lt;abbr-1&gt;Nat. Energy&lt;/abbr-1&gt;&lt;/periodical&gt;&lt;pages&gt;690-699&lt;/pages&gt;&lt;volume&gt;4&lt;/volume&gt;&lt;number&gt;8&lt;/number&gt;&lt;dates&gt;&lt;year&gt;2019&lt;/year&gt;&lt;pub-dates&gt;&lt;date&gt;2019/08/01&lt;/date&gt;&lt;/pub-dates&gt;&lt;/dates&gt;&lt;isbn&gt;2058-7546&lt;/isbn&gt;&lt;urls&gt;&lt;related-urls&gt;&lt;url&gt;https://doi.org/10.1038/s41560-019-0431-1&lt;/url&gt;&lt;/related-urls&gt;&lt;/urls&gt;&lt;electronic-resource-num&gt;10.1038/s41560-019-0431-1&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21</w:t>
            </w:r>
            <w:r>
              <w:rPr>
                <w:rFonts w:ascii="Arial" w:hAnsi="Arial" w:cs="Arial"/>
                <w:sz w:val="18"/>
                <w:szCs w:val="18"/>
              </w:rPr>
              <w:fldChar w:fldCharType="end"/>
            </w:r>
          </w:p>
        </w:tc>
      </w:tr>
      <w:tr w:rsidR="00391239" w:rsidRPr="005C188B" w14:paraId="29EA8EB1" w14:textId="77777777" w:rsidTr="009C353F">
        <w:trPr>
          <w:trHeight w:val="1248"/>
        </w:trPr>
        <w:tc>
          <w:tcPr>
            <w:tcW w:w="993" w:type="dxa"/>
            <w:vAlign w:val="center"/>
          </w:tcPr>
          <w:p w14:paraId="107D09DC"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Cu-HITP + [Ru(</w:t>
            </w:r>
            <w:proofErr w:type="spellStart"/>
            <w:r w:rsidRPr="005C188B">
              <w:rPr>
                <w:rFonts w:ascii="Arial" w:hAnsi="Arial" w:cs="Arial"/>
                <w:sz w:val="18"/>
                <w:szCs w:val="18"/>
              </w:rPr>
              <w:t>phen</w:t>
            </w:r>
            <w:proofErr w:type="spellEnd"/>
            <w:r w:rsidRPr="005C188B">
              <w:rPr>
                <w:rFonts w:ascii="Arial" w:hAnsi="Arial" w:cs="Arial"/>
                <w:sz w:val="18"/>
                <w:szCs w:val="18"/>
              </w:rPr>
              <w:t>)</w:t>
            </w:r>
            <w:r w:rsidRPr="005C188B">
              <w:rPr>
                <w:rFonts w:ascii="Arial" w:hAnsi="Arial" w:cs="Arial"/>
                <w:sz w:val="18"/>
                <w:szCs w:val="18"/>
                <w:vertAlign w:val="subscript"/>
              </w:rPr>
              <w:t>3</w:t>
            </w:r>
            <w:r w:rsidRPr="005C188B">
              <w:rPr>
                <w:rFonts w:ascii="Arial" w:hAnsi="Arial" w:cs="Arial"/>
                <w:sz w:val="18"/>
                <w:szCs w:val="18"/>
              </w:rPr>
              <w:t xml:space="preserve">] </w:t>
            </w:r>
            <w:r w:rsidRPr="005C188B">
              <w:rPr>
                <w:rFonts w:ascii="Arial" w:hAnsi="Arial" w:cs="Arial"/>
                <w:sz w:val="18"/>
                <w:szCs w:val="18"/>
                <w:vertAlign w:val="superscript"/>
              </w:rPr>
              <w:t>2+</w:t>
            </w:r>
            <w:r w:rsidRPr="005C188B">
              <w:rPr>
                <w:rFonts w:ascii="Arial" w:hAnsi="Arial" w:cs="Arial"/>
                <w:sz w:val="18"/>
                <w:szCs w:val="18"/>
              </w:rPr>
              <w:t>,</w:t>
            </w:r>
          </w:p>
        </w:tc>
        <w:tc>
          <w:tcPr>
            <w:tcW w:w="1417" w:type="dxa"/>
            <w:vAlign w:val="center"/>
          </w:tcPr>
          <w:p w14:paraId="27F005FB" w14:textId="77777777" w:rsidR="00391239" w:rsidRPr="005C188B" w:rsidRDefault="00391239" w:rsidP="009C353F">
            <w:pPr>
              <w:jc w:val="center"/>
              <w:rPr>
                <w:rFonts w:ascii="Arial" w:hAnsi="Arial" w:cs="Arial"/>
                <w:sz w:val="18"/>
                <w:szCs w:val="18"/>
              </w:rPr>
            </w:pPr>
            <w:proofErr w:type="spellStart"/>
            <w:r w:rsidRPr="005C188B">
              <w:rPr>
                <w:rFonts w:ascii="Arial" w:hAnsi="Arial" w:cs="Arial"/>
                <w:sz w:val="18"/>
                <w:szCs w:val="18"/>
              </w:rPr>
              <w:t>Ru@Cu-HHTP</w:t>
            </w:r>
            <w:proofErr w:type="spellEnd"/>
          </w:p>
        </w:tc>
        <w:tc>
          <w:tcPr>
            <w:tcW w:w="1528" w:type="dxa"/>
            <w:vAlign w:val="center"/>
          </w:tcPr>
          <w:p w14:paraId="3E22257B"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Electrostatic Attraction-Driven</w:t>
            </w:r>
          </w:p>
        </w:tc>
        <w:tc>
          <w:tcPr>
            <w:tcW w:w="1874" w:type="dxa"/>
            <w:vAlign w:val="center"/>
          </w:tcPr>
          <w:p w14:paraId="3F04BB79"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3398D7FD"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C</w:t>
            </w:r>
            <w:r w:rsidRPr="005C188B">
              <w:rPr>
                <w:rFonts w:ascii="Arial" w:hAnsi="Arial" w:cs="Arial"/>
                <w:sz w:val="18"/>
                <w:szCs w:val="18"/>
              </w:rPr>
              <w:t>O</w:t>
            </w:r>
          </w:p>
        </w:tc>
        <w:tc>
          <w:tcPr>
            <w:tcW w:w="1092" w:type="dxa"/>
            <w:vAlign w:val="center"/>
          </w:tcPr>
          <w:p w14:paraId="09A2E63F"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1</w:t>
            </w:r>
            <w:r w:rsidRPr="00953B50">
              <w:rPr>
                <w:rFonts w:ascii="Arial" w:hAnsi="Arial" w:cs="Arial"/>
                <w:b/>
                <w:bCs/>
                <w:color w:val="FF0000"/>
                <w:sz w:val="18"/>
                <w:szCs w:val="18"/>
              </w:rPr>
              <w:t>3.1</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4967B07D" w14:textId="6ACB48C7"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&lt;EndNote&gt;&lt;Cite&gt;&lt;Author&gt;Huang&lt;/Author&gt;&lt;Year&gt;2021&lt;/Year&gt;&lt;RecNum&gt;117&lt;/RecNum&gt;&lt;DisplayText&gt;&lt;style face="superscript"&gt;22&lt;/style&gt;&lt;/DisplayText&gt;&lt;record&gt;&lt;rec-number&gt;117&lt;/rec-number&gt;&lt;foreign-keys&gt;&lt;key app="EN" db-id="9w5fevawaxf0wmefz59pfxe7zedxpwvsa5ap" timestamp="1744253852"&gt;117&lt;/key&gt;&lt;/foreign-keys&gt;&lt;ref-type name="Journal Article"&gt;17&lt;/ref-type&gt;&lt;contributors&gt;&lt;authors&gt;&lt;author&gt;Huang, Ning-Yu&lt;/author&gt;&lt;author&gt;He, Hai&lt;/author&gt;&lt;author&gt;Liu, ShouJie&lt;/author&gt;&lt;author&gt;Zhu, Hao-Lin&lt;/author&gt;&lt;author&gt;Li, Ying-Jian&lt;/author&gt;&lt;author&gt;Xu, Jing&lt;/author&gt;&lt;author&gt;Huang, Jia-Run&lt;/author&gt;&lt;author&gt;Wang, Xi&lt;/author&gt;&lt;author&gt;Liao, Pei-Qin&lt;/author&gt;&lt;author&gt;Chen, Xiao-Ming&lt;/author&gt;&lt;/authors&gt;&lt;/contributors&gt;&lt;titles&gt;&lt;title&gt;&lt;style face="normal" font="default" size="100%"&gt;Electrostatic Attraction-Driven Assembly of a Metal–Organic Framework with a Photosensitizer Boosts Photocatalytic CO&lt;/style&gt;&lt;style face="subscript" font="default" size="100%"&gt;2 &lt;/style&gt;&lt;style face="normal" font="default" size="100%"&gt;Reduction to CO&lt;/style&gt;&lt;/title&gt;&lt;secondary-title&gt;Journal of the American Chemical Society&lt;/secondary-title&gt;&lt;/titles&gt;&lt;periodical&gt;&lt;full-title&gt;Journal of the American Chemical Society&lt;/full-title&gt;&lt;abbr-1&gt;J. Am. Chem. Soc&lt;/abbr-1&gt;&lt;/periodical&gt;&lt;pages&gt;17424-17430&lt;/pages&gt;&lt;volume&gt;143&lt;/volume&gt;&lt;number&gt;42&lt;/number&gt;&lt;dates&gt;&lt;year&gt;2021&lt;/year&gt;&lt;pub-dates&gt;&lt;date&gt;2021/10/27&lt;/date&gt;&lt;/pub-dates&gt;&lt;/dates&gt;&lt;publisher&gt;American Chemical Society&lt;/publisher&gt;&lt;isbn&gt;0002-7863&lt;/isbn&gt;&lt;urls&gt;&lt;related-urls&gt;&lt;url&gt;https://doi.org/10.1021/jacs.1c05839&lt;/url&gt;&lt;/related-urls&gt;&lt;/urls&gt;&lt;electronic-resource-num&gt;10.1021/jacs.1c05839&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22</w:t>
            </w:r>
            <w:r>
              <w:rPr>
                <w:rFonts w:ascii="Arial" w:hAnsi="Arial" w:cs="Arial"/>
                <w:sz w:val="18"/>
                <w:szCs w:val="18"/>
              </w:rPr>
              <w:fldChar w:fldCharType="end"/>
            </w:r>
          </w:p>
        </w:tc>
      </w:tr>
      <w:tr w:rsidR="00391239" w:rsidRPr="005C188B" w14:paraId="3BEFAC34" w14:textId="77777777" w:rsidTr="009C353F">
        <w:trPr>
          <w:trHeight w:val="1248"/>
        </w:trPr>
        <w:tc>
          <w:tcPr>
            <w:tcW w:w="993" w:type="dxa"/>
            <w:vAlign w:val="center"/>
          </w:tcPr>
          <w:p w14:paraId="2670E9A1"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lastRenderedPageBreak/>
              <w:t>CMP-</w:t>
            </w:r>
            <w:proofErr w:type="spellStart"/>
            <w:r w:rsidRPr="005C188B">
              <w:rPr>
                <w:rFonts w:ascii="Arial" w:hAnsi="Arial" w:cs="Arial"/>
                <w:sz w:val="18"/>
                <w:szCs w:val="18"/>
              </w:rPr>
              <w:t>nBr</w:t>
            </w:r>
            <w:proofErr w:type="spellEnd"/>
          </w:p>
        </w:tc>
        <w:tc>
          <w:tcPr>
            <w:tcW w:w="1417" w:type="dxa"/>
            <w:vAlign w:val="center"/>
          </w:tcPr>
          <w:p w14:paraId="54BF8A59"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CMP-</w:t>
            </w:r>
            <w:proofErr w:type="spellStart"/>
            <w:r w:rsidRPr="005C188B">
              <w:rPr>
                <w:rFonts w:ascii="Arial" w:hAnsi="Arial" w:cs="Arial"/>
                <w:sz w:val="18"/>
                <w:szCs w:val="18"/>
              </w:rPr>
              <w:t>nTB</w:t>
            </w:r>
            <w:proofErr w:type="spellEnd"/>
          </w:p>
        </w:tc>
        <w:tc>
          <w:tcPr>
            <w:tcW w:w="1528" w:type="dxa"/>
            <w:vAlign w:val="center"/>
          </w:tcPr>
          <w:p w14:paraId="532B4F66"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Intramolecular Electric Field</w:t>
            </w:r>
          </w:p>
        </w:tc>
        <w:tc>
          <w:tcPr>
            <w:tcW w:w="1874" w:type="dxa"/>
            <w:vAlign w:val="center"/>
          </w:tcPr>
          <w:p w14:paraId="3F91D871"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59293F77"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8</w:t>
            </w:r>
            <w:r w:rsidRPr="005C188B">
              <w:rPr>
                <w:rFonts w:ascii="Arial" w:hAnsi="Arial" w:cs="Arial"/>
                <w:sz w:val="18"/>
                <w:szCs w:val="18"/>
              </w:rPr>
              <w:t>5.7</w:t>
            </w:r>
          </w:p>
        </w:tc>
        <w:tc>
          <w:tcPr>
            <w:tcW w:w="1092" w:type="dxa"/>
            <w:vAlign w:val="center"/>
          </w:tcPr>
          <w:p w14:paraId="1E749EF6"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9</w:t>
            </w:r>
            <w:r w:rsidRPr="00953B50">
              <w:rPr>
                <w:rFonts w:ascii="Arial" w:hAnsi="Arial" w:cs="Arial"/>
                <w:b/>
                <w:bCs/>
                <w:color w:val="FF0000"/>
                <w:sz w:val="18"/>
                <w:szCs w:val="18"/>
              </w:rPr>
              <w:t>.2</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7B02F7F7" w14:textId="1D979615"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&lt;EndNote&gt;&lt;Cite&gt;&lt;Author&gt;Tang&lt;/Author&gt;&lt;Year&gt;2023&lt;/Year&gt;&lt;RecNum&gt;118&lt;/RecNum&gt;&lt;DisplayText&gt;&lt;style face="superscript"&gt;23&lt;/style&gt;&lt;/DisplayText&gt;&lt;record&gt;&lt;rec-number&gt;118&lt;/rec-number&gt;&lt;foreign-keys&gt;&lt;key app="EN" db-id="9w5fevawaxf0wmefz59pfxe7zedxpwvsa5ap" timestamp="1744253891"&gt;118&lt;/key&gt;&lt;/foreign-keys&gt;&lt;ref-type name="Journal Article"&gt;17&lt;/ref-type&gt;&lt;contributors&gt;&lt;authors&gt;&lt;author&gt;Tang, Zheng&lt;/author&gt;&lt;author&gt;Xu, Shengyu&lt;/author&gt;&lt;author&gt;Yin, Nan&lt;/author&gt;&lt;author&gt;Yang, Yong&lt;/author&gt;&lt;author&gt;Deng, Qinghua&lt;/author&gt;&lt;author&gt;Shen, Jinyou&lt;/author&gt;&lt;author&gt;Zhang, Xiaoyue&lt;/author&gt;&lt;author&gt;Wang, Tianyu&lt;/author&gt;&lt;author&gt;He, Huichao&lt;/author&gt;&lt;author&gt;Lin, Xiangyang&lt;/author&gt;&lt;author&gt;Zhou, Yong&lt;/author&gt;&lt;author&gt;Zou, Zhigang&lt;/author&gt;&lt;/authors&gt;&lt;/contributors&gt;&lt;titles&gt;&lt;title&gt;&lt;style face="normal" font="default" size="100%"&gt;Reaction Site Designation by Intramolecular Electric Field in Tröger&amp;apos;s-Base-Derived Conjugated Microporous Polymer for Near-Unity Selectivity of CO&lt;/style&gt;&lt;style face="subscript" font="default" size="100%"&gt;2&lt;/style&gt;&lt;style face="normal" font="default" size="100%"&gt; Photoconversion&lt;/style&gt;&lt;/title&gt;&lt;secondary-title&gt;Advanced Materials&lt;/secondary-title&gt;&lt;/titles&gt;&lt;periodical&gt;&lt;full-title&gt;Advanced Materials&lt;/full-title&gt;&lt;abbr-1&gt;Adv. Mater.&lt;/abbr-1&gt;&lt;/periodical&gt;&lt;pages&gt;2210693&lt;/pages&gt;&lt;volume&gt;35&lt;/volume&gt;&lt;number&gt;17&lt;/number&gt;&lt;keywords&gt;&lt;keyword&gt;CO2 conversion&lt;/keyword&gt;&lt;keyword&gt;covalent microporous polymers&lt;/keyword&gt;&lt;keyword&gt;intramolecular electric fields&lt;/keyword&gt;&lt;keyword&gt;photocatalysis&lt;/keyword&gt;&lt;keyword&gt;Tröger&amp;apos;s base&lt;/keyword&gt;&lt;/keywords&gt;&lt;dates&gt;&lt;year&gt;2023&lt;/year&gt;&lt;pub-dates&gt;&lt;date&gt;2023/04/01&lt;/date&gt;&lt;/pub-dates&gt;&lt;/dates&gt;&lt;publisher&gt;John Wiley &amp;amp; Sons, Ltd&lt;/publisher&gt;&lt;isbn&gt;0935-9648&lt;/isbn&gt;&lt;urls&gt;&lt;related-urls&gt;&lt;url&gt;https://doi.org/10.1002/adma.202210693&lt;/url&gt;&lt;/related-urls&gt;&lt;/urls&gt;&lt;electronic-resource-num&gt;https://doi.org/10.1002/adma.202210693&lt;/electronic-resource-num&gt;&lt;access-date&gt;2025/04/09&lt;/access-date&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23</w:t>
            </w:r>
            <w:r>
              <w:rPr>
                <w:rFonts w:ascii="Arial" w:hAnsi="Arial" w:cs="Arial"/>
                <w:sz w:val="18"/>
                <w:szCs w:val="18"/>
              </w:rPr>
              <w:fldChar w:fldCharType="end"/>
            </w:r>
          </w:p>
        </w:tc>
      </w:tr>
      <w:tr w:rsidR="00391239" w:rsidRPr="005C188B" w14:paraId="3B59C433" w14:textId="77777777" w:rsidTr="009C353F">
        <w:trPr>
          <w:trHeight w:val="1248"/>
        </w:trPr>
        <w:tc>
          <w:tcPr>
            <w:tcW w:w="993" w:type="dxa"/>
            <w:vAlign w:val="center"/>
          </w:tcPr>
          <w:p w14:paraId="74AE08E6"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COF-5</w:t>
            </w:r>
          </w:p>
        </w:tc>
        <w:tc>
          <w:tcPr>
            <w:tcW w:w="1417" w:type="dxa"/>
            <w:vAlign w:val="center"/>
          </w:tcPr>
          <w:p w14:paraId="539860BB" w14:textId="77777777" w:rsidR="00391239" w:rsidRPr="005C188B" w:rsidRDefault="00391239" w:rsidP="009C353F">
            <w:pPr>
              <w:jc w:val="center"/>
              <w:rPr>
                <w:rFonts w:ascii="Arial" w:hAnsi="Arial" w:cs="Arial"/>
                <w:sz w:val="18"/>
                <w:szCs w:val="18"/>
              </w:rPr>
            </w:pPr>
            <w:proofErr w:type="spellStart"/>
            <w:r w:rsidRPr="005C188B">
              <w:rPr>
                <w:rFonts w:ascii="Arial" w:hAnsi="Arial" w:cs="Arial"/>
                <w:sz w:val="18"/>
                <w:szCs w:val="18"/>
              </w:rPr>
              <w:t>LaNi</w:t>
            </w:r>
            <w:proofErr w:type="spellEnd"/>
            <w:r w:rsidRPr="005C188B">
              <w:rPr>
                <w:rFonts w:ascii="Arial" w:hAnsi="Arial" w:cs="Arial"/>
                <w:sz w:val="18"/>
                <w:szCs w:val="18"/>
              </w:rPr>
              <w:t>-Phen/COF-5</w:t>
            </w:r>
          </w:p>
        </w:tc>
        <w:tc>
          <w:tcPr>
            <w:tcW w:w="1528" w:type="dxa"/>
            <w:vAlign w:val="center"/>
          </w:tcPr>
          <w:p w14:paraId="17C3C578"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La-Ni bimetallic sites</w:t>
            </w:r>
          </w:p>
        </w:tc>
        <w:tc>
          <w:tcPr>
            <w:tcW w:w="1874" w:type="dxa"/>
            <w:vAlign w:val="center"/>
          </w:tcPr>
          <w:p w14:paraId="4C7B56C6"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32BCBD07"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9</w:t>
            </w:r>
            <w:r w:rsidRPr="005C188B">
              <w:rPr>
                <w:rFonts w:ascii="Arial" w:hAnsi="Arial" w:cs="Arial"/>
                <w:sz w:val="18"/>
                <w:szCs w:val="18"/>
              </w:rPr>
              <w:t>8.2</w:t>
            </w:r>
          </w:p>
        </w:tc>
        <w:tc>
          <w:tcPr>
            <w:tcW w:w="1092" w:type="dxa"/>
            <w:vAlign w:val="center"/>
          </w:tcPr>
          <w:p w14:paraId="0DAC79E2"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1</w:t>
            </w:r>
            <w:r w:rsidRPr="00953B50">
              <w:rPr>
                <w:rFonts w:ascii="Arial" w:hAnsi="Arial" w:cs="Arial"/>
                <w:b/>
                <w:bCs/>
                <w:color w:val="FF0000"/>
                <w:sz w:val="18"/>
                <w:szCs w:val="18"/>
              </w:rPr>
              <w:t>5.2</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2CCC7964" w14:textId="4EA6D8ED"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&lt;EndNote&gt;&lt;Cite&gt;&lt;Author&gt;Zhou&lt;/Author&gt;&lt;Year&gt;2023&lt;/Year&gt;&lt;RecNum&gt;119&lt;/RecNum&gt;&lt;DisplayText&gt;&lt;style face="superscript"&gt;24&lt;/style&gt;&lt;/DisplayText&gt;&lt;record&gt;&lt;rec-number&gt;119&lt;/rec-number&gt;&lt;foreign-keys&gt;&lt;key app="EN" db-id="9w5fevawaxf0wmefz59pfxe7zedxpwvsa5ap" timestamp="1744253926"&gt;119&lt;/key&gt;&lt;/foreign-keys&gt;&lt;ref-type name="Journal Article"&gt;17&lt;/ref-type&gt;&lt;contributors&gt;&lt;authors&gt;&lt;author&gt;Zhou, Min&lt;/author&gt;&lt;author&gt;Wang, Zhiqing&lt;/author&gt;&lt;author&gt;Mei, Aohan&lt;/author&gt;&lt;author&gt;Yang, Zifan&lt;/author&gt;&lt;author&gt;Chen, Wen&lt;/author&gt;&lt;author&gt;Ou, Siyong&lt;/author&gt;&lt;author&gt;Wang, Shengyao&lt;/author&gt;&lt;author&gt;Chen, Keqiang&lt;/author&gt;&lt;author&gt;Reiss, Peter&lt;/author&gt;&lt;author&gt;Qi, Kun&lt;/author&gt;&lt;author&gt;Ma, Jingyuan&lt;/author&gt;&lt;author&gt;Liu, Yueli&lt;/author&gt;&lt;/authors&gt;&lt;/contributors&gt;&lt;titles&gt;&lt;title&gt;&lt;style face="normal" font="default" size="100%"&gt;Photocatalytic CO&lt;/style&gt;&lt;style face="subscript" font="default" size="100%"&gt;2&lt;/style&gt;&lt;style face="normal" font="default" size="100%"&gt; reduction using La-Ni bimetallic sites within a covalent organic framework&lt;/style&gt;&lt;/title&gt;&lt;secondary-title&gt;Nature Communications&lt;/secondary-title&gt;&lt;/titles&gt;&lt;periodical&gt;&lt;full-title&gt;Nature Communications&lt;/full-title&gt;&lt;abbr-1&gt;Nat. Commun.&lt;/abbr-1&gt;&lt;/periodical&gt;&lt;pages&gt;2473&lt;/pages&gt;&lt;volume&gt;14&lt;/volume&gt;&lt;number&gt;1&lt;/number&gt;&lt;dates&gt;&lt;year&gt;2023&lt;/year&gt;&lt;pub-dates&gt;&lt;date&gt;2023/04/29&lt;/date&gt;&lt;/pub-dates&gt;&lt;/dates&gt;&lt;isbn&gt;2041-1723&lt;/isbn&gt;&lt;urls&gt;&lt;related-urls&gt;&lt;url&gt;https://doi.org/10.1038/s41467-023-37545-2&lt;/url&gt;&lt;/related-urls&gt;&lt;/urls&gt;&lt;electronic-resource-num&gt;10.1038/s41467-023-37545-2&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24</w:t>
            </w:r>
            <w:r>
              <w:rPr>
                <w:rFonts w:ascii="Arial" w:hAnsi="Arial" w:cs="Arial"/>
                <w:sz w:val="18"/>
                <w:szCs w:val="18"/>
              </w:rPr>
              <w:fldChar w:fldCharType="end"/>
            </w:r>
          </w:p>
        </w:tc>
      </w:tr>
      <w:tr w:rsidR="00391239" w:rsidRPr="005C188B" w14:paraId="08C1B76B" w14:textId="77777777" w:rsidTr="009C353F">
        <w:trPr>
          <w:trHeight w:val="1248"/>
        </w:trPr>
        <w:tc>
          <w:tcPr>
            <w:tcW w:w="993" w:type="dxa"/>
            <w:vAlign w:val="center"/>
          </w:tcPr>
          <w:p w14:paraId="7DC8AE51"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N</w:t>
            </w:r>
            <w:r w:rsidRPr="005C188B">
              <w:rPr>
                <w:rFonts w:ascii="Arial" w:hAnsi="Arial" w:cs="Arial"/>
                <w:sz w:val="18"/>
                <w:szCs w:val="18"/>
              </w:rPr>
              <w:t>i</w:t>
            </w:r>
            <w:r w:rsidRPr="005C188B">
              <w:rPr>
                <w:rFonts w:ascii="Arial" w:hAnsi="Arial" w:cs="Arial"/>
                <w:sz w:val="18"/>
                <w:szCs w:val="18"/>
                <w:vertAlign w:val="superscript"/>
              </w:rPr>
              <w:t>2+</w:t>
            </w:r>
            <w:r w:rsidRPr="005C188B">
              <w:rPr>
                <w:rFonts w:ascii="Arial" w:hAnsi="Arial" w:cs="Arial"/>
                <w:sz w:val="18"/>
                <w:szCs w:val="18"/>
              </w:rPr>
              <w:t xml:space="preserve"> without CB</w:t>
            </w:r>
          </w:p>
        </w:tc>
        <w:tc>
          <w:tcPr>
            <w:tcW w:w="1417" w:type="dxa"/>
            <w:vAlign w:val="center"/>
          </w:tcPr>
          <w:p w14:paraId="16D458CF" w14:textId="77777777" w:rsidR="00391239" w:rsidRPr="005C188B" w:rsidRDefault="00391239" w:rsidP="009C353F">
            <w:pPr>
              <w:jc w:val="center"/>
              <w:rPr>
                <w:rFonts w:ascii="Arial" w:hAnsi="Arial" w:cs="Arial"/>
                <w:sz w:val="18"/>
                <w:szCs w:val="18"/>
              </w:rPr>
            </w:pPr>
            <w:proofErr w:type="gramStart"/>
            <w:r w:rsidRPr="005C188B">
              <w:rPr>
                <w:rFonts w:ascii="Arial" w:hAnsi="Arial" w:cs="Arial" w:hint="eastAsia"/>
                <w:sz w:val="18"/>
                <w:szCs w:val="18"/>
              </w:rPr>
              <w:t>C</w:t>
            </w:r>
            <w:r w:rsidRPr="005C188B">
              <w:rPr>
                <w:rFonts w:ascii="Arial" w:hAnsi="Arial" w:cs="Arial"/>
                <w:sz w:val="18"/>
                <w:szCs w:val="18"/>
              </w:rPr>
              <w:t>B[</w:t>
            </w:r>
            <w:proofErr w:type="gramEnd"/>
            <w:r w:rsidRPr="005C188B">
              <w:rPr>
                <w:rFonts w:ascii="Arial" w:hAnsi="Arial" w:cs="Arial"/>
                <w:sz w:val="18"/>
                <w:szCs w:val="18"/>
              </w:rPr>
              <w:t>7</w:t>
            </w:r>
            <w:proofErr w:type="gramStart"/>
            <w:r w:rsidRPr="005C188B">
              <w:rPr>
                <w:rFonts w:ascii="Arial" w:hAnsi="Arial" w:cs="Arial"/>
                <w:sz w:val="18"/>
                <w:szCs w:val="18"/>
              </w:rPr>
              <w:t>]:Ni</w:t>
            </w:r>
            <w:proofErr w:type="gramEnd"/>
            <w:r w:rsidRPr="005C188B">
              <w:rPr>
                <w:rFonts w:ascii="Arial" w:hAnsi="Arial" w:cs="Arial"/>
                <w:sz w:val="18"/>
                <w:szCs w:val="18"/>
              </w:rPr>
              <w:t xml:space="preserve"> 1:4</w:t>
            </w:r>
          </w:p>
        </w:tc>
        <w:tc>
          <w:tcPr>
            <w:tcW w:w="1528" w:type="dxa"/>
            <w:vAlign w:val="center"/>
          </w:tcPr>
          <w:p w14:paraId="6B5FA895"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Engineering Single Ni Sites</w:t>
            </w:r>
          </w:p>
        </w:tc>
        <w:tc>
          <w:tcPr>
            <w:tcW w:w="1874" w:type="dxa"/>
            <w:vAlign w:val="center"/>
          </w:tcPr>
          <w:p w14:paraId="4FD33C7C"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75C451A9"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9</w:t>
            </w:r>
            <w:r w:rsidRPr="005C188B">
              <w:rPr>
                <w:rFonts w:ascii="Arial" w:hAnsi="Arial" w:cs="Arial"/>
                <w:sz w:val="18"/>
                <w:szCs w:val="18"/>
              </w:rPr>
              <w:t>7.9</w:t>
            </w:r>
          </w:p>
        </w:tc>
        <w:tc>
          <w:tcPr>
            <w:tcW w:w="1092" w:type="dxa"/>
            <w:vAlign w:val="center"/>
          </w:tcPr>
          <w:p w14:paraId="077DC0D3"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1</w:t>
            </w:r>
            <w:r w:rsidRPr="00953B50">
              <w:rPr>
                <w:rFonts w:ascii="Arial" w:hAnsi="Arial" w:cs="Arial"/>
                <w:b/>
                <w:bCs/>
                <w:color w:val="FF0000"/>
                <w:sz w:val="18"/>
                <w:szCs w:val="18"/>
              </w:rPr>
              <w:t>2.1</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7E5B1F03" w14:textId="4BE7021D"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&lt;EndNote&gt;&lt;Cite&gt;&lt;Author&gt;Wang&lt;/Author&gt;&lt;Year&gt;2025&lt;/Year&gt;&lt;RecNum&gt;120&lt;/RecNum&gt;&lt;DisplayText&gt;&lt;style face="superscript"&gt;25&lt;/style&gt;&lt;/DisplayText&gt;&lt;record&gt;&lt;rec-number&gt;120&lt;/rec-number&gt;&lt;foreign-keys&gt;&lt;key app="EN" db-id="9w5fevawaxf0wmefz59pfxe7zedxpwvsa5ap" timestamp="1744253965"&gt;120&lt;/key&gt;&lt;/foreign-keys&gt;&lt;ref-type name="Journal Article"&gt;17&lt;/ref-type&gt;&lt;contributors&gt;&lt;authors&gt;&lt;author&gt;Wang, Jingyi&lt;/author&gt;&lt;author&gt;Li, Xiyi&lt;/author&gt;&lt;author&gt;Chang, Chia-Hao&lt;/author&gt;&lt;author&gt;Zhang, Tianyu&lt;/author&gt;&lt;author&gt;Guan, Xuze&lt;/author&gt;&lt;author&gt;Liu, Qiong&lt;/author&gt;&lt;author&gt;Zhang, Liquan&lt;/author&gt;&lt;author&gt;Wen, Ping&lt;/author&gt;&lt;author&gt;Tang, Ivan&lt;/author&gt;&lt;author&gt;Zhang, Yuewen&lt;/author&gt;&lt;author&gt;Yang, Xiaofeng&lt;/author&gt;&lt;author&gt;Tang, Junwang&lt;/author&gt;&lt;author&gt;Lan, Yang&lt;/author&gt;&lt;/authors&gt;&lt;/contributors&gt;&lt;titles&gt;&lt;title&gt;&lt;style face="normal" font="default" size="100%"&gt;Engineering Single Ni Sites on 3D Cage-like Cucurbit[n]uril Ligands for Efficient and Selective CO&lt;/style&gt;&lt;style face="subscript" font="default" size="100%"&gt;2&lt;/style&gt;&lt;style face="normal" font="default" size="100%"&gt; Photocatalytic Reduction&lt;/style&gt;&lt;/title&gt;&lt;secondary-title&gt;Angewandte Chemie International Edition&lt;/secondary-title&gt;&lt;/titles&gt;&lt;periodical&gt;&lt;full-title&gt;Angewandte Chemie International Edition&lt;/full-title&gt;&lt;abbr-1&gt;Angew. Chem., Int. Ed.&lt;/abbr-1&gt;&lt;/periodical&gt;&lt;pages&gt;e202417384&lt;/pages&gt;&lt;volume&gt;64&lt;/volume&gt;&lt;number&gt;5&lt;/number&gt;&lt;keywords&gt;&lt;keyword&gt;Cucurbit[n]uril&lt;/keyword&gt;&lt;keyword&gt;3D ligand&lt;/keyword&gt;&lt;keyword&gt;CO2 reduction&lt;/keyword&gt;&lt;keyword&gt;molecular co-catalyst&lt;/keyword&gt;&lt;keyword&gt;photocatalysis&lt;/keyword&gt;&lt;/keywords&gt;&lt;dates&gt;&lt;year&gt;2025&lt;/year&gt;&lt;pub-dates&gt;&lt;date&gt;2025/01/27&lt;/date&gt;&lt;/pub-dates&gt;&lt;/dates&gt;&lt;publisher&gt;John Wiley &amp;amp; Sons, Ltd&lt;/publisher&gt;&lt;isbn&gt;1433-7851&lt;/isbn&gt;&lt;urls&gt;&lt;related-urls&gt;&lt;url&gt;https://doi.org/10.1002/anie.202417384&lt;/url&gt;&lt;/related-urls&gt;&lt;/urls&gt;&lt;electronic-resource-num&gt;https://doi.org/10.1002/anie.202417384&lt;/electronic-resource-num&gt;&lt;access-date&gt;2025/04/09&lt;/access-date&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25</w:t>
            </w:r>
            <w:r>
              <w:rPr>
                <w:rFonts w:ascii="Arial" w:hAnsi="Arial" w:cs="Arial"/>
                <w:sz w:val="18"/>
                <w:szCs w:val="18"/>
              </w:rPr>
              <w:fldChar w:fldCharType="end"/>
            </w:r>
          </w:p>
        </w:tc>
      </w:tr>
      <w:tr w:rsidR="00391239" w:rsidRPr="005C188B" w14:paraId="5A574225" w14:textId="77777777" w:rsidTr="009C353F">
        <w:trPr>
          <w:trHeight w:val="1248"/>
        </w:trPr>
        <w:tc>
          <w:tcPr>
            <w:tcW w:w="993" w:type="dxa"/>
            <w:vAlign w:val="center"/>
          </w:tcPr>
          <w:p w14:paraId="0AA64B22"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p-CSON</w:t>
            </w:r>
          </w:p>
        </w:tc>
        <w:tc>
          <w:tcPr>
            <w:tcW w:w="1417" w:type="dxa"/>
            <w:vAlign w:val="center"/>
          </w:tcPr>
          <w:p w14:paraId="289D00DD"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c-CSON</w:t>
            </w:r>
          </w:p>
        </w:tc>
        <w:tc>
          <w:tcPr>
            <w:tcW w:w="1528" w:type="dxa"/>
            <w:vAlign w:val="center"/>
          </w:tcPr>
          <w:p w14:paraId="2A36E9E4"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Accessing parity-forbidden d-d transitions</w:t>
            </w:r>
          </w:p>
        </w:tc>
        <w:tc>
          <w:tcPr>
            <w:tcW w:w="1874" w:type="dxa"/>
            <w:vAlign w:val="center"/>
          </w:tcPr>
          <w:p w14:paraId="17B78DDF"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77CA66C5"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8</w:t>
            </w:r>
            <w:r w:rsidRPr="005C188B">
              <w:rPr>
                <w:rFonts w:ascii="Arial" w:hAnsi="Arial" w:cs="Arial"/>
                <w:sz w:val="18"/>
                <w:szCs w:val="18"/>
              </w:rPr>
              <w:t>4.23</w:t>
            </w:r>
          </w:p>
        </w:tc>
        <w:tc>
          <w:tcPr>
            <w:tcW w:w="1092" w:type="dxa"/>
            <w:vAlign w:val="center"/>
          </w:tcPr>
          <w:p w14:paraId="2AD58DB3"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1.</w:t>
            </w:r>
            <w:r w:rsidRPr="00953B50">
              <w:rPr>
                <w:rFonts w:ascii="Arial" w:hAnsi="Arial" w:cs="Arial"/>
                <w:b/>
                <w:bCs/>
                <w:color w:val="FF0000"/>
                <w:sz w:val="18"/>
                <w:szCs w:val="18"/>
              </w:rPr>
              <w:t>2</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5DA9E8DD" w14:textId="420501A3"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&lt;EndNote&gt;&lt;Cite&gt;&lt;Author&gt;Li&lt;/Author&gt;&lt;Year&gt;2023&lt;/Year&gt;&lt;RecNum&gt;121&lt;/RecNum&gt;&lt;DisplayText&gt;&lt;style face="superscript"&gt;26&lt;/style&gt;&lt;/DisplayText&gt;&lt;record&gt;&lt;rec-number&gt;121&lt;/rec-number&gt;&lt;foreign-keys&gt;&lt;key app="EN" db-id="9w5fevawaxf0wmefz59pfxe7zedxpwvsa5ap" timestamp="1744254002"&gt;121&lt;/key&gt;&lt;/foreign-keys&gt;&lt;ref-type name="Journal Article"&gt;17&lt;/ref-type&gt;&lt;contributors&gt;&lt;authors&gt;&lt;author&gt;Li, Xiaodong&lt;/author&gt;&lt;author&gt;Li, Li&lt;/author&gt;&lt;author&gt;Chen, Guangbo&lt;/author&gt;&lt;author&gt;Chu, Xingyuan&lt;/author&gt;&lt;author&gt;Liu, Xiaohui&lt;/author&gt;&lt;author&gt;Naisa, Chandrasekhar&lt;/author&gt;&lt;author&gt;Pohl, Darius&lt;/author&gt;&lt;author&gt;Löffler, Markus&lt;/author&gt;&lt;author&gt;Feng, Xinliang&lt;/author&gt;&lt;/authors&gt;&lt;/contributors&gt;&lt;titles&gt;&lt;title&gt;&lt;style face="normal" font="default" size="100%"&gt;Accessing parity-forbidden d-d transitions for photocatalytic CO&lt;/style&gt;&lt;style face="subscript" font="default" size="100%"&gt;2&lt;/style&gt;&lt;style face="normal" font="default" size="100%"&gt; reduction driven by infrared light&lt;/style&gt;&lt;/title&gt;&lt;secondary-title&gt;Nature Communications&lt;/secondary-title&gt;&lt;/titles&gt;&lt;periodical&gt;&lt;full-title&gt;Nature Communications&lt;/full-title&gt;&lt;abbr-1&gt;Nat. Commun.&lt;/abbr-1&gt;&lt;/periodical&gt;&lt;pages&gt;4034&lt;/pages&gt;&lt;volume&gt;14&lt;/volume&gt;&lt;number&gt;1&lt;/number&gt;&lt;dates&gt;&lt;year&gt;2023&lt;/year&gt;&lt;pub-dates&gt;&lt;date&gt;2023/07/07&lt;/date&gt;&lt;/pub-dates&gt;&lt;/dates&gt;&lt;isbn&gt;2041-1723&lt;/isbn&gt;&lt;urls&gt;&lt;related-urls&gt;&lt;url&gt;https://doi.org/10.1038/s41467-023-39666-0&lt;/url&gt;&lt;/related-urls&gt;&lt;/urls&gt;&lt;electronic-resource-num&gt;10.1038/s41467-023-39666-0&lt;/electronic-resource-num&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26</w:t>
            </w:r>
            <w:r>
              <w:rPr>
                <w:rFonts w:ascii="Arial" w:hAnsi="Arial" w:cs="Arial"/>
                <w:sz w:val="18"/>
                <w:szCs w:val="18"/>
              </w:rPr>
              <w:fldChar w:fldCharType="end"/>
            </w:r>
          </w:p>
        </w:tc>
      </w:tr>
      <w:tr w:rsidR="00391239" w:rsidRPr="005C188B" w14:paraId="208FB53D" w14:textId="77777777" w:rsidTr="009C353F">
        <w:trPr>
          <w:trHeight w:val="1248"/>
        </w:trPr>
        <w:tc>
          <w:tcPr>
            <w:tcW w:w="993" w:type="dxa"/>
            <w:vAlign w:val="center"/>
          </w:tcPr>
          <w:p w14:paraId="609179CE"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C</w:t>
            </w:r>
            <w:r w:rsidRPr="005C188B">
              <w:rPr>
                <w:rFonts w:ascii="Arial" w:hAnsi="Arial" w:cs="Arial"/>
                <w:sz w:val="18"/>
                <w:szCs w:val="18"/>
              </w:rPr>
              <w:t>CH</w:t>
            </w:r>
          </w:p>
        </w:tc>
        <w:tc>
          <w:tcPr>
            <w:tcW w:w="1417" w:type="dxa"/>
            <w:vAlign w:val="center"/>
          </w:tcPr>
          <w:p w14:paraId="47FAB10C"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C</w:t>
            </w:r>
            <w:r w:rsidRPr="005C188B">
              <w:rPr>
                <w:rFonts w:ascii="Arial" w:hAnsi="Arial" w:cs="Arial"/>
                <w:sz w:val="18"/>
                <w:szCs w:val="18"/>
              </w:rPr>
              <w:t>u-CCH</w:t>
            </w:r>
          </w:p>
        </w:tc>
        <w:tc>
          <w:tcPr>
            <w:tcW w:w="1528" w:type="dxa"/>
            <w:vAlign w:val="center"/>
          </w:tcPr>
          <w:p w14:paraId="7766F1B2"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Dual Jahn–Teller Sites</w:t>
            </w:r>
          </w:p>
        </w:tc>
        <w:tc>
          <w:tcPr>
            <w:tcW w:w="1874" w:type="dxa"/>
            <w:vAlign w:val="center"/>
          </w:tcPr>
          <w:p w14:paraId="43533FC9"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6BC2E140"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9</w:t>
            </w:r>
            <w:r w:rsidRPr="005C188B">
              <w:rPr>
                <w:rFonts w:ascii="Arial" w:hAnsi="Arial" w:cs="Arial"/>
                <w:sz w:val="18"/>
                <w:szCs w:val="18"/>
              </w:rPr>
              <w:t>2.62</w:t>
            </w:r>
          </w:p>
        </w:tc>
        <w:tc>
          <w:tcPr>
            <w:tcW w:w="1092" w:type="dxa"/>
            <w:vAlign w:val="center"/>
          </w:tcPr>
          <w:p w14:paraId="2E484F49"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4</w:t>
            </w:r>
            <w:r w:rsidRPr="00953B50">
              <w:rPr>
                <w:rFonts w:ascii="Arial" w:hAnsi="Arial" w:cs="Arial"/>
                <w:b/>
                <w:bCs/>
                <w:color w:val="FF0000"/>
                <w:sz w:val="18"/>
                <w:szCs w:val="18"/>
              </w:rPr>
              <w:t>.2</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271660E3" w14:textId="5E0E1AB3"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&lt;EndNote&gt;&lt;Cite&gt;&lt;Author&gt;Liu&lt;/Author&gt;&lt;Year&gt;2023&lt;/Year&gt;&lt;RecNum&gt;122&lt;/RecNum&gt;&lt;DisplayText&gt;&lt;style face="superscript"&gt;27&lt;/style&gt;&lt;/DisplayText&gt;&lt;record&gt;&lt;rec-number&gt;122&lt;/rec-number&gt;&lt;foreign-keys&gt;&lt;key app="EN" db-id="9w5fevawaxf0wmefz59pfxe7zedxpwvsa5ap" timestamp="1744254038"&gt;122&lt;/key&gt;&lt;/foreign-keys&gt;&lt;ref-type name="Journal Article"&gt;17&lt;/ref-type&gt;&lt;contributors&gt;&lt;authors&gt;&lt;author&gt;Liu, Huanhuan&lt;/author&gt;&lt;author&gt;Chen, Yanxu&lt;/author&gt;&lt;author&gt;Li, Huiyi&lt;/author&gt;&lt;author&gt;Wan, Guanglin&lt;/author&gt;&lt;author&gt;Feng, Yafei&lt;/author&gt;&lt;author&gt;Wang, Wentao&lt;/author&gt;&lt;author&gt;Xiao, Chong&lt;/author&gt;&lt;author&gt;Zhang, Genqiang&lt;/author&gt;&lt;author&gt;Xie, Yi&lt;/author&gt;&lt;/authors&gt;&lt;/contributors&gt;&lt;titles&gt;&lt;title&gt;&lt;style face="normal" font="default" size="100%"&gt;Construction of Asymmetrical Dual Jahn–Teller Sites for Photocatalytic CO&lt;/style&gt;&lt;style face="subscript" font="default" size="100%"&gt;2&lt;/style&gt;&lt;style face="normal" font="default" size="100%"&gt; Reduction&lt;/style&gt;&lt;/title&gt;&lt;secondary-title&gt;Angewandte Chemie International Edition&lt;/secondary-title&gt;&lt;/titles&gt;&lt;periodical&gt;&lt;full-title&gt;Angewandte Chemie International Edition&lt;/full-title&gt;&lt;abbr-1&gt;Angew. Chem., Int. Ed.&lt;/abbr-1&gt;&lt;/periodical&gt;&lt;pages&gt;e202304562&lt;/pages&gt;&lt;volume&gt;62&lt;/volume&gt;&lt;number&gt;31&lt;/number&gt;&lt;keywords&gt;&lt;keyword&gt;Cobalt Carbonate Hydroxide&lt;/keyword&gt;&lt;keyword&gt;Dual Jahn–Teller Sites&lt;/keyword&gt;&lt;keyword&gt;Photocatalytic CO2 Reduction&lt;/keyword&gt;&lt;/keywords&gt;&lt;dates&gt;&lt;year&gt;2023&lt;/year&gt;&lt;pub-dates&gt;&lt;date&gt;2023/08/01&lt;/date&gt;&lt;/pub-dates&gt;&lt;/dates&gt;&lt;publisher&gt;John Wiley &amp;amp; Sons, Ltd&lt;/publisher&gt;&lt;isbn&gt;1433-7851&lt;/isbn&gt;&lt;urls&gt;&lt;related-urls&gt;&lt;url&gt;https://doi.org/10.1002/anie.202304562&lt;/url&gt;&lt;/related-urls&gt;&lt;/urls&gt;&lt;electronic-resource-num&gt;https://doi.org/10.1002/anie.202304562&lt;/electronic-resource-num&gt;&lt;access-date&gt;2025/04/09&lt;/access-date&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27</w:t>
            </w:r>
            <w:r>
              <w:rPr>
                <w:rFonts w:ascii="Arial" w:hAnsi="Arial" w:cs="Arial"/>
                <w:sz w:val="18"/>
                <w:szCs w:val="18"/>
              </w:rPr>
              <w:fldChar w:fldCharType="end"/>
            </w:r>
          </w:p>
        </w:tc>
      </w:tr>
      <w:tr w:rsidR="00391239" w:rsidRPr="005C188B" w14:paraId="4838B18E" w14:textId="77777777" w:rsidTr="009C353F">
        <w:trPr>
          <w:trHeight w:val="1248"/>
        </w:trPr>
        <w:tc>
          <w:tcPr>
            <w:tcW w:w="993" w:type="dxa"/>
            <w:vAlign w:val="center"/>
          </w:tcPr>
          <w:p w14:paraId="4428B7A8"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B</w:t>
            </w:r>
            <w:r w:rsidRPr="005C188B">
              <w:rPr>
                <w:rFonts w:ascii="Arial" w:hAnsi="Arial" w:cs="Arial"/>
                <w:sz w:val="18"/>
                <w:szCs w:val="18"/>
              </w:rPr>
              <w:t>FO</w:t>
            </w:r>
          </w:p>
        </w:tc>
        <w:tc>
          <w:tcPr>
            <w:tcW w:w="1417" w:type="dxa"/>
            <w:vAlign w:val="center"/>
          </w:tcPr>
          <w:p w14:paraId="691A8158"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BFO-SF40</w:t>
            </w:r>
          </w:p>
        </w:tc>
        <w:tc>
          <w:tcPr>
            <w:tcW w:w="1528" w:type="dxa"/>
            <w:vAlign w:val="center"/>
          </w:tcPr>
          <w:p w14:paraId="38E0FA97" w14:textId="77777777" w:rsidR="00391239" w:rsidRPr="005C188B" w:rsidRDefault="00391239" w:rsidP="009C353F">
            <w:pPr>
              <w:jc w:val="center"/>
              <w:rPr>
                <w:rFonts w:ascii="Arial" w:hAnsi="Arial" w:cs="Arial"/>
                <w:sz w:val="18"/>
                <w:szCs w:val="18"/>
              </w:rPr>
            </w:pPr>
            <w:r w:rsidRPr="005C188B">
              <w:rPr>
                <w:rFonts w:ascii="Arial" w:hAnsi="Arial" w:cs="Arial"/>
                <w:sz w:val="18"/>
                <w:szCs w:val="18"/>
              </w:rPr>
              <w:t>Strain Engineering</w:t>
            </w:r>
          </w:p>
        </w:tc>
        <w:tc>
          <w:tcPr>
            <w:tcW w:w="1874" w:type="dxa"/>
            <w:vAlign w:val="center"/>
          </w:tcPr>
          <w:p w14:paraId="29FA42BB" w14:textId="77777777" w:rsidR="00391239" w:rsidRPr="005C188B" w:rsidRDefault="00391239" w:rsidP="009C353F">
            <w:pPr>
              <w:jc w:val="center"/>
              <w:rPr>
                <w:rFonts w:ascii="Arial" w:hAnsi="Arial" w:cs="Arial"/>
                <w:sz w:val="18"/>
                <w:szCs w:val="18"/>
              </w:rPr>
            </w:pPr>
            <w:r>
              <w:rPr>
                <w:rFonts w:ascii="Arial" w:hAnsi="Arial" w:cs="Arial"/>
                <w:sz w:val="18"/>
                <w:szCs w:val="18"/>
              </w:rPr>
              <w:t>P</w:t>
            </w:r>
            <w:r w:rsidRPr="005C188B">
              <w:rPr>
                <w:rFonts w:ascii="Arial" w:hAnsi="Arial" w:cs="Arial"/>
                <w:sz w:val="18"/>
                <w:szCs w:val="18"/>
              </w:rPr>
              <w:t>hotocatalysts</w:t>
            </w:r>
          </w:p>
        </w:tc>
        <w:tc>
          <w:tcPr>
            <w:tcW w:w="751" w:type="dxa"/>
            <w:vAlign w:val="center"/>
          </w:tcPr>
          <w:p w14:paraId="00DECB8A" w14:textId="77777777" w:rsidR="00391239" w:rsidRPr="005C188B" w:rsidRDefault="00391239" w:rsidP="009C353F">
            <w:pPr>
              <w:jc w:val="center"/>
              <w:rPr>
                <w:rFonts w:ascii="Arial" w:hAnsi="Arial" w:cs="Arial"/>
                <w:sz w:val="18"/>
                <w:szCs w:val="18"/>
              </w:rPr>
            </w:pPr>
            <w:r w:rsidRPr="005C188B">
              <w:rPr>
                <w:rFonts w:ascii="Arial" w:hAnsi="Arial" w:cs="Arial" w:hint="eastAsia"/>
                <w:sz w:val="18"/>
                <w:szCs w:val="18"/>
              </w:rPr>
              <w:t>1</w:t>
            </w:r>
            <w:r w:rsidRPr="005C188B">
              <w:rPr>
                <w:rFonts w:ascii="Arial" w:hAnsi="Arial" w:cs="Arial"/>
                <w:sz w:val="18"/>
                <w:szCs w:val="18"/>
              </w:rPr>
              <w:t>00</w:t>
            </w:r>
          </w:p>
        </w:tc>
        <w:tc>
          <w:tcPr>
            <w:tcW w:w="1092" w:type="dxa"/>
            <w:vAlign w:val="center"/>
          </w:tcPr>
          <w:p w14:paraId="7E332B2C" w14:textId="77777777" w:rsidR="00391239" w:rsidRPr="00953B50" w:rsidRDefault="00391239" w:rsidP="009C353F">
            <w:pPr>
              <w:jc w:val="center"/>
              <w:rPr>
                <w:rFonts w:ascii="Arial" w:hAnsi="Arial" w:cs="Arial"/>
                <w:b/>
                <w:bCs/>
                <w:color w:val="FF0000"/>
                <w:sz w:val="18"/>
                <w:szCs w:val="18"/>
              </w:rPr>
            </w:pPr>
            <w:r w:rsidRPr="00953B50">
              <w:rPr>
                <w:rFonts w:ascii="Arial" w:hAnsi="Arial" w:cs="Arial" w:hint="eastAsia"/>
                <w:b/>
                <w:bCs/>
                <w:color w:val="FF0000"/>
                <w:sz w:val="18"/>
                <w:szCs w:val="18"/>
              </w:rPr>
              <w:t>1</w:t>
            </w:r>
            <w:r w:rsidRPr="00953B50">
              <w:rPr>
                <w:rFonts w:ascii="Arial" w:hAnsi="Arial" w:cs="Arial"/>
                <w:b/>
                <w:bCs/>
                <w:color w:val="FF0000"/>
                <w:sz w:val="18"/>
                <w:szCs w:val="18"/>
              </w:rPr>
              <w:t>2.8</w:t>
            </w:r>
            <w:r>
              <w:rPr>
                <w:rFonts w:ascii="Arial" w:hAnsi="Arial" w:cs="Arial"/>
                <w:b/>
                <w:bCs/>
                <w:color w:val="FF0000"/>
                <w:sz w:val="18"/>
                <w:szCs w:val="18"/>
              </w:rPr>
              <w:t xml:space="preserve"> </w:t>
            </w:r>
            <w:r w:rsidRPr="000B1FF9">
              <w:rPr>
                <w:rFonts w:ascii="Arial" w:hAnsi="Arial" w:cs="Arial"/>
                <w:b/>
                <w:bCs/>
                <w:color w:val="FF0000"/>
                <w:sz w:val="18"/>
                <w:szCs w:val="18"/>
              </w:rPr>
              <w:t>times</w:t>
            </w:r>
          </w:p>
        </w:tc>
        <w:tc>
          <w:tcPr>
            <w:tcW w:w="641" w:type="dxa"/>
            <w:vAlign w:val="center"/>
          </w:tcPr>
          <w:p w14:paraId="0C0C201D" w14:textId="532A13EF" w:rsidR="00391239" w:rsidRPr="005C188B" w:rsidRDefault="00391239" w:rsidP="009C353F">
            <w:pPr>
              <w:jc w:val="center"/>
              <w:rPr>
                <w:rFonts w:ascii="Arial" w:hAnsi="Arial" w:cs="Arial"/>
                <w:sz w:val="18"/>
                <w:szCs w:val="18"/>
              </w:rPr>
            </w:pPr>
            <w:r>
              <w:rPr>
                <w:rFonts w:ascii="Arial" w:hAnsi="Arial" w:cs="Arial"/>
                <w:sz w:val="18"/>
                <w:szCs w:val="18"/>
              </w:rPr>
              <w:fldChar w:fldCharType="begin"/>
            </w:r>
            <w:r w:rsidR="00F252C1">
              <w:rPr>
                <w:rFonts w:ascii="Arial" w:hAnsi="Arial" w:cs="Arial"/>
                <w:sz w:val="18"/>
                <w:szCs w:val="18"/>
              </w:rPr>
              <w:instrText xml:space="preserve"> ADDIN EN.CITE &lt;EndNote&gt;&lt;Cite&gt;&lt;Author&gt;Zhou&lt;/Author&gt;&lt;Year&gt;2024&lt;/Year&gt;&lt;RecNum&gt;123&lt;/RecNum&gt;&lt;DisplayText&gt;&lt;style face="superscript"&gt;28&lt;/style&gt;&lt;/DisplayText&gt;&lt;record&gt;&lt;rec-number&gt;123&lt;/rec-number&gt;&lt;foreign-keys&gt;&lt;key app="EN" db-id="9w5fevawaxf0wmefz59pfxe7zedxpwvsa5ap" timestamp="1744254076"&gt;123&lt;/key&gt;&lt;/foreign-keys&gt;&lt;ref-type name="Journal Article"&gt;17&lt;/ref-type&gt;&lt;contributors&gt;&lt;authors&gt;&lt;author&gt;Zhou, Guosheng&lt;/author&gt;&lt;author&gt;Liu, Xinlin&lt;/author&gt;&lt;author&gt;Xu, Yangrui&lt;/author&gt;&lt;author&gt;Feng, Sheng&lt;/author&gt;&lt;author&gt;Lu, Ziyang&lt;/author&gt;&lt;author&gt;Liu, Zhao-Qing&lt;/author&gt;&lt;/authors&gt;&lt;/contributors&gt;&lt;titles&gt;&lt;title&gt;&lt;style face="normal" font="default" size="100%"&gt;Enhancing d/p-2π* Orbitals Hybridization via Strain Engineering for Efficient CO&lt;/style&gt;&lt;style face="subscript" font="default" size="100%"&gt;2&lt;/style&gt;&lt;style face="normal" font="default" size="100%"&gt; Photoreduction&lt;/style&gt;&lt;/title&gt;&lt;secondary-title&gt;Angewandte Chemie International Edition&lt;/secondary-title&gt;&lt;/titles&gt;&lt;periodical&gt;&lt;full-title&gt;Angewandte Chemie International Edition&lt;/full-title&gt;&lt;abbr-1&gt;Angew. Chem., Int. Ed.&lt;/abbr-1&gt;&lt;/periodical&gt;&lt;pages&gt;e202411794&lt;/pages&gt;&lt;volume&gt;63&lt;/volume&gt;&lt;number&gt;49&lt;/number&gt;&lt;keywords&gt;&lt;keyword&gt;BiFeO3&lt;/keyword&gt;&lt;keyword&gt;CO2 photoreduction&lt;/keyword&gt;&lt;keyword&gt;Orbital hybridization&lt;/keyword&gt;&lt;keyword&gt;Strain engineering&lt;/keyword&gt;&lt;/keywords&gt;&lt;dates&gt;&lt;year&gt;2024&lt;/year&gt;&lt;pub-dates&gt;&lt;date&gt;2024/12/02&lt;/date&gt;&lt;/pub-dates&gt;&lt;/dates&gt;&lt;publisher&gt;John Wiley &amp;amp; Sons, Ltd&lt;/publisher&gt;&lt;isbn&gt;1433-7851&lt;/isbn&gt;&lt;urls&gt;&lt;related-urls&gt;&lt;url&gt;https://doi.org/10.1002/anie.202411794&lt;/url&gt;&lt;/related-urls&gt;&lt;/urls&gt;&lt;electronic-resource-num&gt;https://doi.org/10.1002/anie.202411794&lt;/electronic-resource-num&gt;&lt;access-date&gt;2025/04/09&lt;/access-date&gt;&lt;/record&gt;&lt;/Cite&gt;&lt;/EndNote&gt;</w:instrText>
            </w:r>
            <w:r>
              <w:rPr>
                <w:rFonts w:ascii="Arial" w:hAnsi="Arial" w:cs="Arial"/>
                <w:sz w:val="18"/>
                <w:szCs w:val="18"/>
              </w:rPr>
              <w:fldChar w:fldCharType="separate"/>
            </w:r>
            <w:r w:rsidR="00F252C1" w:rsidRPr="00F252C1">
              <w:rPr>
                <w:rFonts w:ascii="Arial" w:hAnsi="Arial" w:cs="Arial"/>
                <w:noProof/>
                <w:sz w:val="18"/>
                <w:szCs w:val="18"/>
                <w:vertAlign w:val="superscript"/>
              </w:rPr>
              <w:t>28</w:t>
            </w:r>
            <w:r>
              <w:rPr>
                <w:rFonts w:ascii="Arial" w:hAnsi="Arial" w:cs="Arial"/>
                <w:sz w:val="18"/>
                <w:szCs w:val="18"/>
              </w:rPr>
              <w:fldChar w:fldCharType="end"/>
            </w:r>
          </w:p>
        </w:tc>
      </w:tr>
    </w:tbl>
    <w:p w14:paraId="42007731" w14:textId="77777777" w:rsidR="00391239" w:rsidRDefault="00391239" w:rsidP="00391239">
      <w:pPr>
        <w:rPr>
          <w:rFonts w:ascii="Arial" w:hAnsi="Arial" w:cs="Arial"/>
        </w:rPr>
      </w:pPr>
    </w:p>
    <w:p w14:paraId="1B03875F" w14:textId="716D0E9E" w:rsidR="00391239" w:rsidRDefault="00391239">
      <w:pPr>
        <w:widowControl/>
        <w:jc w:val="left"/>
        <w:rPr>
          <w:rFonts w:ascii="Arial" w:hAnsi="Arial" w:cs="Arial"/>
        </w:rPr>
      </w:pPr>
    </w:p>
    <w:p w14:paraId="7FD6ABB2" w14:textId="6985C5DF" w:rsidR="00391239" w:rsidRDefault="00391239">
      <w:pPr>
        <w:widowControl/>
        <w:jc w:val="left"/>
        <w:rPr>
          <w:rFonts w:ascii="Arial" w:hAnsi="Arial" w:cs="Arial"/>
        </w:rPr>
      </w:pPr>
      <w:r>
        <w:rPr>
          <w:rFonts w:ascii="Arial" w:hAnsi="Arial" w:cs="Arial"/>
        </w:rPr>
        <w:br w:type="page"/>
      </w:r>
    </w:p>
    <w:p w14:paraId="1476B402" w14:textId="78FB5156" w:rsidR="00A27B3E" w:rsidRPr="00F252C1" w:rsidRDefault="00E9571A" w:rsidP="0088799F">
      <w:pPr>
        <w:rPr>
          <w:rFonts w:ascii="Arial" w:hAnsi="Arial" w:cs="Arial"/>
          <w:b/>
          <w:bCs/>
          <w:sz w:val="24"/>
          <w:szCs w:val="28"/>
        </w:rPr>
      </w:pPr>
      <w:r w:rsidRPr="00E9571A">
        <w:rPr>
          <w:rFonts w:ascii="Arial" w:hAnsi="Arial" w:cs="Arial" w:hint="eastAsia"/>
          <w:b/>
          <w:bCs/>
          <w:sz w:val="24"/>
          <w:szCs w:val="28"/>
        </w:rPr>
        <w:lastRenderedPageBreak/>
        <w:t>R</w:t>
      </w:r>
      <w:r w:rsidRPr="00E9571A">
        <w:rPr>
          <w:rFonts w:ascii="Arial" w:hAnsi="Arial" w:cs="Arial"/>
          <w:b/>
          <w:bCs/>
          <w:sz w:val="24"/>
          <w:szCs w:val="28"/>
        </w:rPr>
        <w:t>eference</w:t>
      </w:r>
    </w:p>
    <w:p w14:paraId="289FD78D" w14:textId="77777777" w:rsidR="00F252C1" w:rsidRPr="00F252C1" w:rsidRDefault="00A27B3E" w:rsidP="00F252C1">
      <w:pPr>
        <w:pStyle w:val="EndNoteBibliography"/>
      </w:pPr>
      <w:r>
        <w:fldChar w:fldCharType="begin"/>
      </w:r>
      <w:r>
        <w:instrText xml:space="preserve"> ADDIN EN.REFLIST </w:instrText>
      </w:r>
      <w:r>
        <w:fldChar w:fldCharType="separate"/>
      </w:r>
      <w:r w:rsidR="00F252C1" w:rsidRPr="00F252C1">
        <w:t>1.  Dai, F.</w:t>
      </w:r>
      <w:r w:rsidR="00F252C1" w:rsidRPr="00F252C1">
        <w:rPr>
          <w:i/>
        </w:rPr>
        <w:t>, et al.</w:t>
      </w:r>
      <w:r w:rsidR="00F252C1" w:rsidRPr="00F252C1">
        <w:t xml:space="preserve"> Highly efficient CO</w:t>
      </w:r>
      <w:r w:rsidR="00F252C1" w:rsidRPr="00F252C1">
        <w:rPr>
          <w:vertAlign w:val="subscript"/>
        </w:rPr>
        <w:t>2</w:t>
      </w:r>
      <w:r w:rsidR="00F252C1" w:rsidRPr="00F252C1">
        <w:t xml:space="preserve"> photoreduction by ultralow-Ru-Loading ZIF-67. </w:t>
      </w:r>
      <w:r w:rsidR="00F252C1" w:rsidRPr="00F252C1">
        <w:rPr>
          <w:i/>
        </w:rPr>
        <w:t>Appl. Catal., B</w:t>
      </w:r>
      <w:r w:rsidR="00F252C1" w:rsidRPr="00F252C1">
        <w:t xml:space="preserve"> </w:t>
      </w:r>
      <w:r w:rsidR="00F252C1" w:rsidRPr="00F252C1">
        <w:rPr>
          <w:b/>
        </w:rPr>
        <w:t>336</w:t>
      </w:r>
      <w:r w:rsidR="00F252C1" w:rsidRPr="00F252C1">
        <w:t>, 122934 (2023).</w:t>
      </w:r>
    </w:p>
    <w:p w14:paraId="2FF7CB7B" w14:textId="77777777" w:rsidR="00F252C1" w:rsidRPr="00F252C1" w:rsidRDefault="00F252C1" w:rsidP="00F252C1">
      <w:pPr>
        <w:pStyle w:val="EndNoteBibliography"/>
      </w:pPr>
      <w:r w:rsidRPr="00F252C1">
        <w:t>2.  Bhimpuria, R., Tomar, M., Thapper, A., Ahlquist, M.&amp;Borbas, K. E. Photocatalytic product-selective reduction of CO</w:t>
      </w:r>
      <w:r w:rsidRPr="00F252C1">
        <w:rPr>
          <w:vertAlign w:val="subscript"/>
        </w:rPr>
        <w:t>2</w:t>
      </w:r>
      <w:r w:rsidRPr="00F252C1">
        <w:t xml:space="preserve">, CO, and carbonates. </w:t>
      </w:r>
      <w:r w:rsidRPr="00F252C1">
        <w:rPr>
          <w:i/>
        </w:rPr>
        <w:t>Chem</w:t>
      </w:r>
      <w:r w:rsidRPr="00F252C1">
        <w:t>, 10.1016/j.chempr.2025.102450.</w:t>
      </w:r>
    </w:p>
    <w:p w14:paraId="29E34E1F" w14:textId="77777777" w:rsidR="00F252C1" w:rsidRPr="00F252C1" w:rsidRDefault="00F252C1" w:rsidP="00F252C1">
      <w:pPr>
        <w:pStyle w:val="EndNoteBibliography"/>
      </w:pPr>
      <w:r w:rsidRPr="00F252C1">
        <w:t>3.  Wu, C.</w:t>
      </w:r>
      <w:r w:rsidRPr="00F252C1">
        <w:rPr>
          <w:i/>
        </w:rPr>
        <w:t>, et al.</w:t>
      </w:r>
      <w:r w:rsidRPr="00F252C1">
        <w:t xml:space="preserve"> Highly Efficient Photocatalytic CO</w:t>
      </w:r>
      <w:r w:rsidRPr="00F252C1">
        <w:rPr>
          <w:vertAlign w:val="subscript"/>
        </w:rPr>
        <w:t>2</w:t>
      </w:r>
      <w:r w:rsidRPr="00F252C1">
        <w:t>-to-CO on Ni-Based Cationic Polymer with TiO</w:t>
      </w:r>
      <w:r w:rsidRPr="00F252C1">
        <w:rPr>
          <w:vertAlign w:val="subscript"/>
        </w:rPr>
        <w:t>2</w:t>
      </w:r>
      <w:r w:rsidRPr="00F252C1">
        <w:t xml:space="preserve">-Assisted Exfoliation and Stabilization. </w:t>
      </w:r>
      <w:r w:rsidRPr="00F252C1">
        <w:rPr>
          <w:i/>
        </w:rPr>
        <w:t>Angew. Chem., Int. Ed.</w:t>
      </w:r>
      <w:r w:rsidRPr="00F252C1">
        <w:t xml:space="preserve"> </w:t>
      </w:r>
      <w:r w:rsidRPr="00F252C1">
        <w:rPr>
          <w:b/>
        </w:rPr>
        <w:t>64</w:t>
      </w:r>
      <w:r w:rsidRPr="00F252C1">
        <w:t>, e202423200 (2025).</w:t>
      </w:r>
    </w:p>
    <w:p w14:paraId="3FFC6552" w14:textId="77777777" w:rsidR="00F252C1" w:rsidRPr="00F252C1" w:rsidRDefault="00F252C1" w:rsidP="00F252C1">
      <w:pPr>
        <w:pStyle w:val="EndNoteBibliography"/>
      </w:pPr>
      <w:r w:rsidRPr="00F252C1">
        <w:t>4.  Zhang, Y.</w:t>
      </w:r>
      <w:r w:rsidRPr="00F252C1">
        <w:rPr>
          <w:i/>
        </w:rPr>
        <w:t>, et al.</w:t>
      </w:r>
      <w:r w:rsidRPr="00F252C1">
        <w:t xml:space="preserve"> Precisely Constructing Molecular Junctions in Hydrogen-Bonded Organic Frameworks for Efficient Artificial Photosynthetic CO</w:t>
      </w:r>
      <w:r w:rsidRPr="00F252C1">
        <w:rPr>
          <w:vertAlign w:val="subscript"/>
        </w:rPr>
        <w:t xml:space="preserve">2 </w:t>
      </w:r>
      <w:r w:rsidRPr="00F252C1">
        <w:t xml:space="preserve">Reduction. </w:t>
      </w:r>
      <w:r w:rsidRPr="00F252C1">
        <w:rPr>
          <w:i/>
        </w:rPr>
        <w:t>Angew. Chem., Int. Ed.</w:t>
      </w:r>
      <w:r w:rsidRPr="00F252C1">
        <w:t xml:space="preserve"> </w:t>
      </w:r>
      <w:r w:rsidRPr="00F252C1">
        <w:rPr>
          <w:b/>
        </w:rPr>
        <w:t>63</w:t>
      </w:r>
      <w:r w:rsidRPr="00F252C1">
        <w:t>, e202413131 (2024).</w:t>
      </w:r>
    </w:p>
    <w:p w14:paraId="1989087A" w14:textId="77777777" w:rsidR="00F252C1" w:rsidRPr="00F252C1" w:rsidRDefault="00F252C1" w:rsidP="00F252C1">
      <w:pPr>
        <w:pStyle w:val="EndNoteBibliography"/>
      </w:pPr>
      <w:r w:rsidRPr="00F252C1">
        <w:t>5.  Lyu, W., Liu, Y., Chen, D., Wang, F.&amp;Li, Y. Engineering the electron localization of metal sites on nanosheets assembled periodic macropores for CO</w:t>
      </w:r>
      <w:r w:rsidRPr="00F252C1">
        <w:rPr>
          <w:vertAlign w:val="subscript"/>
        </w:rPr>
        <w:t xml:space="preserve">2 </w:t>
      </w:r>
      <w:r w:rsidRPr="00F252C1">
        <w:t xml:space="preserve">photoreduction. </w:t>
      </w:r>
      <w:r w:rsidRPr="00F252C1">
        <w:rPr>
          <w:i/>
        </w:rPr>
        <w:t>Nat. Commun.</w:t>
      </w:r>
      <w:r w:rsidRPr="00F252C1">
        <w:t xml:space="preserve"> </w:t>
      </w:r>
      <w:r w:rsidRPr="00F252C1">
        <w:rPr>
          <w:b/>
        </w:rPr>
        <w:t>15</w:t>
      </w:r>
      <w:r w:rsidRPr="00F252C1">
        <w:t>, 10589 (2024).</w:t>
      </w:r>
    </w:p>
    <w:p w14:paraId="581443F3" w14:textId="77777777" w:rsidR="00F252C1" w:rsidRPr="00F252C1" w:rsidRDefault="00F252C1" w:rsidP="00F252C1">
      <w:pPr>
        <w:pStyle w:val="EndNoteBibliography"/>
      </w:pPr>
      <w:r w:rsidRPr="00F252C1">
        <w:t>6.  Yin, Q.</w:t>
      </w:r>
      <w:r w:rsidRPr="00F252C1">
        <w:rPr>
          <w:i/>
        </w:rPr>
        <w:t>, et al.</w:t>
      </w:r>
      <w:r w:rsidRPr="00F252C1">
        <w:t xml:space="preserve"> Metallization-Prompted Robust Porphyrin-Based Hydrogen-Bonded Organic Frameworks for Photocatalytic CO</w:t>
      </w:r>
      <w:r w:rsidRPr="00F252C1">
        <w:rPr>
          <w:vertAlign w:val="subscript"/>
        </w:rPr>
        <w:t>2</w:t>
      </w:r>
      <w:r w:rsidRPr="00F252C1">
        <w:t xml:space="preserve"> Reduction. </w:t>
      </w:r>
      <w:r w:rsidRPr="00F252C1">
        <w:rPr>
          <w:i/>
        </w:rPr>
        <w:t>Angew. Chem., Int. Ed.</w:t>
      </w:r>
      <w:r w:rsidRPr="00F252C1">
        <w:t xml:space="preserve"> </w:t>
      </w:r>
      <w:r w:rsidRPr="00F252C1">
        <w:rPr>
          <w:b/>
        </w:rPr>
        <w:t>61</w:t>
      </w:r>
      <w:r w:rsidRPr="00F252C1">
        <w:t>, e202115854 (2022).</w:t>
      </w:r>
    </w:p>
    <w:p w14:paraId="690F414E" w14:textId="77777777" w:rsidR="00F252C1" w:rsidRPr="00F252C1" w:rsidRDefault="00F252C1" w:rsidP="00F252C1">
      <w:pPr>
        <w:pStyle w:val="EndNoteBibliography"/>
      </w:pPr>
      <w:r w:rsidRPr="00F252C1">
        <w:t>7.  Mo, S.</w:t>
      </w:r>
      <w:r w:rsidRPr="00F252C1">
        <w:rPr>
          <w:i/>
        </w:rPr>
        <w:t>, et al.</w:t>
      </w:r>
      <w:r w:rsidRPr="00F252C1">
        <w:t xml:space="preserve"> Hierarchically ordered microporous Ag</w:t>
      </w:r>
      <w:r w:rsidRPr="00F252C1">
        <w:rPr>
          <w:vertAlign w:val="subscript"/>
        </w:rPr>
        <w:t>2</w:t>
      </w:r>
      <w:r w:rsidRPr="00F252C1">
        <w:t>S QDs-CoOx/NC nanostructures for enhancing photocatalytic CO</w:t>
      </w:r>
      <w:r w:rsidRPr="00F252C1">
        <w:rPr>
          <w:vertAlign w:val="subscript"/>
        </w:rPr>
        <w:t>2</w:t>
      </w:r>
      <w:r w:rsidRPr="00F252C1">
        <w:t xml:space="preserve"> reduction to chemical fuels. </w:t>
      </w:r>
      <w:r w:rsidRPr="00F252C1">
        <w:rPr>
          <w:i/>
        </w:rPr>
        <w:t>Fuel</w:t>
      </w:r>
      <w:r w:rsidRPr="00F252C1">
        <w:t xml:space="preserve"> </w:t>
      </w:r>
      <w:r w:rsidRPr="00F252C1">
        <w:rPr>
          <w:b/>
        </w:rPr>
        <w:t>358</w:t>
      </w:r>
      <w:r w:rsidRPr="00F252C1">
        <w:t>, 130113 (2024).</w:t>
      </w:r>
    </w:p>
    <w:p w14:paraId="0DAFE08A" w14:textId="77777777" w:rsidR="00F252C1" w:rsidRPr="00F252C1" w:rsidRDefault="00F252C1" w:rsidP="00F252C1">
      <w:pPr>
        <w:pStyle w:val="EndNoteBibliography"/>
      </w:pPr>
      <w:r w:rsidRPr="00F252C1">
        <w:t>8.  Pan, R.</w:t>
      </w:r>
      <w:r w:rsidRPr="00F252C1">
        <w:rPr>
          <w:i/>
        </w:rPr>
        <w:t>, et al.</w:t>
      </w:r>
      <w:r w:rsidRPr="00F252C1">
        <w:t xml:space="preserve"> Amorphization-Induced Cation Exchange in Indium Oxide Nanosheets for CO</w:t>
      </w:r>
      <w:r w:rsidRPr="00F252C1">
        <w:rPr>
          <w:vertAlign w:val="subscript"/>
        </w:rPr>
        <w:t>2</w:t>
      </w:r>
      <w:r w:rsidRPr="00F252C1">
        <w:t xml:space="preserve">-to-Ethanol Conversion. </w:t>
      </w:r>
      <w:r w:rsidRPr="00F252C1">
        <w:rPr>
          <w:i/>
        </w:rPr>
        <w:t>Nano Lett.</w:t>
      </w:r>
      <w:r w:rsidRPr="00F252C1">
        <w:t xml:space="preserve"> </w:t>
      </w:r>
      <w:r w:rsidRPr="00F252C1">
        <w:rPr>
          <w:b/>
        </w:rPr>
        <w:t>23</w:t>
      </w:r>
      <w:r w:rsidRPr="00F252C1">
        <w:t>, 10004-10012 (2023).</w:t>
      </w:r>
    </w:p>
    <w:p w14:paraId="0A9A38E0" w14:textId="77777777" w:rsidR="00F252C1" w:rsidRPr="00F252C1" w:rsidRDefault="00F252C1" w:rsidP="00F252C1">
      <w:pPr>
        <w:pStyle w:val="EndNoteBibliography"/>
      </w:pPr>
      <w:r w:rsidRPr="00F252C1">
        <w:t>9.  Xu, F.</w:t>
      </w:r>
      <w:r w:rsidRPr="00F252C1">
        <w:rPr>
          <w:i/>
        </w:rPr>
        <w:t>, et al.</w:t>
      </w:r>
      <w:r w:rsidRPr="00F252C1">
        <w:t xml:space="preserve"> Unique S-scheme heterojunctions in self-assembled TiO</w:t>
      </w:r>
      <w:r w:rsidRPr="00F252C1">
        <w:rPr>
          <w:vertAlign w:val="subscript"/>
        </w:rPr>
        <w:t>2</w:t>
      </w:r>
      <w:r w:rsidRPr="00F252C1">
        <w:t>/CsPbBr</w:t>
      </w:r>
      <w:r w:rsidRPr="00F252C1">
        <w:rPr>
          <w:vertAlign w:val="subscript"/>
        </w:rPr>
        <w:t>3</w:t>
      </w:r>
      <w:r w:rsidRPr="00F252C1">
        <w:t xml:space="preserve"> hybrids for CO</w:t>
      </w:r>
      <w:r w:rsidRPr="00F252C1">
        <w:rPr>
          <w:vertAlign w:val="subscript"/>
        </w:rPr>
        <w:t>2</w:t>
      </w:r>
      <w:r w:rsidRPr="00F252C1">
        <w:t xml:space="preserve"> photoreduction. </w:t>
      </w:r>
      <w:r w:rsidRPr="00F252C1">
        <w:rPr>
          <w:i/>
        </w:rPr>
        <w:t>Nat. Commun.</w:t>
      </w:r>
      <w:r w:rsidRPr="00F252C1">
        <w:t xml:space="preserve"> </w:t>
      </w:r>
      <w:r w:rsidRPr="00F252C1">
        <w:rPr>
          <w:b/>
        </w:rPr>
        <w:t>11</w:t>
      </w:r>
      <w:r w:rsidRPr="00F252C1">
        <w:t>, 4613 (2020).</w:t>
      </w:r>
    </w:p>
    <w:p w14:paraId="5239C992" w14:textId="77777777" w:rsidR="00F252C1" w:rsidRPr="00F252C1" w:rsidRDefault="00F252C1" w:rsidP="00F252C1">
      <w:pPr>
        <w:pStyle w:val="EndNoteBibliography"/>
      </w:pPr>
      <w:r w:rsidRPr="00F252C1">
        <w:t>10.  Li, N.</w:t>
      </w:r>
      <w:r w:rsidRPr="00F252C1">
        <w:rPr>
          <w:i/>
        </w:rPr>
        <w:t>, et al.</w:t>
      </w:r>
      <w:r w:rsidRPr="00F252C1">
        <w:t xml:space="preserve"> ZnSe Nanorods–CsSnCl</w:t>
      </w:r>
      <w:r w:rsidRPr="00F252C1">
        <w:rPr>
          <w:vertAlign w:val="subscript"/>
        </w:rPr>
        <w:t>3</w:t>
      </w:r>
      <w:r w:rsidRPr="00F252C1">
        <w:t xml:space="preserve"> Perovskite Heterojunction Composite for Photocatalytic CO</w:t>
      </w:r>
      <w:r w:rsidRPr="00F252C1">
        <w:rPr>
          <w:vertAlign w:val="subscript"/>
        </w:rPr>
        <w:t>2</w:t>
      </w:r>
      <w:r w:rsidRPr="00F252C1">
        <w:t xml:space="preserve"> Reduction. </w:t>
      </w:r>
      <w:r w:rsidRPr="00F252C1">
        <w:rPr>
          <w:i/>
        </w:rPr>
        <w:t>ACS Nano</w:t>
      </w:r>
      <w:r w:rsidRPr="00F252C1">
        <w:t xml:space="preserve"> </w:t>
      </w:r>
      <w:r w:rsidRPr="00F252C1">
        <w:rPr>
          <w:b/>
        </w:rPr>
        <w:t>16</w:t>
      </w:r>
      <w:r w:rsidRPr="00F252C1">
        <w:t>, 3332-3340 (2022).</w:t>
      </w:r>
    </w:p>
    <w:p w14:paraId="4CFFA9F9" w14:textId="77777777" w:rsidR="00F252C1" w:rsidRPr="00F252C1" w:rsidRDefault="00F252C1" w:rsidP="00F252C1">
      <w:pPr>
        <w:pStyle w:val="EndNoteBibliography"/>
      </w:pPr>
      <w:r w:rsidRPr="00F252C1">
        <w:t>11.  Ho, P.-Y.</w:t>
      </w:r>
      <w:r w:rsidRPr="00F252C1">
        <w:rPr>
          <w:i/>
        </w:rPr>
        <w:t>, et al.</w:t>
      </w:r>
      <w:r w:rsidRPr="00F252C1">
        <w:t xml:space="preserve"> Light-Driven Reduction of CO</w:t>
      </w:r>
      <w:r w:rsidRPr="00F252C1">
        <w:rPr>
          <w:vertAlign w:val="subscript"/>
        </w:rPr>
        <w:t>2</w:t>
      </w:r>
      <w:r w:rsidRPr="00F252C1">
        <w:t xml:space="preserve"> to CO in Water with a Cobalt Molecular Catalyst and an Organic Sensitizer. </w:t>
      </w:r>
      <w:r w:rsidRPr="00F252C1">
        <w:rPr>
          <w:i/>
        </w:rPr>
        <w:t>ACS Catal.</w:t>
      </w:r>
      <w:r w:rsidRPr="00F252C1">
        <w:t xml:space="preserve"> </w:t>
      </w:r>
      <w:r w:rsidRPr="00F252C1">
        <w:rPr>
          <w:b/>
        </w:rPr>
        <w:t>13</w:t>
      </w:r>
      <w:r w:rsidRPr="00F252C1">
        <w:t>, 5979-5985 (2023).</w:t>
      </w:r>
    </w:p>
    <w:p w14:paraId="38171EEA" w14:textId="77777777" w:rsidR="00F252C1" w:rsidRPr="00F252C1" w:rsidRDefault="00F252C1" w:rsidP="00F252C1">
      <w:pPr>
        <w:pStyle w:val="EndNoteBibliography"/>
      </w:pPr>
      <w:r w:rsidRPr="00F252C1">
        <w:t>12.  Wang, J.-W.</w:t>
      </w:r>
      <w:r w:rsidRPr="00F252C1">
        <w:rPr>
          <w:i/>
        </w:rPr>
        <w:t>, et al.</w:t>
      </w:r>
      <w:r w:rsidRPr="00F252C1">
        <w:t xml:space="preserve"> Homoleptic Al(III) Photosensitizers for Durable CO</w:t>
      </w:r>
      <w:r w:rsidRPr="00F252C1">
        <w:rPr>
          <w:vertAlign w:val="subscript"/>
        </w:rPr>
        <w:t xml:space="preserve">2 </w:t>
      </w:r>
      <w:r w:rsidRPr="00F252C1">
        <w:t xml:space="preserve">Photoreduction. </w:t>
      </w:r>
      <w:r w:rsidRPr="00F252C1">
        <w:rPr>
          <w:i/>
        </w:rPr>
        <w:t>J. Am. Chem. Soc</w:t>
      </w:r>
      <w:r w:rsidRPr="00F252C1">
        <w:t xml:space="preserve"> </w:t>
      </w:r>
      <w:r w:rsidRPr="00F252C1">
        <w:rPr>
          <w:b/>
        </w:rPr>
        <w:t>145</w:t>
      </w:r>
      <w:r w:rsidRPr="00F252C1">
        <w:t>, 676-688 (2023).</w:t>
      </w:r>
    </w:p>
    <w:p w14:paraId="71A5A62B" w14:textId="77777777" w:rsidR="00F252C1" w:rsidRPr="00F252C1" w:rsidRDefault="00F252C1" w:rsidP="00F252C1">
      <w:pPr>
        <w:pStyle w:val="EndNoteBibliography"/>
      </w:pPr>
      <w:r w:rsidRPr="00F252C1">
        <w:t>13.  Liu, Y., Wang, Y., Shang, J., Peng, J.&amp;Zhu, T. Construction of a novel metal-free heterostructure photocatalyst PRGO/TP-COF for enhanced photocatalytic CO</w:t>
      </w:r>
      <w:r w:rsidRPr="00F252C1">
        <w:rPr>
          <w:vertAlign w:val="subscript"/>
        </w:rPr>
        <w:t>2</w:t>
      </w:r>
      <w:r w:rsidRPr="00F252C1">
        <w:t xml:space="preserve"> reduction. </w:t>
      </w:r>
      <w:r w:rsidRPr="00F252C1">
        <w:rPr>
          <w:i/>
        </w:rPr>
        <w:t>Appl. Catal. B Environ.</w:t>
      </w:r>
      <w:r w:rsidRPr="00F252C1">
        <w:t xml:space="preserve"> </w:t>
      </w:r>
      <w:r w:rsidRPr="00F252C1">
        <w:rPr>
          <w:b/>
        </w:rPr>
        <w:t>350</w:t>
      </w:r>
      <w:r w:rsidRPr="00F252C1">
        <w:t>, 123937 (2024).</w:t>
      </w:r>
    </w:p>
    <w:p w14:paraId="76C80D0A" w14:textId="77777777" w:rsidR="00F252C1" w:rsidRPr="00F252C1" w:rsidRDefault="00F252C1" w:rsidP="00F252C1">
      <w:pPr>
        <w:pStyle w:val="EndNoteBibliography"/>
      </w:pPr>
      <w:r w:rsidRPr="00F252C1">
        <w:t>14.  Liu, Y.</w:t>
      </w:r>
      <w:r w:rsidRPr="00F252C1">
        <w:rPr>
          <w:i/>
        </w:rPr>
        <w:t>, et al.</w:t>
      </w:r>
      <w:r w:rsidRPr="00F252C1">
        <w:t xml:space="preserve"> Improving CO</w:t>
      </w:r>
      <w:r w:rsidRPr="00F252C1">
        <w:rPr>
          <w:vertAlign w:val="subscript"/>
        </w:rPr>
        <w:t>2</w:t>
      </w:r>
      <w:r w:rsidRPr="00F252C1">
        <w:t xml:space="preserve"> photoconversion with ionic liquid and Co single atoms. </w:t>
      </w:r>
      <w:r w:rsidRPr="00F252C1">
        <w:rPr>
          <w:i/>
        </w:rPr>
        <w:t>Nat. Commun.</w:t>
      </w:r>
      <w:r w:rsidRPr="00F252C1">
        <w:t xml:space="preserve"> </w:t>
      </w:r>
      <w:r w:rsidRPr="00F252C1">
        <w:rPr>
          <w:b/>
        </w:rPr>
        <w:t>14</w:t>
      </w:r>
      <w:r w:rsidRPr="00F252C1">
        <w:t>, 1457 (2023).</w:t>
      </w:r>
    </w:p>
    <w:p w14:paraId="3D975FD5" w14:textId="77777777" w:rsidR="00F252C1" w:rsidRPr="00F252C1" w:rsidRDefault="00F252C1" w:rsidP="00F252C1">
      <w:pPr>
        <w:pStyle w:val="EndNoteBibliography"/>
      </w:pPr>
      <w:r w:rsidRPr="00F252C1">
        <w:t>15.  Kang, H.</w:t>
      </w:r>
      <w:r w:rsidRPr="00F252C1">
        <w:rPr>
          <w:i/>
        </w:rPr>
        <w:t>, et al.</w:t>
      </w:r>
      <w:r w:rsidRPr="00F252C1">
        <w:t xml:space="preserve"> Generation of oxide surface patches promoting H-spillover in Ru/(TiOx)MnO catalysts enables CO</w:t>
      </w:r>
      <w:r w:rsidRPr="00F252C1">
        <w:rPr>
          <w:vertAlign w:val="subscript"/>
        </w:rPr>
        <w:t>2</w:t>
      </w:r>
      <w:r w:rsidRPr="00F252C1">
        <w:t xml:space="preserve"> reduction to CO. </w:t>
      </w:r>
      <w:r w:rsidRPr="00F252C1">
        <w:rPr>
          <w:i/>
        </w:rPr>
        <w:t>Nat. Catal.</w:t>
      </w:r>
      <w:r w:rsidRPr="00F252C1">
        <w:t xml:space="preserve"> </w:t>
      </w:r>
      <w:r w:rsidRPr="00F252C1">
        <w:rPr>
          <w:b/>
        </w:rPr>
        <w:t>6</w:t>
      </w:r>
      <w:r w:rsidRPr="00F252C1">
        <w:t>, 1062-1072 (2023).</w:t>
      </w:r>
    </w:p>
    <w:p w14:paraId="533D16AD" w14:textId="77777777" w:rsidR="00F252C1" w:rsidRPr="00F252C1" w:rsidRDefault="00F252C1" w:rsidP="00F252C1">
      <w:pPr>
        <w:pStyle w:val="EndNoteBibliography"/>
      </w:pPr>
      <w:r w:rsidRPr="00F252C1">
        <w:t>16.  Fan, L.</w:t>
      </w:r>
      <w:r w:rsidRPr="00F252C1">
        <w:rPr>
          <w:i/>
        </w:rPr>
        <w:t>, et al.</w:t>
      </w:r>
      <w:r w:rsidRPr="00F252C1">
        <w:t xml:space="preserve"> Atomic-level Cu active sites enable energy-efficient CO</w:t>
      </w:r>
      <w:r w:rsidRPr="00F252C1">
        <w:rPr>
          <w:vertAlign w:val="subscript"/>
        </w:rPr>
        <w:t xml:space="preserve">2 </w:t>
      </w:r>
      <w:r w:rsidRPr="00F252C1">
        <w:t xml:space="preserve">electroreduction to multicarbon products in strong acid. </w:t>
      </w:r>
      <w:r w:rsidRPr="00F252C1">
        <w:rPr>
          <w:i/>
        </w:rPr>
        <w:t>Nat. Synth.</w:t>
      </w:r>
      <w:r w:rsidRPr="00F252C1">
        <w:t xml:space="preserve"> </w:t>
      </w:r>
      <w:r w:rsidRPr="00F252C1">
        <w:rPr>
          <w:b/>
        </w:rPr>
        <w:t>4</w:t>
      </w:r>
      <w:r w:rsidRPr="00F252C1">
        <w:t>, 262-270 (2025).</w:t>
      </w:r>
    </w:p>
    <w:p w14:paraId="587EFA1E" w14:textId="77777777" w:rsidR="00F252C1" w:rsidRPr="00F252C1" w:rsidRDefault="00F252C1" w:rsidP="00F252C1">
      <w:pPr>
        <w:pStyle w:val="EndNoteBibliography"/>
      </w:pPr>
      <w:r w:rsidRPr="00F252C1">
        <w:t>17.  Gao, W., Xu, Y., Fu, L., Chang, X.&amp;Xu, B. Experimental evidence of distinct sites for CO</w:t>
      </w:r>
      <w:r w:rsidRPr="00F252C1">
        <w:rPr>
          <w:vertAlign w:val="subscript"/>
        </w:rPr>
        <w:t>2</w:t>
      </w:r>
      <w:r w:rsidRPr="00F252C1">
        <w:t>-to-CO and CO conversion on Cu in the electrochemical CO</w:t>
      </w:r>
      <w:r w:rsidRPr="00F252C1">
        <w:rPr>
          <w:vertAlign w:val="subscript"/>
        </w:rPr>
        <w:t>2</w:t>
      </w:r>
      <w:r w:rsidRPr="00F252C1">
        <w:t xml:space="preserve"> reduction reaction. </w:t>
      </w:r>
      <w:r w:rsidRPr="00F252C1">
        <w:rPr>
          <w:i/>
        </w:rPr>
        <w:t>Nat. Catal.</w:t>
      </w:r>
      <w:r w:rsidRPr="00F252C1">
        <w:t xml:space="preserve"> </w:t>
      </w:r>
      <w:r w:rsidRPr="00F252C1">
        <w:rPr>
          <w:b/>
        </w:rPr>
        <w:t>6</w:t>
      </w:r>
      <w:r w:rsidRPr="00F252C1">
        <w:t>, 885-894 (2023).</w:t>
      </w:r>
    </w:p>
    <w:p w14:paraId="4670C7D0" w14:textId="77777777" w:rsidR="00F252C1" w:rsidRPr="00F252C1" w:rsidRDefault="00F252C1" w:rsidP="00F252C1">
      <w:pPr>
        <w:pStyle w:val="EndNoteBibliography"/>
      </w:pPr>
      <w:r w:rsidRPr="00F252C1">
        <w:t>18.  Zhai, J.</w:t>
      </w:r>
      <w:r w:rsidRPr="00F252C1">
        <w:rPr>
          <w:i/>
        </w:rPr>
        <w:t>, et al.</w:t>
      </w:r>
      <w:r w:rsidRPr="00F252C1">
        <w:t xml:space="preserve"> Photo-thermal coupling to enhance CO</w:t>
      </w:r>
      <w:r w:rsidRPr="00F252C1">
        <w:rPr>
          <w:vertAlign w:val="subscript"/>
        </w:rPr>
        <w:t xml:space="preserve">2 </w:t>
      </w:r>
      <w:r w:rsidRPr="00F252C1">
        <w:t>hydrogenation toward CH</w:t>
      </w:r>
      <w:r w:rsidRPr="00F252C1">
        <w:rPr>
          <w:vertAlign w:val="subscript"/>
        </w:rPr>
        <w:t>4</w:t>
      </w:r>
      <w:r w:rsidRPr="00F252C1">
        <w:t xml:space="preserve"> over Ru/MnO/Mn</w:t>
      </w:r>
      <w:r w:rsidRPr="00F252C1">
        <w:rPr>
          <w:vertAlign w:val="subscript"/>
        </w:rPr>
        <w:t>3</w:t>
      </w:r>
      <w:r w:rsidRPr="00F252C1">
        <w:t>O</w:t>
      </w:r>
      <w:r w:rsidRPr="00F252C1">
        <w:rPr>
          <w:vertAlign w:val="subscript"/>
        </w:rPr>
        <w:t>4</w:t>
      </w:r>
      <w:r w:rsidRPr="00F252C1">
        <w:t xml:space="preserve">. </w:t>
      </w:r>
      <w:r w:rsidRPr="00F252C1">
        <w:rPr>
          <w:i/>
        </w:rPr>
        <w:t>Nat. Commun.</w:t>
      </w:r>
      <w:r w:rsidRPr="00F252C1">
        <w:t xml:space="preserve"> </w:t>
      </w:r>
      <w:r w:rsidRPr="00F252C1">
        <w:rPr>
          <w:b/>
        </w:rPr>
        <w:t>15</w:t>
      </w:r>
      <w:r w:rsidRPr="00F252C1">
        <w:t>, 1109 (2024).</w:t>
      </w:r>
    </w:p>
    <w:p w14:paraId="17BDC916" w14:textId="77777777" w:rsidR="00F252C1" w:rsidRPr="00F252C1" w:rsidRDefault="00F252C1" w:rsidP="00F252C1">
      <w:pPr>
        <w:pStyle w:val="EndNoteBibliography"/>
      </w:pPr>
      <w:r w:rsidRPr="00F252C1">
        <w:t>19.  Wang, Y.</w:t>
      </w:r>
      <w:r w:rsidRPr="00F252C1">
        <w:rPr>
          <w:i/>
        </w:rPr>
        <w:t>, et al.</w:t>
      </w:r>
      <w:r w:rsidRPr="00F252C1">
        <w:t xml:space="preserve"> Artificial photosynthetic system for diluted CO</w:t>
      </w:r>
      <w:r w:rsidRPr="00F252C1">
        <w:rPr>
          <w:vertAlign w:val="subscript"/>
        </w:rPr>
        <w:t>2</w:t>
      </w:r>
      <w:r w:rsidRPr="00F252C1">
        <w:t xml:space="preserve"> reduction in gas-solid phase. </w:t>
      </w:r>
      <w:r w:rsidRPr="00F252C1">
        <w:rPr>
          <w:i/>
        </w:rPr>
        <w:t>Nat. Commun.</w:t>
      </w:r>
      <w:r w:rsidRPr="00F252C1">
        <w:t xml:space="preserve"> </w:t>
      </w:r>
      <w:r w:rsidRPr="00F252C1">
        <w:rPr>
          <w:b/>
        </w:rPr>
        <w:t>15</w:t>
      </w:r>
      <w:r w:rsidRPr="00F252C1">
        <w:t>, 8818 (2024).</w:t>
      </w:r>
    </w:p>
    <w:p w14:paraId="0780E929" w14:textId="77777777" w:rsidR="00F252C1" w:rsidRPr="00F252C1" w:rsidRDefault="00F252C1" w:rsidP="00F252C1">
      <w:pPr>
        <w:pStyle w:val="EndNoteBibliography"/>
      </w:pPr>
      <w:r w:rsidRPr="00F252C1">
        <w:t>20.  Yu, Y., He, Y., Yan, P., Wang, S.&amp;Dong, F. Boosted C–C coupling with Cu–Ag alloy sub-</w:t>
      </w:r>
      <w:r w:rsidRPr="00F252C1">
        <w:lastRenderedPageBreak/>
        <w:t>nanoclusters for CO</w:t>
      </w:r>
      <w:r w:rsidRPr="00F252C1">
        <w:rPr>
          <w:vertAlign w:val="subscript"/>
        </w:rPr>
        <w:t>2</w:t>
      </w:r>
      <w:r w:rsidRPr="00F252C1">
        <w:t>-to-C</w:t>
      </w:r>
      <w:r w:rsidRPr="00F252C1">
        <w:rPr>
          <w:vertAlign w:val="subscript"/>
        </w:rPr>
        <w:t>2</w:t>
      </w:r>
      <w:r w:rsidRPr="00F252C1">
        <w:t>H</w:t>
      </w:r>
      <w:r w:rsidRPr="00F252C1">
        <w:rPr>
          <w:vertAlign w:val="subscript"/>
        </w:rPr>
        <w:t>4</w:t>
      </w:r>
      <w:r w:rsidRPr="00F252C1">
        <w:t xml:space="preserve"> photosynthesis. </w:t>
      </w:r>
      <w:r w:rsidRPr="00F252C1">
        <w:rPr>
          <w:i/>
        </w:rPr>
        <w:t>Proc. Natl. Acad. Sci. U. S. A.</w:t>
      </w:r>
      <w:r w:rsidRPr="00F252C1">
        <w:t xml:space="preserve"> </w:t>
      </w:r>
      <w:r w:rsidRPr="00F252C1">
        <w:rPr>
          <w:b/>
        </w:rPr>
        <w:t>120</w:t>
      </w:r>
      <w:r w:rsidRPr="00F252C1">
        <w:t>, e2307320120 (2023).</w:t>
      </w:r>
    </w:p>
    <w:p w14:paraId="7728EB3B" w14:textId="77777777" w:rsidR="00F252C1" w:rsidRPr="00F252C1" w:rsidRDefault="00F252C1" w:rsidP="00F252C1">
      <w:pPr>
        <w:pStyle w:val="EndNoteBibliography"/>
      </w:pPr>
      <w:r w:rsidRPr="00F252C1">
        <w:t>21.  Li, X.</w:t>
      </w:r>
      <w:r w:rsidRPr="00F252C1">
        <w:rPr>
          <w:i/>
        </w:rPr>
        <w:t>, et al.</w:t>
      </w:r>
      <w:r w:rsidRPr="00F252C1">
        <w:t xml:space="preserve"> Selective visible-light-driven photocatalytic CO</w:t>
      </w:r>
      <w:r w:rsidRPr="00F252C1">
        <w:rPr>
          <w:vertAlign w:val="subscript"/>
        </w:rPr>
        <w:t>2</w:t>
      </w:r>
      <w:r w:rsidRPr="00F252C1">
        <w:t xml:space="preserve"> reduction to CH</w:t>
      </w:r>
      <w:r w:rsidRPr="00F252C1">
        <w:rPr>
          <w:vertAlign w:val="subscript"/>
        </w:rPr>
        <w:t xml:space="preserve">4 </w:t>
      </w:r>
      <w:r w:rsidRPr="00F252C1">
        <w:t>mediated by atomically thin CuIn</w:t>
      </w:r>
      <w:r w:rsidRPr="00F252C1">
        <w:rPr>
          <w:vertAlign w:val="subscript"/>
        </w:rPr>
        <w:t>5</w:t>
      </w:r>
      <w:r w:rsidRPr="00F252C1">
        <w:t>S</w:t>
      </w:r>
      <w:r w:rsidRPr="00F252C1">
        <w:rPr>
          <w:vertAlign w:val="subscript"/>
        </w:rPr>
        <w:t>8</w:t>
      </w:r>
      <w:r w:rsidRPr="00F252C1">
        <w:t xml:space="preserve"> layers. </w:t>
      </w:r>
      <w:r w:rsidRPr="00F252C1">
        <w:rPr>
          <w:i/>
        </w:rPr>
        <w:t>Nat. Energy</w:t>
      </w:r>
      <w:r w:rsidRPr="00F252C1">
        <w:t xml:space="preserve"> </w:t>
      </w:r>
      <w:r w:rsidRPr="00F252C1">
        <w:rPr>
          <w:b/>
        </w:rPr>
        <w:t>4</w:t>
      </w:r>
      <w:r w:rsidRPr="00F252C1">
        <w:t>, 690-699 (2019).</w:t>
      </w:r>
    </w:p>
    <w:p w14:paraId="079F6EF7" w14:textId="77777777" w:rsidR="00F252C1" w:rsidRPr="00F252C1" w:rsidRDefault="00F252C1" w:rsidP="00F252C1">
      <w:pPr>
        <w:pStyle w:val="EndNoteBibliography"/>
      </w:pPr>
      <w:r w:rsidRPr="00F252C1">
        <w:t>22.  Huang, N.-Y.</w:t>
      </w:r>
      <w:r w:rsidRPr="00F252C1">
        <w:rPr>
          <w:i/>
        </w:rPr>
        <w:t>, et al.</w:t>
      </w:r>
      <w:r w:rsidRPr="00F252C1">
        <w:t xml:space="preserve"> Electrostatic Attraction-Driven Assembly of a Metal–Organic Framework with a Photosensitizer Boosts Photocatalytic CO</w:t>
      </w:r>
      <w:r w:rsidRPr="00F252C1">
        <w:rPr>
          <w:vertAlign w:val="subscript"/>
        </w:rPr>
        <w:t xml:space="preserve">2 </w:t>
      </w:r>
      <w:r w:rsidRPr="00F252C1">
        <w:t xml:space="preserve">Reduction to CO. </w:t>
      </w:r>
      <w:r w:rsidRPr="00F252C1">
        <w:rPr>
          <w:i/>
        </w:rPr>
        <w:t>J. Am. Chem. Soc</w:t>
      </w:r>
      <w:r w:rsidRPr="00F252C1">
        <w:t xml:space="preserve"> </w:t>
      </w:r>
      <w:r w:rsidRPr="00F252C1">
        <w:rPr>
          <w:b/>
        </w:rPr>
        <w:t>143</w:t>
      </w:r>
      <w:r w:rsidRPr="00F252C1">
        <w:t>, 17424-17430 (2021).</w:t>
      </w:r>
    </w:p>
    <w:p w14:paraId="3B2191C7" w14:textId="77777777" w:rsidR="00F252C1" w:rsidRPr="00F252C1" w:rsidRDefault="00F252C1" w:rsidP="00F252C1">
      <w:pPr>
        <w:pStyle w:val="EndNoteBibliography"/>
      </w:pPr>
      <w:r w:rsidRPr="00F252C1">
        <w:t>23.  Tang, Z.</w:t>
      </w:r>
      <w:r w:rsidRPr="00F252C1">
        <w:rPr>
          <w:i/>
        </w:rPr>
        <w:t>, et al.</w:t>
      </w:r>
      <w:r w:rsidRPr="00F252C1">
        <w:t xml:space="preserve"> Reaction Site Designation by Intramolecular Electric Field in Tröger's-Base-Derived Conjugated Microporous Polymer for Near-Unity Selectivity of CO</w:t>
      </w:r>
      <w:r w:rsidRPr="00F252C1">
        <w:rPr>
          <w:vertAlign w:val="subscript"/>
        </w:rPr>
        <w:t>2</w:t>
      </w:r>
      <w:r w:rsidRPr="00F252C1">
        <w:t xml:space="preserve"> Photoconversion. </w:t>
      </w:r>
      <w:r w:rsidRPr="00F252C1">
        <w:rPr>
          <w:i/>
        </w:rPr>
        <w:t>Adv. Mater.</w:t>
      </w:r>
      <w:r w:rsidRPr="00F252C1">
        <w:t xml:space="preserve"> </w:t>
      </w:r>
      <w:r w:rsidRPr="00F252C1">
        <w:rPr>
          <w:b/>
        </w:rPr>
        <w:t>35</w:t>
      </w:r>
      <w:r w:rsidRPr="00F252C1">
        <w:t>, 2210693 (2023).</w:t>
      </w:r>
    </w:p>
    <w:p w14:paraId="314ED85F" w14:textId="77777777" w:rsidR="00F252C1" w:rsidRPr="00F252C1" w:rsidRDefault="00F252C1" w:rsidP="00F252C1">
      <w:pPr>
        <w:pStyle w:val="EndNoteBibliography"/>
      </w:pPr>
      <w:r w:rsidRPr="00F252C1">
        <w:t>24.  Zhou, M.</w:t>
      </w:r>
      <w:r w:rsidRPr="00F252C1">
        <w:rPr>
          <w:i/>
        </w:rPr>
        <w:t>, et al.</w:t>
      </w:r>
      <w:r w:rsidRPr="00F252C1">
        <w:t xml:space="preserve"> Photocatalytic CO</w:t>
      </w:r>
      <w:r w:rsidRPr="00F252C1">
        <w:rPr>
          <w:vertAlign w:val="subscript"/>
        </w:rPr>
        <w:t>2</w:t>
      </w:r>
      <w:r w:rsidRPr="00F252C1">
        <w:t xml:space="preserve"> reduction using La-Ni bimetallic sites within a covalent organic framework. </w:t>
      </w:r>
      <w:r w:rsidRPr="00F252C1">
        <w:rPr>
          <w:i/>
        </w:rPr>
        <w:t>Nat. Commun.</w:t>
      </w:r>
      <w:r w:rsidRPr="00F252C1">
        <w:t xml:space="preserve"> </w:t>
      </w:r>
      <w:r w:rsidRPr="00F252C1">
        <w:rPr>
          <w:b/>
        </w:rPr>
        <w:t>14</w:t>
      </w:r>
      <w:r w:rsidRPr="00F252C1">
        <w:t>, 2473 (2023).</w:t>
      </w:r>
    </w:p>
    <w:p w14:paraId="1E16DD23" w14:textId="77777777" w:rsidR="00F252C1" w:rsidRPr="00F252C1" w:rsidRDefault="00F252C1" w:rsidP="00F252C1">
      <w:pPr>
        <w:pStyle w:val="EndNoteBibliography"/>
      </w:pPr>
      <w:r w:rsidRPr="00F252C1">
        <w:t>25.  Wang, J.</w:t>
      </w:r>
      <w:r w:rsidRPr="00F252C1">
        <w:rPr>
          <w:i/>
        </w:rPr>
        <w:t>, et al.</w:t>
      </w:r>
      <w:r w:rsidRPr="00F252C1">
        <w:t xml:space="preserve"> Engineering Single Ni Sites on 3D Cage-like Cucurbit[n]uril Ligands for Efficient and Selective CO</w:t>
      </w:r>
      <w:r w:rsidRPr="00F252C1">
        <w:rPr>
          <w:vertAlign w:val="subscript"/>
        </w:rPr>
        <w:t>2</w:t>
      </w:r>
      <w:r w:rsidRPr="00F252C1">
        <w:t xml:space="preserve"> Photocatalytic Reduction. </w:t>
      </w:r>
      <w:r w:rsidRPr="00F252C1">
        <w:rPr>
          <w:i/>
        </w:rPr>
        <w:t>Angew. Chem., Int. Ed.</w:t>
      </w:r>
      <w:r w:rsidRPr="00F252C1">
        <w:t xml:space="preserve"> </w:t>
      </w:r>
      <w:r w:rsidRPr="00F252C1">
        <w:rPr>
          <w:b/>
        </w:rPr>
        <w:t>64</w:t>
      </w:r>
      <w:r w:rsidRPr="00F252C1">
        <w:t>, e202417384 (2025).</w:t>
      </w:r>
    </w:p>
    <w:p w14:paraId="36029658" w14:textId="77777777" w:rsidR="00F252C1" w:rsidRPr="00F252C1" w:rsidRDefault="00F252C1" w:rsidP="00F252C1">
      <w:pPr>
        <w:pStyle w:val="EndNoteBibliography"/>
      </w:pPr>
      <w:r w:rsidRPr="00F252C1">
        <w:t>26.  Li, X.</w:t>
      </w:r>
      <w:r w:rsidRPr="00F252C1">
        <w:rPr>
          <w:i/>
        </w:rPr>
        <w:t>, et al.</w:t>
      </w:r>
      <w:r w:rsidRPr="00F252C1">
        <w:t xml:space="preserve"> Accessing parity-forbidden d-d transitions for photocatalytic CO</w:t>
      </w:r>
      <w:r w:rsidRPr="00F252C1">
        <w:rPr>
          <w:vertAlign w:val="subscript"/>
        </w:rPr>
        <w:t>2</w:t>
      </w:r>
      <w:r w:rsidRPr="00F252C1">
        <w:t xml:space="preserve"> reduction driven by infrared light. </w:t>
      </w:r>
      <w:r w:rsidRPr="00F252C1">
        <w:rPr>
          <w:i/>
        </w:rPr>
        <w:t>Nat. Commun.</w:t>
      </w:r>
      <w:r w:rsidRPr="00F252C1">
        <w:t xml:space="preserve"> </w:t>
      </w:r>
      <w:r w:rsidRPr="00F252C1">
        <w:rPr>
          <w:b/>
        </w:rPr>
        <w:t>14</w:t>
      </w:r>
      <w:r w:rsidRPr="00F252C1">
        <w:t>, 4034 (2023).</w:t>
      </w:r>
    </w:p>
    <w:p w14:paraId="0886C6DD" w14:textId="77777777" w:rsidR="00F252C1" w:rsidRPr="00F252C1" w:rsidRDefault="00F252C1" w:rsidP="00F252C1">
      <w:pPr>
        <w:pStyle w:val="EndNoteBibliography"/>
      </w:pPr>
      <w:r w:rsidRPr="00F252C1">
        <w:t>27.  Liu, H.</w:t>
      </w:r>
      <w:r w:rsidRPr="00F252C1">
        <w:rPr>
          <w:i/>
        </w:rPr>
        <w:t>, et al.</w:t>
      </w:r>
      <w:r w:rsidRPr="00F252C1">
        <w:t xml:space="preserve"> Construction of Asymmetrical Dual Jahn–Teller Sites for Photocatalytic CO</w:t>
      </w:r>
      <w:r w:rsidRPr="00F252C1">
        <w:rPr>
          <w:vertAlign w:val="subscript"/>
        </w:rPr>
        <w:t>2</w:t>
      </w:r>
      <w:r w:rsidRPr="00F252C1">
        <w:t xml:space="preserve"> Reduction. </w:t>
      </w:r>
      <w:r w:rsidRPr="00F252C1">
        <w:rPr>
          <w:i/>
        </w:rPr>
        <w:t>Angew. Chem., Int. Ed.</w:t>
      </w:r>
      <w:r w:rsidRPr="00F252C1">
        <w:t xml:space="preserve"> </w:t>
      </w:r>
      <w:r w:rsidRPr="00F252C1">
        <w:rPr>
          <w:b/>
        </w:rPr>
        <w:t>62</w:t>
      </w:r>
      <w:r w:rsidRPr="00F252C1">
        <w:t>, e202304562 (2023).</w:t>
      </w:r>
    </w:p>
    <w:p w14:paraId="36C4DC29" w14:textId="77777777" w:rsidR="00F252C1" w:rsidRPr="00F252C1" w:rsidRDefault="00F252C1" w:rsidP="00F252C1">
      <w:pPr>
        <w:pStyle w:val="EndNoteBibliography"/>
      </w:pPr>
      <w:r w:rsidRPr="00F252C1">
        <w:t>28.  Zhou, G.</w:t>
      </w:r>
      <w:r w:rsidRPr="00F252C1">
        <w:rPr>
          <w:i/>
        </w:rPr>
        <w:t>, et al.</w:t>
      </w:r>
      <w:r w:rsidRPr="00F252C1">
        <w:t xml:space="preserve"> Enhancing d/p-2π* Orbitals Hybridization via Strain Engineering for Efficient CO</w:t>
      </w:r>
      <w:r w:rsidRPr="00F252C1">
        <w:rPr>
          <w:vertAlign w:val="subscript"/>
        </w:rPr>
        <w:t>2</w:t>
      </w:r>
      <w:r w:rsidRPr="00F252C1">
        <w:t xml:space="preserve"> Photoreduction. </w:t>
      </w:r>
      <w:r w:rsidRPr="00F252C1">
        <w:rPr>
          <w:i/>
        </w:rPr>
        <w:t>Angew. Chem., Int. Ed.</w:t>
      </w:r>
      <w:r w:rsidRPr="00F252C1">
        <w:t xml:space="preserve"> </w:t>
      </w:r>
      <w:r w:rsidRPr="00F252C1">
        <w:rPr>
          <w:b/>
        </w:rPr>
        <w:t>63</w:t>
      </w:r>
      <w:r w:rsidRPr="00F252C1">
        <w:t>, e202411794 (2024).</w:t>
      </w:r>
    </w:p>
    <w:p w14:paraId="2B160669" w14:textId="5CEB40BB" w:rsidR="000D2EA6" w:rsidRPr="000D2EA6" w:rsidRDefault="00A27B3E" w:rsidP="0088799F">
      <w:pPr>
        <w:rPr>
          <w:rFonts w:ascii="Arial" w:hAnsi="Arial" w:cs="Arial"/>
        </w:rPr>
      </w:pPr>
      <w:r>
        <w:rPr>
          <w:rFonts w:ascii="Arial" w:hAnsi="Arial" w:cs="Arial"/>
        </w:rPr>
        <w:fldChar w:fldCharType="end"/>
      </w:r>
    </w:p>
    <w:sectPr w:rsidR="000D2EA6" w:rsidRPr="000D2EA6" w:rsidSect="00396E8A">
      <w:footerReference w:type="default" r:id="rId4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FEEB9" w14:textId="77777777" w:rsidR="00596DDA" w:rsidRDefault="00596DDA" w:rsidP="001D6E09">
      <w:pPr>
        <w:rPr>
          <w:rFonts w:hint="eastAsia"/>
        </w:rPr>
      </w:pPr>
      <w:r>
        <w:separator/>
      </w:r>
    </w:p>
  </w:endnote>
  <w:endnote w:type="continuationSeparator" w:id="0">
    <w:p w14:paraId="1472F8C3" w14:textId="77777777" w:rsidR="00596DDA" w:rsidRDefault="00596DDA" w:rsidP="001D6E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D24F" w14:textId="03ADDE7B" w:rsidR="00396E8A" w:rsidRDefault="00396E8A">
    <w:pPr>
      <w:pStyle w:val="a5"/>
      <w:jc w:val="right"/>
      <w:rPr>
        <w:rFonts w:hint="eastAsia"/>
      </w:rPr>
    </w:pPr>
  </w:p>
  <w:p w14:paraId="40F8EA66" w14:textId="77777777" w:rsidR="00396E8A" w:rsidRDefault="00396E8A">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547494"/>
      <w:docPartObj>
        <w:docPartGallery w:val="Page Numbers (Bottom of Page)"/>
        <w:docPartUnique/>
      </w:docPartObj>
    </w:sdtPr>
    <w:sdtContent>
      <w:p w14:paraId="23E72D53" w14:textId="77777777" w:rsidR="00396E8A" w:rsidRDefault="00396E8A">
        <w:pPr>
          <w:pStyle w:val="a5"/>
          <w:jc w:val="right"/>
          <w:rPr>
            <w:rFonts w:hint="eastAsia"/>
          </w:rPr>
        </w:pPr>
        <w:r>
          <w:fldChar w:fldCharType="begin"/>
        </w:r>
        <w:r>
          <w:instrText>PAGE   \* MERGEFORMAT</w:instrText>
        </w:r>
        <w:r>
          <w:fldChar w:fldCharType="separate"/>
        </w:r>
        <w:r>
          <w:rPr>
            <w:lang w:val="zh-CN"/>
          </w:rPr>
          <w:t>2</w:t>
        </w:r>
        <w:r>
          <w:fldChar w:fldCharType="end"/>
        </w:r>
      </w:p>
    </w:sdtContent>
  </w:sdt>
  <w:p w14:paraId="76C2847E" w14:textId="77777777" w:rsidR="00396E8A" w:rsidRDefault="00396E8A">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62359" w14:textId="77777777" w:rsidR="00596DDA" w:rsidRDefault="00596DDA" w:rsidP="001D6E09">
      <w:pPr>
        <w:rPr>
          <w:rFonts w:hint="eastAsia"/>
        </w:rPr>
      </w:pPr>
      <w:r>
        <w:separator/>
      </w:r>
    </w:p>
  </w:footnote>
  <w:footnote w:type="continuationSeparator" w:id="0">
    <w:p w14:paraId="04C11C91" w14:textId="77777777" w:rsidR="00596DDA" w:rsidRDefault="00596DDA" w:rsidP="001D6E0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Arial&lt;/FontName&gt;&lt;FontSize&gt;10&lt;/FontSize&gt;&lt;ReflistTitle&gt;&lt;/ReflistTitle&gt;&lt;StartingRefnum&gt;1&lt;/StartingRefnum&gt;&lt;FirstLineIndent&gt;0&lt;/FirstLineIndent&gt;&lt;HangingIndent&gt;-1&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5fevawaxf0wmefz59pfxe7zedxpwvsa5ap&quot;&gt;My EndNote Library&lt;record-ids&gt;&lt;item&gt;60&lt;/item&gt;&lt;item&gt;61&lt;/item&gt;&lt;item&gt;62&lt;/item&gt;&lt;item&gt;63&lt;/item&gt;&lt;item&gt;64&lt;/item&gt;&lt;item&gt;65&lt;/item&gt;&lt;item&gt;66&lt;/item&gt;&lt;item&gt;67&lt;/item&gt;&lt;item&gt;68&lt;/item&gt;&lt;item&gt;69&lt;/item&gt;&lt;item&gt;70&lt;/item&gt;&lt;item&gt;71&lt;/item&gt;&lt;item&gt;72&lt;/item&gt;&lt;item&gt;73&lt;/item&gt;&lt;item&gt;110&lt;/item&gt;&lt;item&gt;111&lt;/item&gt;&lt;item&gt;112&lt;/item&gt;&lt;item&gt;113&lt;/item&gt;&lt;item&gt;114&lt;/item&gt;&lt;item&gt;115&lt;/item&gt;&lt;item&gt;116&lt;/item&gt;&lt;item&gt;117&lt;/item&gt;&lt;item&gt;118&lt;/item&gt;&lt;item&gt;119&lt;/item&gt;&lt;item&gt;120&lt;/item&gt;&lt;item&gt;121&lt;/item&gt;&lt;item&gt;122&lt;/item&gt;&lt;item&gt;123&lt;/item&gt;&lt;/record-ids&gt;&lt;/item&gt;&lt;/Libraries&gt;"/>
  </w:docVars>
  <w:rsids>
    <w:rsidRoot w:val="00C10BFB"/>
    <w:rsid w:val="00000945"/>
    <w:rsid w:val="00062526"/>
    <w:rsid w:val="00062D8D"/>
    <w:rsid w:val="00071F1C"/>
    <w:rsid w:val="000754A6"/>
    <w:rsid w:val="000832F8"/>
    <w:rsid w:val="000B6BA2"/>
    <w:rsid w:val="000C2D2E"/>
    <w:rsid w:val="000D0E54"/>
    <w:rsid w:val="000D2EA6"/>
    <w:rsid w:val="00116DD8"/>
    <w:rsid w:val="00127E74"/>
    <w:rsid w:val="0013036A"/>
    <w:rsid w:val="001309DE"/>
    <w:rsid w:val="00131938"/>
    <w:rsid w:val="001507F3"/>
    <w:rsid w:val="00151745"/>
    <w:rsid w:val="00153685"/>
    <w:rsid w:val="00155F9A"/>
    <w:rsid w:val="0015625E"/>
    <w:rsid w:val="00157E6B"/>
    <w:rsid w:val="00167288"/>
    <w:rsid w:val="00170465"/>
    <w:rsid w:val="001A62B5"/>
    <w:rsid w:val="001B4846"/>
    <w:rsid w:val="001B5AC6"/>
    <w:rsid w:val="001C640F"/>
    <w:rsid w:val="001C77AB"/>
    <w:rsid w:val="001D6E09"/>
    <w:rsid w:val="002013B2"/>
    <w:rsid w:val="00202B8A"/>
    <w:rsid w:val="00215E32"/>
    <w:rsid w:val="00221EAE"/>
    <w:rsid w:val="00224B5D"/>
    <w:rsid w:val="00231403"/>
    <w:rsid w:val="0025359E"/>
    <w:rsid w:val="00256CA7"/>
    <w:rsid w:val="002629F8"/>
    <w:rsid w:val="00262CE1"/>
    <w:rsid w:val="002737CB"/>
    <w:rsid w:val="002911AF"/>
    <w:rsid w:val="002C2C1D"/>
    <w:rsid w:val="002E1E66"/>
    <w:rsid w:val="003078C2"/>
    <w:rsid w:val="00326084"/>
    <w:rsid w:val="00364F4F"/>
    <w:rsid w:val="00381A89"/>
    <w:rsid w:val="00390FBE"/>
    <w:rsid w:val="00391239"/>
    <w:rsid w:val="00396E8A"/>
    <w:rsid w:val="003B1B71"/>
    <w:rsid w:val="003C4F77"/>
    <w:rsid w:val="003C5286"/>
    <w:rsid w:val="003C530F"/>
    <w:rsid w:val="003E4F6F"/>
    <w:rsid w:val="00400268"/>
    <w:rsid w:val="00400D27"/>
    <w:rsid w:val="00432DD9"/>
    <w:rsid w:val="00434361"/>
    <w:rsid w:val="00440BF6"/>
    <w:rsid w:val="00443601"/>
    <w:rsid w:val="00450D7B"/>
    <w:rsid w:val="0045676A"/>
    <w:rsid w:val="004840EA"/>
    <w:rsid w:val="00494B93"/>
    <w:rsid w:val="00494CBF"/>
    <w:rsid w:val="00495E28"/>
    <w:rsid w:val="004A4252"/>
    <w:rsid w:val="004B5ED7"/>
    <w:rsid w:val="004B7C18"/>
    <w:rsid w:val="004C0CD9"/>
    <w:rsid w:val="004C1A16"/>
    <w:rsid w:val="004C33C0"/>
    <w:rsid w:val="004C6847"/>
    <w:rsid w:val="004D5905"/>
    <w:rsid w:val="004E04E9"/>
    <w:rsid w:val="00501125"/>
    <w:rsid w:val="00571510"/>
    <w:rsid w:val="005749C9"/>
    <w:rsid w:val="00582BC2"/>
    <w:rsid w:val="00590B2F"/>
    <w:rsid w:val="00596DDA"/>
    <w:rsid w:val="005A105A"/>
    <w:rsid w:val="005C188B"/>
    <w:rsid w:val="005C283C"/>
    <w:rsid w:val="005E2AE7"/>
    <w:rsid w:val="005E31FC"/>
    <w:rsid w:val="0063091A"/>
    <w:rsid w:val="0069568A"/>
    <w:rsid w:val="006958B6"/>
    <w:rsid w:val="006A73CA"/>
    <w:rsid w:val="006C4F2B"/>
    <w:rsid w:val="006E5072"/>
    <w:rsid w:val="006E6650"/>
    <w:rsid w:val="006F4568"/>
    <w:rsid w:val="0070456A"/>
    <w:rsid w:val="007125C6"/>
    <w:rsid w:val="00713CF4"/>
    <w:rsid w:val="0073136E"/>
    <w:rsid w:val="00743A12"/>
    <w:rsid w:val="00774724"/>
    <w:rsid w:val="007766E4"/>
    <w:rsid w:val="00782F55"/>
    <w:rsid w:val="007A5F7D"/>
    <w:rsid w:val="007D0BB8"/>
    <w:rsid w:val="00837277"/>
    <w:rsid w:val="008451BA"/>
    <w:rsid w:val="00856A36"/>
    <w:rsid w:val="008620F5"/>
    <w:rsid w:val="00877130"/>
    <w:rsid w:val="0088799F"/>
    <w:rsid w:val="008B4EAD"/>
    <w:rsid w:val="008E5350"/>
    <w:rsid w:val="009036A2"/>
    <w:rsid w:val="00914D68"/>
    <w:rsid w:val="00924E38"/>
    <w:rsid w:val="0093080A"/>
    <w:rsid w:val="009342B1"/>
    <w:rsid w:val="00937709"/>
    <w:rsid w:val="00953B50"/>
    <w:rsid w:val="009816F0"/>
    <w:rsid w:val="009934B2"/>
    <w:rsid w:val="009B194B"/>
    <w:rsid w:val="009D7CD3"/>
    <w:rsid w:val="00A27B3E"/>
    <w:rsid w:val="00A36C09"/>
    <w:rsid w:val="00A46BDE"/>
    <w:rsid w:val="00A53E64"/>
    <w:rsid w:val="00A57461"/>
    <w:rsid w:val="00A71A78"/>
    <w:rsid w:val="00AB56D9"/>
    <w:rsid w:val="00AB6052"/>
    <w:rsid w:val="00AD10F8"/>
    <w:rsid w:val="00AE3C2C"/>
    <w:rsid w:val="00B21A8D"/>
    <w:rsid w:val="00B2228E"/>
    <w:rsid w:val="00B50F40"/>
    <w:rsid w:val="00B81CA5"/>
    <w:rsid w:val="00B83F5A"/>
    <w:rsid w:val="00BA2F1E"/>
    <w:rsid w:val="00BC4818"/>
    <w:rsid w:val="00BC6FD7"/>
    <w:rsid w:val="00BE5B32"/>
    <w:rsid w:val="00BE7882"/>
    <w:rsid w:val="00C0595B"/>
    <w:rsid w:val="00C10BFB"/>
    <w:rsid w:val="00C4171C"/>
    <w:rsid w:val="00C533AD"/>
    <w:rsid w:val="00C5483E"/>
    <w:rsid w:val="00CC3186"/>
    <w:rsid w:val="00CE1B6B"/>
    <w:rsid w:val="00CE44D4"/>
    <w:rsid w:val="00CE47CB"/>
    <w:rsid w:val="00CF77B0"/>
    <w:rsid w:val="00D70D66"/>
    <w:rsid w:val="00D97440"/>
    <w:rsid w:val="00D97B70"/>
    <w:rsid w:val="00DA3725"/>
    <w:rsid w:val="00DC24B8"/>
    <w:rsid w:val="00DF2E15"/>
    <w:rsid w:val="00E012A5"/>
    <w:rsid w:val="00E103B1"/>
    <w:rsid w:val="00E230CD"/>
    <w:rsid w:val="00E37FAF"/>
    <w:rsid w:val="00E404B4"/>
    <w:rsid w:val="00E4525E"/>
    <w:rsid w:val="00E65E5A"/>
    <w:rsid w:val="00E66458"/>
    <w:rsid w:val="00E85EF9"/>
    <w:rsid w:val="00E876B9"/>
    <w:rsid w:val="00E9571A"/>
    <w:rsid w:val="00EA0858"/>
    <w:rsid w:val="00EB3D59"/>
    <w:rsid w:val="00EC0169"/>
    <w:rsid w:val="00EC475A"/>
    <w:rsid w:val="00ED7183"/>
    <w:rsid w:val="00EE7C38"/>
    <w:rsid w:val="00EF4C8C"/>
    <w:rsid w:val="00F2403B"/>
    <w:rsid w:val="00F252C1"/>
    <w:rsid w:val="00F54031"/>
    <w:rsid w:val="00F62A30"/>
    <w:rsid w:val="00F72600"/>
    <w:rsid w:val="00F80291"/>
    <w:rsid w:val="00F947B8"/>
    <w:rsid w:val="00F957FD"/>
    <w:rsid w:val="00FA2FA0"/>
    <w:rsid w:val="00FB1869"/>
    <w:rsid w:val="00FB2837"/>
    <w:rsid w:val="00FB6038"/>
    <w:rsid w:val="00FD4F41"/>
    <w:rsid w:val="00FE2813"/>
    <w:rsid w:val="00FE6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28004"/>
  <w15:chartTrackingRefBased/>
  <w15:docId w15:val="{27B8C472-0B70-4D26-B9B5-27D4D876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C4F2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6E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6E09"/>
    <w:rPr>
      <w:sz w:val="18"/>
      <w:szCs w:val="18"/>
    </w:rPr>
  </w:style>
  <w:style w:type="paragraph" w:styleId="a5">
    <w:name w:val="footer"/>
    <w:basedOn w:val="a"/>
    <w:link w:val="a6"/>
    <w:uiPriority w:val="99"/>
    <w:unhideWhenUsed/>
    <w:rsid w:val="001D6E09"/>
    <w:pPr>
      <w:tabs>
        <w:tab w:val="center" w:pos="4153"/>
        <w:tab w:val="right" w:pos="8306"/>
      </w:tabs>
      <w:snapToGrid w:val="0"/>
      <w:jc w:val="left"/>
    </w:pPr>
    <w:rPr>
      <w:sz w:val="18"/>
      <w:szCs w:val="18"/>
    </w:rPr>
  </w:style>
  <w:style w:type="character" w:customStyle="1" w:styleId="a6">
    <w:name w:val="页脚 字符"/>
    <w:basedOn w:val="a0"/>
    <w:link w:val="a5"/>
    <w:uiPriority w:val="99"/>
    <w:rsid w:val="001D6E09"/>
    <w:rPr>
      <w:sz w:val="18"/>
      <w:szCs w:val="18"/>
    </w:rPr>
  </w:style>
  <w:style w:type="table" w:styleId="a7">
    <w:name w:val="Table Grid"/>
    <w:basedOn w:val="a1"/>
    <w:uiPriority w:val="39"/>
    <w:rsid w:val="0088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A27B3E"/>
    <w:pPr>
      <w:jc w:val="center"/>
    </w:pPr>
    <w:rPr>
      <w:rFonts w:ascii="Arial" w:eastAsia="等线" w:hAnsi="Arial" w:cs="Arial"/>
      <w:noProof/>
      <w:sz w:val="20"/>
    </w:rPr>
  </w:style>
  <w:style w:type="character" w:customStyle="1" w:styleId="EndNoteBibliographyTitle0">
    <w:name w:val="EndNote Bibliography Title 字符"/>
    <w:basedOn w:val="a0"/>
    <w:link w:val="EndNoteBibliographyTitle"/>
    <w:rsid w:val="00A27B3E"/>
    <w:rPr>
      <w:rFonts w:ascii="Arial" w:eastAsia="等线" w:hAnsi="Arial" w:cs="Arial"/>
      <w:noProof/>
      <w:sz w:val="20"/>
    </w:rPr>
  </w:style>
  <w:style w:type="paragraph" w:customStyle="1" w:styleId="EndNoteBibliography">
    <w:name w:val="EndNote Bibliography"/>
    <w:basedOn w:val="a"/>
    <w:link w:val="EndNoteBibliography0"/>
    <w:rsid w:val="00A27B3E"/>
    <w:rPr>
      <w:rFonts w:ascii="Arial" w:eastAsia="等线" w:hAnsi="Arial" w:cs="Arial"/>
      <w:noProof/>
      <w:sz w:val="20"/>
    </w:rPr>
  </w:style>
  <w:style w:type="character" w:customStyle="1" w:styleId="EndNoteBibliography0">
    <w:name w:val="EndNote Bibliography 字符"/>
    <w:basedOn w:val="a0"/>
    <w:link w:val="EndNoteBibliography"/>
    <w:rsid w:val="00A27B3E"/>
    <w:rPr>
      <w:rFonts w:ascii="Arial" w:eastAsia="等线" w:hAnsi="Arial" w:cs="Arial"/>
      <w:noProof/>
      <w:sz w:val="20"/>
    </w:rPr>
  </w:style>
  <w:style w:type="character" w:customStyle="1" w:styleId="10">
    <w:name w:val="标题 1 字符"/>
    <w:basedOn w:val="a0"/>
    <w:link w:val="1"/>
    <w:uiPriority w:val="9"/>
    <w:rsid w:val="006C4F2B"/>
    <w:rPr>
      <w:b/>
      <w:bCs/>
      <w:kern w:val="44"/>
      <w:sz w:val="44"/>
      <w:szCs w:val="44"/>
    </w:rPr>
  </w:style>
  <w:style w:type="paragraph" w:styleId="TOC">
    <w:name w:val="TOC Heading"/>
    <w:basedOn w:val="1"/>
    <w:next w:val="a"/>
    <w:uiPriority w:val="39"/>
    <w:unhideWhenUsed/>
    <w:qFormat/>
    <w:rsid w:val="006C4F2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6C4F2B"/>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6C4F2B"/>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6C4F2B"/>
    <w:pPr>
      <w:widowControl/>
      <w:spacing w:after="100" w:line="259" w:lineRule="auto"/>
      <w:ind w:left="440"/>
      <w:jc w:val="left"/>
    </w:pPr>
    <w:rPr>
      <w:rFonts w:cs="Times New Roman"/>
      <w:kern w:val="0"/>
      <w:sz w:val="22"/>
    </w:rPr>
  </w:style>
  <w:style w:type="character" w:styleId="a8">
    <w:name w:val="annotation reference"/>
    <w:basedOn w:val="a0"/>
    <w:uiPriority w:val="99"/>
    <w:semiHidden/>
    <w:unhideWhenUsed/>
    <w:rsid w:val="00A53E64"/>
    <w:rPr>
      <w:sz w:val="21"/>
      <w:szCs w:val="21"/>
    </w:rPr>
  </w:style>
  <w:style w:type="paragraph" w:styleId="a9">
    <w:name w:val="annotation text"/>
    <w:basedOn w:val="a"/>
    <w:link w:val="aa"/>
    <w:uiPriority w:val="99"/>
    <w:semiHidden/>
    <w:unhideWhenUsed/>
    <w:rsid w:val="00A53E64"/>
    <w:pPr>
      <w:jc w:val="left"/>
    </w:pPr>
  </w:style>
  <w:style w:type="character" w:customStyle="1" w:styleId="aa">
    <w:name w:val="批注文字 字符"/>
    <w:basedOn w:val="a0"/>
    <w:link w:val="a9"/>
    <w:uiPriority w:val="99"/>
    <w:semiHidden/>
    <w:rsid w:val="00A53E64"/>
  </w:style>
  <w:style w:type="paragraph" w:styleId="ab">
    <w:name w:val="annotation subject"/>
    <w:basedOn w:val="a9"/>
    <w:next w:val="a9"/>
    <w:link w:val="ac"/>
    <w:uiPriority w:val="99"/>
    <w:semiHidden/>
    <w:unhideWhenUsed/>
    <w:rsid w:val="00A53E64"/>
    <w:rPr>
      <w:b/>
      <w:bCs/>
    </w:rPr>
  </w:style>
  <w:style w:type="character" w:customStyle="1" w:styleId="ac">
    <w:name w:val="批注主题 字符"/>
    <w:basedOn w:val="aa"/>
    <w:link w:val="ab"/>
    <w:uiPriority w:val="99"/>
    <w:semiHidden/>
    <w:rsid w:val="00A53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4418">
      <w:bodyDiv w:val="1"/>
      <w:marLeft w:val="0"/>
      <w:marRight w:val="0"/>
      <w:marTop w:val="0"/>
      <w:marBottom w:val="0"/>
      <w:divBdr>
        <w:top w:val="none" w:sz="0" w:space="0" w:color="auto"/>
        <w:left w:val="none" w:sz="0" w:space="0" w:color="auto"/>
        <w:bottom w:val="none" w:sz="0" w:space="0" w:color="auto"/>
        <w:right w:val="none" w:sz="0" w:space="0" w:color="auto"/>
      </w:divBdr>
    </w:div>
    <w:div w:id="153380268">
      <w:bodyDiv w:val="1"/>
      <w:marLeft w:val="0"/>
      <w:marRight w:val="0"/>
      <w:marTop w:val="0"/>
      <w:marBottom w:val="0"/>
      <w:divBdr>
        <w:top w:val="none" w:sz="0" w:space="0" w:color="auto"/>
        <w:left w:val="none" w:sz="0" w:space="0" w:color="auto"/>
        <w:bottom w:val="none" w:sz="0" w:space="0" w:color="auto"/>
        <w:right w:val="none" w:sz="0" w:space="0" w:color="auto"/>
      </w:divBdr>
    </w:div>
    <w:div w:id="293757291">
      <w:bodyDiv w:val="1"/>
      <w:marLeft w:val="0"/>
      <w:marRight w:val="0"/>
      <w:marTop w:val="0"/>
      <w:marBottom w:val="0"/>
      <w:divBdr>
        <w:top w:val="none" w:sz="0" w:space="0" w:color="auto"/>
        <w:left w:val="none" w:sz="0" w:space="0" w:color="auto"/>
        <w:bottom w:val="none" w:sz="0" w:space="0" w:color="auto"/>
        <w:right w:val="none" w:sz="0" w:space="0" w:color="auto"/>
      </w:divBdr>
    </w:div>
    <w:div w:id="310597313">
      <w:bodyDiv w:val="1"/>
      <w:marLeft w:val="0"/>
      <w:marRight w:val="0"/>
      <w:marTop w:val="0"/>
      <w:marBottom w:val="0"/>
      <w:divBdr>
        <w:top w:val="none" w:sz="0" w:space="0" w:color="auto"/>
        <w:left w:val="none" w:sz="0" w:space="0" w:color="auto"/>
        <w:bottom w:val="none" w:sz="0" w:space="0" w:color="auto"/>
        <w:right w:val="none" w:sz="0" w:space="0" w:color="auto"/>
      </w:divBdr>
    </w:div>
    <w:div w:id="445975152">
      <w:bodyDiv w:val="1"/>
      <w:marLeft w:val="0"/>
      <w:marRight w:val="0"/>
      <w:marTop w:val="0"/>
      <w:marBottom w:val="0"/>
      <w:divBdr>
        <w:top w:val="none" w:sz="0" w:space="0" w:color="auto"/>
        <w:left w:val="none" w:sz="0" w:space="0" w:color="auto"/>
        <w:bottom w:val="none" w:sz="0" w:space="0" w:color="auto"/>
        <w:right w:val="none" w:sz="0" w:space="0" w:color="auto"/>
      </w:divBdr>
    </w:div>
    <w:div w:id="701053324">
      <w:bodyDiv w:val="1"/>
      <w:marLeft w:val="0"/>
      <w:marRight w:val="0"/>
      <w:marTop w:val="0"/>
      <w:marBottom w:val="0"/>
      <w:divBdr>
        <w:top w:val="none" w:sz="0" w:space="0" w:color="auto"/>
        <w:left w:val="none" w:sz="0" w:space="0" w:color="auto"/>
        <w:bottom w:val="none" w:sz="0" w:space="0" w:color="auto"/>
        <w:right w:val="none" w:sz="0" w:space="0" w:color="auto"/>
      </w:divBdr>
    </w:div>
    <w:div w:id="878590201">
      <w:bodyDiv w:val="1"/>
      <w:marLeft w:val="0"/>
      <w:marRight w:val="0"/>
      <w:marTop w:val="0"/>
      <w:marBottom w:val="0"/>
      <w:divBdr>
        <w:top w:val="none" w:sz="0" w:space="0" w:color="auto"/>
        <w:left w:val="none" w:sz="0" w:space="0" w:color="auto"/>
        <w:bottom w:val="none" w:sz="0" w:space="0" w:color="auto"/>
        <w:right w:val="none" w:sz="0" w:space="0" w:color="auto"/>
      </w:divBdr>
    </w:div>
    <w:div w:id="879781030">
      <w:bodyDiv w:val="1"/>
      <w:marLeft w:val="0"/>
      <w:marRight w:val="0"/>
      <w:marTop w:val="0"/>
      <w:marBottom w:val="0"/>
      <w:divBdr>
        <w:top w:val="none" w:sz="0" w:space="0" w:color="auto"/>
        <w:left w:val="none" w:sz="0" w:space="0" w:color="auto"/>
        <w:bottom w:val="none" w:sz="0" w:space="0" w:color="auto"/>
        <w:right w:val="none" w:sz="0" w:space="0" w:color="auto"/>
      </w:divBdr>
    </w:div>
    <w:div w:id="902254087">
      <w:bodyDiv w:val="1"/>
      <w:marLeft w:val="0"/>
      <w:marRight w:val="0"/>
      <w:marTop w:val="0"/>
      <w:marBottom w:val="0"/>
      <w:divBdr>
        <w:top w:val="none" w:sz="0" w:space="0" w:color="auto"/>
        <w:left w:val="none" w:sz="0" w:space="0" w:color="auto"/>
        <w:bottom w:val="none" w:sz="0" w:space="0" w:color="auto"/>
        <w:right w:val="none" w:sz="0" w:space="0" w:color="auto"/>
      </w:divBdr>
    </w:div>
    <w:div w:id="1199512152">
      <w:bodyDiv w:val="1"/>
      <w:marLeft w:val="0"/>
      <w:marRight w:val="0"/>
      <w:marTop w:val="0"/>
      <w:marBottom w:val="0"/>
      <w:divBdr>
        <w:top w:val="none" w:sz="0" w:space="0" w:color="auto"/>
        <w:left w:val="none" w:sz="0" w:space="0" w:color="auto"/>
        <w:bottom w:val="none" w:sz="0" w:space="0" w:color="auto"/>
        <w:right w:val="none" w:sz="0" w:space="0" w:color="auto"/>
      </w:divBdr>
    </w:div>
    <w:div w:id="1840996737">
      <w:bodyDiv w:val="1"/>
      <w:marLeft w:val="0"/>
      <w:marRight w:val="0"/>
      <w:marTop w:val="0"/>
      <w:marBottom w:val="0"/>
      <w:divBdr>
        <w:top w:val="none" w:sz="0" w:space="0" w:color="auto"/>
        <w:left w:val="none" w:sz="0" w:space="0" w:color="auto"/>
        <w:bottom w:val="none" w:sz="0" w:space="0" w:color="auto"/>
        <w:right w:val="none" w:sz="0" w:space="0" w:color="auto"/>
      </w:divBdr>
    </w:div>
    <w:div w:id="1883322854">
      <w:bodyDiv w:val="1"/>
      <w:marLeft w:val="0"/>
      <w:marRight w:val="0"/>
      <w:marTop w:val="0"/>
      <w:marBottom w:val="0"/>
      <w:divBdr>
        <w:top w:val="none" w:sz="0" w:space="0" w:color="auto"/>
        <w:left w:val="none" w:sz="0" w:space="0" w:color="auto"/>
        <w:bottom w:val="none" w:sz="0" w:space="0" w:color="auto"/>
        <w:right w:val="none" w:sz="0" w:space="0" w:color="auto"/>
      </w:divBdr>
    </w:div>
    <w:div w:id="19206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F163-BCF7-4117-B9A4-229CF1B6C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8716</Words>
  <Characters>50036</Characters>
  <Application>Microsoft Office Word</Application>
  <DocSecurity>0</DocSecurity>
  <Lines>2501</Lines>
  <Paragraphs>1587</Paragraphs>
  <ScaleCrop>false</ScaleCrop>
  <Company/>
  <LinksUpToDate>false</LinksUpToDate>
  <CharactersWithSpaces>57165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 煜</dc:creator>
  <cp:keywords/>
  <dc:description/>
  <cp:lastModifiedBy>Ziyang Lu</cp:lastModifiedBy>
  <cp:revision>6</cp:revision>
  <dcterms:created xsi:type="dcterms:W3CDTF">2025-07-10T12:39:00Z</dcterms:created>
  <dcterms:modified xsi:type="dcterms:W3CDTF">2025-07-25T03:18:00Z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fd058f40b754c0fa9e089368d90e70c01cc8fbe5023ebb2de858963acc5791f0</vt:lpwstr>
  </property>
</Properties>
</file>