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2DB7C" w14:textId="198EA33A" w:rsidR="00D72DF2" w:rsidRDefault="00613CA9" w:rsidP="00C04857">
      <w:pPr>
        <w:pStyle w:val="Heading1"/>
        <w:rPr>
          <w:rFonts w:ascii="Arial" w:hAnsi="Arial" w:cs="Arial"/>
          <w:b/>
          <w:bCs/>
        </w:rPr>
      </w:pPr>
      <w:r>
        <w:rPr>
          <w:rFonts w:ascii="Arial" w:hAnsi="Arial" w:cs="Arial"/>
          <w:b/>
          <w:bCs/>
        </w:rPr>
        <w:t>Extended Data</w:t>
      </w:r>
    </w:p>
    <w:p w14:paraId="67A9EB30" w14:textId="7F534904" w:rsidR="00C04857" w:rsidRDefault="00BA2A55" w:rsidP="00C04857">
      <w:pPr>
        <w:pStyle w:val="Heading1"/>
        <w:rPr>
          <w:rFonts w:ascii="Arial" w:hAnsi="Arial" w:cs="Arial"/>
          <w:b/>
          <w:bCs/>
        </w:rPr>
      </w:pPr>
      <w:r w:rsidRPr="00BA2A55">
        <w:rPr>
          <w:rFonts w:ascii="Arial" w:hAnsi="Arial" w:cs="Arial"/>
          <w:b/>
          <w:bCs/>
        </w:rPr>
        <w:t>Young children have limited mucosal immunity when stimulated with an influenza vaccine in tonsil organoids</w:t>
      </w:r>
      <w:r w:rsidR="00C04857" w:rsidRPr="002B55D3">
        <w:rPr>
          <w:rFonts w:ascii="Arial" w:hAnsi="Arial" w:cs="Arial"/>
          <w:b/>
          <w:bCs/>
        </w:rPr>
        <w:t>. </w:t>
      </w:r>
    </w:p>
    <w:p w14:paraId="4A8A0BBF" w14:textId="77777777" w:rsidR="00D137CB" w:rsidRDefault="00D137CB" w:rsidP="00D137CB"/>
    <w:p w14:paraId="45002D5D" w14:textId="77777777" w:rsidR="00D137CB" w:rsidRDefault="00D137CB" w:rsidP="00D137CB"/>
    <w:p w14:paraId="51B2C789" w14:textId="77777777" w:rsidR="00D137CB" w:rsidRDefault="00D137CB" w:rsidP="00D137CB"/>
    <w:p w14:paraId="0519382D" w14:textId="77777777" w:rsidR="00D137CB" w:rsidRDefault="00D137CB" w:rsidP="00D137CB"/>
    <w:p w14:paraId="3C07AB3D" w14:textId="77777777" w:rsidR="00D137CB" w:rsidRDefault="00D137CB" w:rsidP="00D137CB"/>
    <w:p w14:paraId="13C3748A" w14:textId="77777777" w:rsidR="00D137CB" w:rsidRDefault="00D137CB" w:rsidP="00D137CB"/>
    <w:p w14:paraId="4A7C240C" w14:textId="77777777" w:rsidR="00D137CB" w:rsidRDefault="00D137CB" w:rsidP="00D137CB"/>
    <w:p w14:paraId="1A0B88B8" w14:textId="77777777" w:rsidR="00D137CB" w:rsidRDefault="00D137CB" w:rsidP="00D137CB"/>
    <w:p w14:paraId="63FB75C9" w14:textId="77777777" w:rsidR="00D137CB" w:rsidRDefault="00D137CB" w:rsidP="00D137CB"/>
    <w:p w14:paraId="4B69BE98" w14:textId="77777777" w:rsidR="00D137CB" w:rsidRDefault="00D137CB" w:rsidP="00D137CB"/>
    <w:p w14:paraId="4A217CE6" w14:textId="77777777" w:rsidR="00D137CB" w:rsidRDefault="00D137CB" w:rsidP="00D137CB"/>
    <w:p w14:paraId="700C55AD" w14:textId="77777777" w:rsidR="00D137CB" w:rsidRDefault="00D137CB" w:rsidP="00D137CB"/>
    <w:p w14:paraId="3A1F2775" w14:textId="77777777" w:rsidR="00D137CB" w:rsidRDefault="00D137CB" w:rsidP="00D137CB"/>
    <w:p w14:paraId="30F37188" w14:textId="77777777" w:rsidR="00D137CB" w:rsidRDefault="00D137CB" w:rsidP="00D137CB"/>
    <w:p w14:paraId="5D7E4A6E" w14:textId="77777777" w:rsidR="00D137CB" w:rsidRDefault="00D137CB" w:rsidP="00D137CB"/>
    <w:p w14:paraId="298C2D09" w14:textId="77777777" w:rsidR="00D137CB" w:rsidRDefault="00D137CB" w:rsidP="00D137CB"/>
    <w:p w14:paraId="37705E3C" w14:textId="77777777" w:rsidR="00D137CB" w:rsidRDefault="00D137CB" w:rsidP="00D137CB"/>
    <w:p w14:paraId="4FF443F6" w14:textId="77777777" w:rsidR="00D137CB" w:rsidRDefault="00D137CB" w:rsidP="00D137CB"/>
    <w:p w14:paraId="768DD8EC" w14:textId="77777777" w:rsidR="00D137CB" w:rsidRDefault="00D137CB" w:rsidP="00D137CB"/>
    <w:p w14:paraId="0A8471F7" w14:textId="77777777" w:rsidR="00D137CB" w:rsidRDefault="00D137CB" w:rsidP="00D137CB"/>
    <w:p w14:paraId="36D48A20" w14:textId="533BC2FE" w:rsidR="00D137CB" w:rsidRDefault="003140B6" w:rsidP="00D137CB">
      <w:r>
        <w:rPr>
          <w:noProof/>
        </w:rPr>
        <w:lastRenderedPageBreak/>
        <w:drawing>
          <wp:inline distT="0" distB="0" distL="0" distR="0" wp14:anchorId="36B47E43" wp14:editId="21021630">
            <wp:extent cx="5943600" cy="5638165"/>
            <wp:effectExtent l="0" t="0" r="0" b="635"/>
            <wp:docPr id="1053281284"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81284" name="Picture 1" descr="A close-up of a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638165"/>
                    </a:xfrm>
                    <a:prstGeom prst="rect">
                      <a:avLst/>
                    </a:prstGeom>
                  </pic:spPr>
                </pic:pic>
              </a:graphicData>
            </a:graphic>
          </wp:inline>
        </w:drawing>
      </w:r>
    </w:p>
    <w:p w14:paraId="1C6AC253" w14:textId="681D5B97" w:rsidR="0098190D" w:rsidRDefault="002E085B" w:rsidP="00D137CB">
      <w:pPr>
        <w:rPr>
          <w:rFonts w:ascii="Arial" w:hAnsi="Arial" w:cs="Arial"/>
          <w:sz w:val="20"/>
          <w:szCs w:val="20"/>
        </w:rPr>
      </w:pPr>
      <w:r>
        <w:rPr>
          <w:rFonts w:ascii="Arial" w:hAnsi="Arial" w:cs="Arial"/>
          <w:b/>
          <w:bCs/>
          <w:sz w:val="20"/>
          <w:szCs w:val="20"/>
        </w:rPr>
        <w:t>Extended Data</w:t>
      </w:r>
      <w:r w:rsidR="0098190D" w:rsidRPr="00D639B1">
        <w:rPr>
          <w:rFonts w:ascii="Arial" w:hAnsi="Arial" w:cs="Arial"/>
          <w:b/>
          <w:bCs/>
          <w:sz w:val="20"/>
          <w:szCs w:val="20"/>
        </w:rPr>
        <w:t xml:space="preserve"> Fig. 1. B-cells in tonsil organoids exhibit distinct transcriptional profiles in response to LAIV across various age groups.</w:t>
      </w:r>
      <w:r w:rsidR="0098190D" w:rsidRPr="0098190D">
        <w:rPr>
          <w:rFonts w:ascii="Arial" w:hAnsi="Arial" w:cs="Arial"/>
          <w:sz w:val="20"/>
          <w:szCs w:val="20"/>
        </w:rPr>
        <w:t xml:space="preserve"> (</w:t>
      </w:r>
      <w:r w:rsidR="0098190D" w:rsidRPr="00D639B1">
        <w:rPr>
          <w:rFonts w:ascii="Arial" w:hAnsi="Arial" w:cs="Arial"/>
          <w:b/>
          <w:bCs/>
          <w:sz w:val="20"/>
          <w:szCs w:val="20"/>
        </w:rPr>
        <w:t>a</w:t>
      </w:r>
      <w:r w:rsidR="0098190D" w:rsidRPr="0098190D">
        <w:rPr>
          <w:rFonts w:ascii="Arial" w:hAnsi="Arial" w:cs="Arial"/>
          <w:sz w:val="20"/>
          <w:szCs w:val="20"/>
        </w:rPr>
        <w:t>) Bar plot show</w:t>
      </w:r>
      <w:r w:rsidR="00B620B7">
        <w:rPr>
          <w:rFonts w:ascii="Arial" w:hAnsi="Arial" w:cs="Arial"/>
          <w:sz w:val="20"/>
          <w:szCs w:val="20"/>
        </w:rPr>
        <w:t>ing</w:t>
      </w:r>
      <w:r w:rsidR="0098190D" w:rsidRPr="0098190D">
        <w:rPr>
          <w:rFonts w:ascii="Arial" w:hAnsi="Arial" w:cs="Arial"/>
          <w:sz w:val="20"/>
          <w:szCs w:val="20"/>
        </w:rPr>
        <w:t xml:space="preserve"> </w:t>
      </w:r>
      <w:r w:rsidR="00394194">
        <w:rPr>
          <w:rFonts w:ascii="Arial" w:hAnsi="Arial" w:cs="Arial"/>
          <w:sz w:val="20"/>
          <w:szCs w:val="20"/>
        </w:rPr>
        <w:t xml:space="preserve">the </w:t>
      </w:r>
      <w:r w:rsidR="00394194" w:rsidRPr="0098190D">
        <w:rPr>
          <w:rFonts w:ascii="Arial" w:hAnsi="Arial" w:cs="Arial"/>
          <w:sz w:val="20"/>
          <w:szCs w:val="20"/>
        </w:rPr>
        <w:t xml:space="preserve">percentage </w:t>
      </w:r>
      <w:r w:rsidR="00394194">
        <w:rPr>
          <w:rFonts w:ascii="Arial" w:hAnsi="Arial" w:cs="Arial"/>
          <w:sz w:val="20"/>
          <w:szCs w:val="20"/>
        </w:rPr>
        <w:t xml:space="preserve">of </w:t>
      </w:r>
      <w:r w:rsidR="0098190D" w:rsidRPr="0098190D">
        <w:rPr>
          <w:rFonts w:ascii="Arial" w:hAnsi="Arial" w:cs="Arial"/>
          <w:sz w:val="20"/>
          <w:szCs w:val="20"/>
        </w:rPr>
        <w:t>LAIV</w:t>
      </w:r>
      <w:r w:rsidR="00394194">
        <w:rPr>
          <w:rFonts w:ascii="Arial" w:hAnsi="Arial" w:cs="Arial"/>
          <w:sz w:val="20"/>
          <w:szCs w:val="20"/>
        </w:rPr>
        <w:t xml:space="preserve"> </w:t>
      </w:r>
      <w:r w:rsidR="0098190D" w:rsidRPr="0098190D">
        <w:rPr>
          <w:rFonts w:ascii="Arial" w:hAnsi="Arial" w:cs="Arial"/>
          <w:sz w:val="20"/>
          <w:szCs w:val="20"/>
        </w:rPr>
        <w:t>responder</w:t>
      </w:r>
      <w:r w:rsidR="00394194">
        <w:rPr>
          <w:rFonts w:ascii="Arial" w:hAnsi="Arial" w:cs="Arial"/>
          <w:sz w:val="20"/>
          <w:szCs w:val="20"/>
        </w:rPr>
        <w:t>s</w:t>
      </w:r>
      <w:r w:rsidR="0098190D" w:rsidRPr="0098190D">
        <w:rPr>
          <w:rFonts w:ascii="Arial" w:hAnsi="Arial" w:cs="Arial"/>
          <w:sz w:val="20"/>
          <w:szCs w:val="20"/>
        </w:rPr>
        <w:t xml:space="preserve"> </w:t>
      </w:r>
      <w:r w:rsidR="00394194">
        <w:rPr>
          <w:rFonts w:ascii="Arial" w:hAnsi="Arial" w:cs="Arial"/>
          <w:sz w:val="20"/>
          <w:szCs w:val="20"/>
        </w:rPr>
        <w:t>in</w:t>
      </w:r>
      <w:r w:rsidR="0098190D" w:rsidRPr="0098190D">
        <w:rPr>
          <w:rFonts w:ascii="Arial" w:hAnsi="Arial" w:cs="Arial"/>
          <w:sz w:val="20"/>
          <w:szCs w:val="20"/>
        </w:rPr>
        <w:t xml:space="preserve"> each age group</w:t>
      </w:r>
      <w:r w:rsidR="007B3C53">
        <w:rPr>
          <w:rFonts w:ascii="Arial" w:hAnsi="Arial" w:cs="Arial"/>
          <w:sz w:val="20"/>
          <w:szCs w:val="20"/>
        </w:rPr>
        <w:t>, as</w:t>
      </w:r>
      <w:r w:rsidR="0098190D" w:rsidRPr="0098190D">
        <w:rPr>
          <w:rFonts w:ascii="Arial" w:hAnsi="Arial" w:cs="Arial"/>
          <w:sz w:val="20"/>
          <w:szCs w:val="20"/>
        </w:rPr>
        <w:t xml:space="preserve"> measured by influenza-specific antibody </w:t>
      </w:r>
      <w:r w:rsidR="007B3C53">
        <w:rPr>
          <w:rFonts w:ascii="Arial" w:hAnsi="Arial" w:cs="Arial"/>
          <w:sz w:val="20"/>
          <w:szCs w:val="20"/>
        </w:rPr>
        <w:t xml:space="preserve">levels in </w:t>
      </w:r>
      <w:r w:rsidR="0098190D" w:rsidRPr="0098190D">
        <w:rPr>
          <w:rFonts w:ascii="Arial" w:hAnsi="Arial" w:cs="Arial"/>
          <w:sz w:val="20"/>
          <w:szCs w:val="20"/>
        </w:rPr>
        <w:t>ELISA assay</w:t>
      </w:r>
      <w:r w:rsidR="007B3C53">
        <w:rPr>
          <w:rFonts w:ascii="Arial" w:hAnsi="Arial" w:cs="Arial"/>
          <w:sz w:val="20"/>
          <w:szCs w:val="20"/>
        </w:rPr>
        <w:t>s</w:t>
      </w:r>
      <w:r w:rsidR="0098190D" w:rsidRPr="0098190D">
        <w:rPr>
          <w:rFonts w:ascii="Arial" w:hAnsi="Arial" w:cs="Arial"/>
          <w:sz w:val="20"/>
          <w:szCs w:val="20"/>
        </w:rPr>
        <w:t>. (</w:t>
      </w:r>
      <w:r w:rsidR="0098190D" w:rsidRPr="00D639B1">
        <w:rPr>
          <w:rFonts w:ascii="Arial" w:hAnsi="Arial" w:cs="Arial"/>
          <w:b/>
          <w:bCs/>
          <w:sz w:val="20"/>
          <w:szCs w:val="20"/>
        </w:rPr>
        <w:t>b</w:t>
      </w:r>
      <w:r w:rsidR="0098190D" w:rsidRPr="0098190D">
        <w:rPr>
          <w:rFonts w:ascii="Arial" w:hAnsi="Arial" w:cs="Arial"/>
          <w:sz w:val="20"/>
          <w:szCs w:val="20"/>
        </w:rPr>
        <w:t xml:space="preserve">) </w:t>
      </w:r>
      <w:r w:rsidR="00376C25">
        <w:rPr>
          <w:rFonts w:ascii="Arial" w:hAnsi="Arial" w:cs="Arial"/>
          <w:sz w:val="20"/>
          <w:szCs w:val="20"/>
        </w:rPr>
        <w:t>Bar</w:t>
      </w:r>
      <w:r w:rsidR="00376C25" w:rsidRPr="0098190D">
        <w:rPr>
          <w:rFonts w:ascii="Arial" w:hAnsi="Arial" w:cs="Arial"/>
          <w:sz w:val="20"/>
          <w:szCs w:val="20"/>
        </w:rPr>
        <w:t xml:space="preserve"> plots </w:t>
      </w:r>
      <w:r w:rsidR="00376C25">
        <w:rPr>
          <w:rFonts w:ascii="Arial" w:hAnsi="Arial" w:cs="Arial"/>
          <w:sz w:val="20"/>
          <w:szCs w:val="20"/>
        </w:rPr>
        <w:t>depicting</w:t>
      </w:r>
      <w:r w:rsidR="00376C25" w:rsidRPr="0098190D">
        <w:rPr>
          <w:rFonts w:ascii="Arial" w:hAnsi="Arial" w:cs="Arial"/>
          <w:sz w:val="20"/>
          <w:szCs w:val="20"/>
        </w:rPr>
        <w:t xml:space="preserve"> </w:t>
      </w:r>
      <w:r w:rsidR="00376C25">
        <w:rPr>
          <w:rFonts w:ascii="Arial" w:hAnsi="Arial" w:cs="Arial"/>
          <w:sz w:val="20"/>
          <w:szCs w:val="20"/>
        </w:rPr>
        <w:t>the PB isotype cell</w:t>
      </w:r>
      <w:r w:rsidR="00376C25" w:rsidRPr="0098190D">
        <w:rPr>
          <w:rFonts w:ascii="Arial" w:hAnsi="Arial" w:cs="Arial"/>
          <w:sz w:val="20"/>
          <w:szCs w:val="20"/>
        </w:rPr>
        <w:t xml:space="preserve"> subset</w:t>
      </w:r>
      <w:r w:rsidR="00376C25">
        <w:rPr>
          <w:rFonts w:ascii="Arial" w:hAnsi="Arial" w:cs="Arial"/>
          <w:sz w:val="20"/>
          <w:szCs w:val="20"/>
        </w:rPr>
        <w:t>s</w:t>
      </w:r>
      <w:r w:rsidR="00376C25" w:rsidRPr="0098190D">
        <w:rPr>
          <w:rFonts w:ascii="Arial" w:hAnsi="Arial" w:cs="Arial"/>
          <w:sz w:val="20"/>
          <w:szCs w:val="20"/>
        </w:rPr>
        <w:t xml:space="preserve"> within each age group</w:t>
      </w:r>
      <w:r w:rsidR="00376C25">
        <w:rPr>
          <w:rFonts w:ascii="Arial" w:hAnsi="Arial" w:cs="Arial"/>
          <w:sz w:val="20"/>
          <w:szCs w:val="20"/>
        </w:rPr>
        <w:t>,</w:t>
      </w:r>
      <w:r w:rsidR="00376C25" w:rsidRPr="0098190D">
        <w:rPr>
          <w:rFonts w:ascii="Arial" w:hAnsi="Arial" w:cs="Arial"/>
          <w:sz w:val="20"/>
          <w:szCs w:val="20"/>
        </w:rPr>
        <w:t xml:space="preserve"> </w:t>
      </w:r>
      <w:r w:rsidR="00376C25">
        <w:rPr>
          <w:rFonts w:ascii="Arial" w:hAnsi="Arial" w:cs="Arial"/>
          <w:sz w:val="20"/>
          <w:szCs w:val="20"/>
        </w:rPr>
        <w:t xml:space="preserve">derived </w:t>
      </w:r>
      <w:r w:rsidR="00376C25" w:rsidRPr="0098190D">
        <w:rPr>
          <w:rFonts w:ascii="Arial" w:hAnsi="Arial" w:cs="Arial"/>
          <w:sz w:val="20"/>
          <w:szCs w:val="20"/>
        </w:rPr>
        <w:t xml:space="preserve">from </w:t>
      </w:r>
      <w:proofErr w:type="spellStart"/>
      <w:r w:rsidR="00376C25" w:rsidRPr="0098190D">
        <w:rPr>
          <w:rFonts w:ascii="Arial" w:hAnsi="Arial" w:cs="Arial"/>
          <w:sz w:val="20"/>
          <w:szCs w:val="20"/>
        </w:rPr>
        <w:t>scRNA</w:t>
      </w:r>
      <w:proofErr w:type="spellEnd"/>
      <w:r w:rsidR="00376C25" w:rsidRPr="0098190D">
        <w:rPr>
          <w:rFonts w:ascii="Arial" w:hAnsi="Arial" w:cs="Arial"/>
          <w:sz w:val="20"/>
          <w:szCs w:val="20"/>
        </w:rPr>
        <w:t>-seq data.</w:t>
      </w:r>
      <w:r w:rsidR="00376C25">
        <w:rPr>
          <w:rFonts w:ascii="Arial" w:hAnsi="Arial" w:cs="Arial"/>
          <w:sz w:val="20"/>
          <w:szCs w:val="20"/>
        </w:rPr>
        <w:t xml:space="preserve"> </w:t>
      </w:r>
      <w:r w:rsidR="00376C25" w:rsidRPr="0098190D">
        <w:rPr>
          <w:rFonts w:ascii="Arial" w:hAnsi="Arial" w:cs="Arial"/>
          <w:sz w:val="20"/>
          <w:szCs w:val="20"/>
        </w:rPr>
        <w:t>(</w:t>
      </w:r>
      <w:r w:rsidR="00376C25" w:rsidRPr="00D639B1">
        <w:rPr>
          <w:rFonts w:ascii="Arial" w:hAnsi="Arial" w:cs="Arial"/>
          <w:b/>
          <w:bCs/>
          <w:sz w:val="20"/>
          <w:szCs w:val="20"/>
        </w:rPr>
        <w:t>c</w:t>
      </w:r>
      <w:r w:rsidR="00376C25" w:rsidRPr="0098190D">
        <w:rPr>
          <w:rFonts w:ascii="Arial" w:hAnsi="Arial" w:cs="Arial"/>
          <w:sz w:val="20"/>
          <w:szCs w:val="20"/>
        </w:rPr>
        <w:t xml:space="preserve">) </w:t>
      </w:r>
      <w:r w:rsidR="0098190D" w:rsidRPr="0098190D">
        <w:rPr>
          <w:rFonts w:ascii="Arial" w:hAnsi="Arial" w:cs="Arial"/>
          <w:sz w:val="20"/>
          <w:szCs w:val="20"/>
        </w:rPr>
        <w:t xml:space="preserve">UMAP plot </w:t>
      </w:r>
      <w:r w:rsidR="00D70F82">
        <w:rPr>
          <w:rFonts w:ascii="Arial" w:hAnsi="Arial" w:cs="Arial"/>
          <w:sz w:val="20"/>
          <w:szCs w:val="20"/>
        </w:rPr>
        <w:t>illustrating</w:t>
      </w:r>
      <w:r w:rsidR="0098190D" w:rsidRPr="0098190D">
        <w:rPr>
          <w:rFonts w:ascii="Arial" w:hAnsi="Arial" w:cs="Arial"/>
          <w:sz w:val="20"/>
          <w:szCs w:val="20"/>
        </w:rPr>
        <w:t xml:space="preserve"> </w:t>
      </w:r>
      <w:r w:rsidR="00520432">
        <w:rPr>
          <w:rFonts w:ascii="Arial" w:hAnsi="Arial" w:cs="Arial"/>
          <w:sz w:val="20"/>
          <w:szCs w:val="20"/>
        </w:rPr>
        <w:t xml:space="preserve">the </w:t>
      </w:r>
      <w:r w:rsidR="0098190D" w:rsidRPr="0098190D">
        <w:rPr>
          <w:rFonts w:ascii="Arial" w:hAnsi="Arial" w:cs="Arial"/>
          <w:sz w:val="20"/>
          <w:szCs w:val="20"/>
        </w:rPr>
        <w:t>divers</w:t>
      </w:r>
      <w:r w:rsidR="00520432">
        <w:rPr>
          <w:rFonts w:ascii="Arial" w:hAnsi="Arial" w:cs="Arial"/>
          <w:sz w:val="20"/>
          <w:szCs w:val="20"/>
        </w:rPr>
        <w:t>ity of</w:t>
      </w:r>
      <w:r w:rsidR="0098190D" w:rsidRPr="0098190D">
        <w:rPr>
          <w:rFonts w:ascii="Arial" w:hAnsi="Arial" w:cs="Arial"/>
          <w:sz w:val="20"/>
          <w:szCs w:val="20"/>
        </w:rPr>
        <w:t xml:space="preserve"> B-cell phenotypes in tonsil organoids stimulated by LAIV, as characterized </w:t>
      </w:r>
      <w:r w:rsidR="00D7007E">
        <w:rPr>
          <w:rFonts w:ascii="Arial" w:hAnsi="Arial" w:cs="Arial"/>
          <w:sz w:val="20"/>
          <w:szCs w:val="20"/>
        </w:rPr>
        <w:t>by</w:t>
      </w:r>
      <w:r w:rsidR="0098190D" w:rsidRPr="0098190D">
        <w:rPr>
          <w:rFonts w:ascii="Arial" w:hAnsi="Arial" w:cs="Arial"/>
          <w:sz w:val="20"/>
          <w:szCs w:val="20"/>
        </w:rPr>
        <w:t xml:space="preserve"> </w:t>
      </w:r>
      <w:proofErr w:type="spellStart"/>
      <w:r w:rsidR="0098190D" w:rsidRPr="0098190D">
        <w:rPr>
          <w:rFonts w:ascii="Arial" w:hAnsi="Arial" w:cs="Arial"/>
          <w:sz w:val="20"/>
          <w:szCs w:val="20"/>
        </w:rPr>
        <w:t>scRNA</w:t>
      </w:r>
      <w:proofErr w:type="spellEnd"/>
      <w:r w:rsidR="0098190D" w:rsidRPr="0098190D">
        <w:rPr>
          <w:rFonts w:ascii="Arial" w:hAnsi="Arial" w:cs="Arial"/>
          <w:sz w:val="20"/>
          <w:szCs w:val="20"/>
        </w:rPr>
        <w:t>-seq data</w:t>
      </w:r>
      <w:r w:rsidR="000600E6">
        <w:rPr>
          <w:rFonts w:ascii="Arial" w:hAnsi="Arial" w:cs="Arial"/>
          <w:sz w:val="20"/>
          <w:szCs w:val="20"/>
        </w:rPr>
        <w:t>,</w:t>
      </w:r>
      <w:r w:rsidR="0098190D" w:rsidRPr="0098190D">
        <w:rPr>
          <w:rFonts w:ascii="Arial" w:hAnsi="Arial" w:cs="Arial"/>
          <w:sz w:val="20"/>
          <w:szCs w:val="20"/>
        </w:rPr>
        <w:t xml:space="preserve"> with </w:t>
      </w:r>
      <w:r w:rsidR="000600E6">
        <w:rPr>
          <w:rFonts w:ascii="Arial" w:hAnsi="Arial" w:cs="Arial"/>
          <w:sz w:val="20"/>
          <w:szCs w:val="20"/>
        </w:rPr>
        <w:t>a</w:t>
      </w:r>
      <w:r w:rsidR="0098190D" w:rsidRPr="0098190D">
        <w:rPr>
          <w:rFonts w:ascii="Arial" w:hAnsi="Arial" w:cs="Arial"/>
          <w:sz w:val="20"/>
          <w:szCs w:val="20"/>
        </w:rPr>
        <w:t xml:space="preserve"> dot plot displaying the top-expressed marker profiles within each B-cell subset. (</w:t>
      </w:r>
      <w:r w:rsidR="00376C25">
        <w:rPr>
          <w:rFonts w:ascii="Arial" w:hAnsi="Arial" w:cs="Arial"/>
          <w:b/>
          <w:bCs/>
          <w:sz w:val="20"/>
          <w:szCs w:val="20"/>
        </w:rPr>
        <w:t>d</w:t>
      </w:r>
      <w:r w:rsidR="0098190D" w:rsidRPr="0098190D">
        <w:rPr>
          <w:rFonts w:ascii="Arial" w:hAnsi="Arial" w:cs="Arial"/>
          <w:sz w:val="20"/>
          <w:szCs w:val="20"/>
        </w:rPr>
        <w:t xml:space="preserve">) Flow plots </w:t>
      </w:r>
      <w:r w:rsidR="001B2CFF">
        <w:rPr>
          <w:rFonts w:ascii="Arial" w:hAnsi="Arial" w:cs="Arial"/>
          <w:sz w:val="20"/>
          <w:szCs w:val="20"/>
        </w:rPr>
        <w:t>depicting</w:t>
      </w:r>
      <w:r w:rsidR="0098190D" w:rsidRPr="0098190D">
        <w:rPr>
          <w:rFonts w:ascii="Arial" w:hAnsi="Arial" w:cs="Arial"/>
          <w:sz w:val="20"/>
          <w:szCs w:val="20"/>
        </w:rPr>
        <w:t xml:space="preserve"> </w:t>
      </w:r>
      <w:r w:rsidR="00446476">
        <w:rPr>
          <w:rFonts w:ascii="Arial" w:hAnsi="Arial" w:cs="Arial"/>
          <w:sz w:val="20"/>
          <w:szCs w:val="20"/>
        </w:rPr>
        <w:t xml:space="preserve">the </w:t>
      </w:r>
      <w:r w:rsidR="00446476" w:rsidRPr="0098190D">
        <w:rPr>
          <w:rFonts w:ascii="Arial" w:hAnsi="Arial" w:cs="Arial"/>
          <w:sz w:val="20"/>
          <w:szCs w:val="20"/>
        </w:rPr>
        <w:t xml:space="preserve">dynamics </w:t>
      </w:r>
      <w:r w:rsidR="00446476">
        <w:rPr>
          <w:rFonts w:ascii="Arial" w:hAnsi="Arial" w:cs="Arial"/>
          <w:sz w:val="20"/>
          <w:szCs w:val="20"/>
        </w:rPr>
        <w:t xml:space="preserve">of </w:t>
      </w:r>
      <w:r w:rsidR="0098190D" w:rsidRPr="0098190D">
        <w:rPr>
          <w:rFonts w:ascii="Arial" w:hAnsi="Arial" w:cs="Arial"/>
          <w:sz w:val="20"/>
          <w:szCs w:val="20"/>
        </w:rPr>
        <w:t>B-cell subset</w:t>
      </w:r>
      <w:r w:rsidR="00446476">
        <w:rPr>
          <w:rFonts w:ascii="Arial" w:hAnsi="Arial" w:cs="Arial"/>
          <w:sz w:val="20"/>
          <w:szCs w:val="20"/>
        </w:rPr>
        <w:t>s</w:t>
      </w:r>
      <w:r w:rsidR="0098190D" w:rsidRPr="0098190D">
        <w:rPr>
          <w:rFonts w:ascii="Arial" w:hAnsi="Arial" w:cs="Arial"/>
          <w:sz w:val="20"/>
          <w:szCs w:val="20"/>
        </w:rPr>
        <w:t xml:space="preserve"> within each age group</w:t>
      </w:r>
      <w:r w:rsidR="0018490D">
        <w:rPr>
          <w:rFonts w:ascii="Arial" w:hAnsi="Arial" w:cs="Arial"/>
          <w:sz w:val="20"/>
          <w:szCs w:val="20"/>
        </w:rPr>
        <w:t>,</w:t>
      </w:r>
      <w:r w:rsidR="0098190D" w:rsidRPr="0098190D">
        <w:rPr>
          <w:rFonts w:ascii="Arial" w:hAnsi="Arial" w:cs="Arial"/>
          <w:sz w:val="20"/>
          <w:szCs w:val="20"/>
        </w:rPr>
        <w:t xml:space="preserve"> </w:t>
      </w:r>
      <w:r w:rsidR="0049792B">
        <w:rPr>
          <w:rFonts w:ascii="Arial" w:hAnsi="Arial" w:cs="Arial"/>
          <w:sz w:val="20"/>
          <w:szCs w:val="20"/>
        </w:rPr>
        <w:t xml:space="preserve">derived </w:t>
      </w:r>
      <w:r w:rsidR="0098190D" w:rsidRPr="0098190D">
        <w:rPr>
          <w:rFonts w:ascii="Arial" w:hAnsi="Arial" w:cs="Arial"/>
          <w:sz w:val="20"/>
          <w:szCs w:val="20"/>
        </w:rPr>
        <w:t xml:space="preserve">from </w:t>
      </w:r>
      <w:proofErr w:type="spellStart"/>
      <w:r w:rsidR="0098190D" w:rsidRPr="0098190D">
        <w:rPr>
          <w:rFonts w:ascii="Arial" w:hAnsi="Arial" w:cs="Arial"/>
          <w:sz w:val="20"/>
          <w:szCs w:val="20"/>
        </w:rPr>
        <w:t>scRNA</w:t>
      </w:r>
      <w:proofErr w:type="spellEnd"/>
      <w:r w:rsidR="0098190D" w:rsidRPr="0098190D">
        <w:rPr>
          <w:rFonts w:ascii="Arial" w:hAnsi="Arial" w:cs="Arial"/>
          <w:sz w:val="20"/>
          <w:szCs w:val="20"/>
        </w:rPr>
        <w:t xml:space="preserve">-seq data as in </w:t>
      </w:r>
      <w:r w:rsidR="00376C25">
        <w:rPr>
          <w:rFonts w:ascii="Arial" w:hAnsi="Arial" w:cs="Arial"/>
          <w:b/>
          <w:bCs/>
          <w:sz w:val="20"/>
          <w:szCs w:val="20"/>
        </w:rPr>
        <w:t>c</w:t>
      </w:r>
      <w:r w:rsidR="0098190D" w:rsidRPr="0098190D">
        <w:rPr>
          <w:rFonts w:ascii="Arial" w:hAnsi="Arial" w:cs="Arial"/>
          <w:sz w:val="20"/>
          <w:szCs w:val="20"/>
        </w:rPr>
        <w:t>.</w:t>
      </w:r>
    </w:p>
    <w:p w14:paraId="3704AD42" w14:textId="3BD91C34" w:rsidR="004148C8" w:rsidRPr="0098190D" w:rsidRDefault="001370CB" w:rsidP="00D137CB">
      <w:pPr>
        <w:rPr>
          <w:rFonts w:ascii="Arial" w:hAnsi="Arial" w:cs="Arial"/>
          <w:sz w:val="20"/>
          <w:szCs w:val="20"/>
        </w:rPr>
      </w:pPr>
      <w:r>
        <w:rPr>
          <w:rFonts w:ascii="Arial" w:hAnsi="Arial" w:cs="Arial"/>
          <w:noProof/>
          <w:sz w:val="20"/>
          <w:szCs w:val="20"/>
        </w:rPr>
        <w:lastRenderedPageBreak/>
        <w:drawing>
          <wp:inline distT="0" distB="0" distL="0" distR="0" wp14:anchorId="131BC15F" wp14:editId="6E612CD7">
            <wp:extent cx="5943600" cy="3686175"/>
            <wp:effectExtent l="0" t="0" r="0" b="0"/>
            <wp:docPr id="2067638043" name="Picture 2"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38043" name="Picture 2" descr="A close-up of a diagram&#10;&#10;Description automatically generated"/>
                    <pic:cNvPicPr/>
                  </pic:nvPicPr>
                  <pic:blipFill rotWithShape="1">
                    <a:blip r:embed="rId5" cstate="print">
                      <a:extLst>
                        <a:ext uri="{28A0092B-C50C-407E-A947-70E740481C1C}">
                          <a14:useLocalDpi xmlns:a14="http://schemas.microsoft.com/office/drawing/2010/main" val="0"/>
                        </a:ext>
                      </a:extLst>
                    </a:blip>
                    <a:srcRect b="18228"/>
                    <a:stretch/>
                  </pic:blipFill>
                  <pic:spPr bwMode="auto">
                    <a:xfrm>
                      <a:off x="0" y="0"/>
                      <a:ext cx="5943600" cy="3686175"/>
                    </a:xfrm>
                    <a:prstGeom prst="rect">
                      <a:avLst/>
                    </a:prstGeom>
                    <a:ln>
                      <a:noFill/>
                    </a:ln>
                    <a:extLst>
                      <a:ext uri="{53640926-AAD7-44D8-BBD7-CCE9431645EC}">
                        <a14:shadowObscured xmlns:a14="http://schemas.microsoft.com/office/drawing/2010/main"/>
                      </a:ext>
                    </a:extLst>
                  </pic:spPr>
                </pic:pic>
              </a:graphicData>
            </a:graphic>
          </wp:inline>
        </w:drawing>
      </w:r>
    </w:p>
    <w:p w14:paraId="06DD0232" w14:textId="0E0876D0" w:rsidR="00C04857" w:rsidRDefault="002E085B" w:rsidP="00C04857">
      <w:pPr>
        <w:rPr>
          <w:rFonts w:ascii="Arial" w:hAnsi="Arial" w:cs="Arial"/>
          <w:sz w:val="20"/>
          <w:szCs w:val="20"/>
        </w:rPr>
      </w:pPr>
      <w:r>
        <w:rPr>
          <w:rFonts w:ascii="Arial" w:hAnsi="Arial" w:cs="Arial"/>
          <w:b/>
          <w:bCs/>
          <w:sz w:val="20"/>
          <w:szCs w:val="20"/>
        </w:rPr>
        <w:t>Extended Data</w:t>
      </w:r>
      <w:r w:rsidR="00F55F05" w:rsidRPr="00F55F05">
        <w:rPr>
          <w:rFonts w:ascii="Arial" w:hAnsi="Arial" w:cs="Arial"/>
          <w:b/>
          <w:bCs/>
          <w:sz w:val="20"/>
          <w:szCs w:val="20"/>
        </w:rPr>
        <w:t xml:space="preserve"> Fig. 2. Differentially expressed cytokines and their signaling regulators in toddlers and adults.</w:t>
      </w:r>
      <w:r w:rsidR="00F55F05" w:rsidRPr="00F55F05">
        <w:rPr>
          <w:rFonts w:ascii="Arial" w:hAnsi="Arial" w:cs="Arial"/>
          <w:sz w:val="20"/>
          <w:szCs w:val="20"/>
        </w:rPr>
        <w:t xml:space="preserve"> (</w:t>
      </w:r>
      <w:r w:rsidR="00F55F05" w:rsidRPr="00F55F05">
        <w:rPr>
          <w:rFonts w:ascii="Arial" w:hAnsi="Arial" w:cs="Arial"/>
          <w:b/>
          <w:bCs/>
          <w:sz w:val="20"/>
          <w:szCs w:val="20"/>
        </w:rPr>
        <w:t>a</w:t>
      </w:r>
      <w:r w:rsidR="00F55F05" w:rsidRPr="00F55F05">
        <w:rPr>
          <w:rFonts w:ascii="Arial" w:hAnsi="Arial" w:cs="Arial"/>
          <w:sz w:val="20"/>
          <w:szCs w:val="20"/>
        </w:rPr>
        <w:t xml:space="preserve">) </w:t>
      </w:r>
      <w:r w:rsidR="000F649D">
        <w:rPr>
          <w:rFonts w:ascii="Arial" w:hAnsi="Arial" w:cs="Arial"/>
          <w:sz w:val="20"/>
          <w:szCs w:val="20"/>
        </w:rPr>
        <w:t>M</w:t>
      </w:r>
      <w:r w:rsidR="00F55F05" w:rsidRPr="00F55F05">
        <w:rPr>
          <w:rFonts w:ascii="Arial" w:hAnsi="Arial" w:cs="Arial"/>
          <w:sz w:val="20"/>
          <w:szCs w:val="20"/>
        </w:rPr>
        <w:t xml:space="preserve">odule analysis of secreted cytokines in the supernatants collected from tonsil organoids revealed </w:t>
      </w:r>
      <w:r w:rsidR="000F649D">
        <w:rPr>
          <w:rFonts w:ascii="Arial" w:hAnsi="Arial" w:cs="Arial"/>
          <w:sz w:val="20"/>
          <w:szCs w:val="20"/>
        </w:rPr>
        <w:t>several</w:t>
      </w:r>
      <w:r w:rsidR="00F55F05" w:rsidRPr="00F55F05">
        <w:rPr>
          <w:rFonts w:ascii="Arial" w:hAnsi="Arial" w:cs="Arial"/>
          <w:sz w:val="20"/>
          <w:szCs w:val="20"/>
        </w:rPr>
        <w:t xml:space="preserve"> age-dependent cytokine modules. </w:t>
      </w:r>
      <w:r w:rsidR="000F649D">
        <w:rPr>
          <w:rFonts w:ascii="Arial" w:hAnsi="Arial" w:cs="Arial"/>
          <w:sz w:val="20"/>
          <w:szCs w:val="20"/>
        </w:rPr>
        <w:t>T</w:t>
      </w:r>
      <w:r w:rsidR="00F55F05" w:rsidRPr="00F55F05">
        <w:rPr>
          <w:rFonts w:ascii="Arial" w:hAnsi="Arial" w:cs="Arial"/>
          <w:sz w:val="20"/>
          <w:szCs w:val="20"/>
        </w:rPr>
        <w:t xml:space="preserve">he CXCL10-cytokine module, upregulated in adults, included correlated cytokines: CCL27, FLT3L, CX3CL1, IL12p40, IL15, IL17F, IL2, IL9, CXCL10, CXCL9, CCL5, TNFB, TNFSF10, VEGF, and CCL21. </w:t>
      </w:r>
      <w:r w:rsidR="000F649D">
        <w:rPr>
          <w:rFonts w:ascii="Arial" w:hAnsi="Arial" w:cs="Arial"/>
          <w:sz w:val="20"/>
          <w:szCs w:val="20"/>
        </w:rPr>
        <w:t>Conversely</w:t>
      </w:r>
      <w:r w:rsidR="00F55F05" w:rsidRPr="00F55F05">
        <w:rPr>
          <w:rFonts w:ascii="Arial" w:hAnsi="Arial" w:cs="Arial"/>
          <w:sz w:val="20"/>
          <w:szCs w:val="20"/>
        </w:rPr>
        <w:t xml:space="preserve">, the CXCL13-cytokine module, upregulated in toddlers, consisted of correlated cytokines: CXCL13, IL16, LEPTIN, and CCL13. </w:t>
      </w:r>
      <w:r w:rsidR="005F7374" w:rsidRPr="005F7374">
        <w:rPr>
          <w:rFonts w:ascii="Arial" w:hAnsi="Arial" w:cs="Arial"/>
          <w:sz w:val="20"/>
          <w:szCs w:val="20"/>
        </w:rPr>
        <w:t>Statistical significance was</w:t>
      </w:r>
      <w:r w:rsidR="00F50776" w:rsidRPr="00F55F05">
        <w:rPr>
          <w:rFonts w:ascii="Arial" w:hAnsi="Arial" w:cs="Arial"/>
          <w:sz w:val="20"/>
          <w:szCs w:val="20"/>
        </w:rPr>
        <w:t xml:space="preserve"> calculated using two-sided </w:t>
      </w:r>
      <w:r w:rsidR="009C0F1E">
        <w:rPr>
          <w:rFonts w:ascii="Arial" w:hAnsi="Arial" w:cs="Arial"/>
          <w:sz w:val="20"/>
          <w:szCs w:val="20"/>
        </w:rPr>
        <w:t>Student’s tests</w:t>
      </w:r>
      <w:r w:rsidR="00F50776" w:rsidRPr="00F55F05">
        <w:rPr>
          <w:rFonts w:ascii="Arial" w:hAnsi="Arial" w:cs="Arial"/>
          <w:sz w:val="20"/>
          <w:szCs w:val="20"/>
        </w:rPr>
        <w:t xml:space="preserve">. </w:t>
      </w:r>
      <w:r w:rsidR="00F55F05" w:rsidRPr="00F55F05">
        <w:rPr>
          <w:rFonts w:ascii="Arial" w:hAnsi="Arial" w:cs="Arial"/>
          <w:sz w:val="20"/>
          <w:szCs w:val="20"/>
        </w:rPr>
        <w:t>(</w:t>
      </w:r>
      <w:r w:rsidR="00F55F05" w:rsidRPr="00F55F05">
        <w:rPr>
          <w:rFonts w:ascii="Arial" w:hAnsi="Arial" w:cs="Arial"/>
          <w:b/>
          <w:bCs/>
          <w:sz w:val="20"/>
          <w:szCs w:val="20"/>
        </w:rPr>
        <w:t>b</w:t>
      </w:r>
      <w:r w:rsidR="00F55F05" w:rsidRPr="00F55F05">
        <w:rPr>
          <w:rFonts w:ascii="Arial" w:hAnsi="Arial" w:cs="Arial"/>
          <w:sz w:val="20"/>
          <w:szCs w:val="20"/>
        </w:rPr>
        <w:t xml:space="preserve">) </w:t>
      </w:r>
      <w:r w:rsidR="00BE71AD">
        <w:rPr>
          <w:rFonts w:ascii="Arial" w:hAnsi="Arial" w:cs="Arial"/>
          <w:sz w:val="20"/>
          <w:szCs w:val="20"/>
        </w:rPr>
        <w:t>D</w:t>
      </w:r>
      <w:r w:rsidR="00F55F05" w:rsidRPr="00F55F05">
        <w:rPr>
          <w:rFonts w:ascii="Arial" w:hAnsi="Arial" w:cs="Arial"/>
          <w:sz w:val="20"/>
          <w:szCs w:val="20"/>
        </w:rPr>
        <w:t xml:space="preserve">ifferential gene expression analysis from </w:t>
      </w:r>
      <w:proofErr w:type="spellStart"/>
      <w:r w:rsidR="00F55F05" w:rsidRPr="00F55F05">
        <w:rPr>
          <w:rFonts w:ascii="Arial" w:hAnsi="Arial" w:cs="Arial"/>
          <w:sz w:val="20"/>
          <w:szCs w:val="20"/>
        </w:rPr>
        <w:t>scRNA</w:t>
      </w:r>
      <w:proofErr w:type="spellEnd"/>
      <w:r w:rsidR="00F55F05" w:rsidRPr="00F55F05">
        <w:rPr>
          <w:rFonts w:ascii="Arial" w:hAnsi="Arial" w:cs="Arial"/>
          <w:sz w:val="20"/>
          <w:szCs w:val="20"/>
        </w:rPr>
        <w:t xml:space="preserve">-seq data </w:t>
      </w:r>
      <w:r w:rsidR="00E30546">
        <w:rPr>
          <w:rFonts w:ascii="Arial" w:hAnsi="Arial" w:cs="Arial"/>
          <w:sz w:val="20"/>
          <w:szCs w:val="20"/>
        </w:rPr>
        <w:t>showed</w:t>
      </w:r>
      <w:r w:rsidR="00F55F05" w:rsidRPr="00F55F05">
        <w:rPr>
          <w:rFonts w:ascii="Arial" w:hAnsi="Arial" w:cs="Arial"/>
          <w:sz w:val="20"/>
          <w:szCs w:val="20"/>
        </w:rPr>
        <w:t xml:space="preserve"> lower cytokine expression</w:t>
      </w:r>
      <w:r w:rsidR="006260D5">
        <w:rPr>
          <w:rFonts w:ascii="Arial" w:hAnsi="Arial" w:cs="Arial"/>
          <w:sz w:val="20"/>
          <w:szCs w:val="20"/>
        </w:rPr>
        <w:t xml:space="preserve"> levels</w:t>
      </w:r>
      <w:r w:rsidR="00F55F05" w:rsidRPr="00F55F05">
        <w:rPr>
          <w:rFonts w:ascii="Arial" w:hAnsi="Arial" w:cs="Arial"/>
          <w:sz w:val="20"/>
          <w:szCs w:val="20"/>
        </w:rPr>
        <w:t xml:space="preserve"> in B cell subsets </w:t>
      </w:r>
      <w:r w:rsidR="00BC2DC2">
        <w:rPr>
          <w:rFonts w:ascii="Arial" w:hAnsi="Arial" w:cs="Arial"/>
          <w:sz w:val="20"/>
          <w:szCs w:val="20"/>
        </w:rPr>
        <w:t>in</w:t>
      </w:r>
      <w:r w:rsidR="00F55F05" w:rsidRPr="00F55F05">
        <w:rPr>
          <w:rFonts w:ascii="Arial" w:hAnsi="Arial" w:cs="Arial"/>
          <w:sz w:val="20"/>
          <w:szCs w:val="20"/>
        </w:rPr>
        <w:t xml:space="preserve"> toddlers </w:t>
      </w:r>
      <w:r w:rsidR="00BC2DC2">
        <w:rPr>
          <w:rFonts w:ascii="Arial" w:hAnsi="Arial" w:cs="Arial"/>
          <w:sz w:val="20"/>
          <w:szCs w:val="20"/>
        </w:rPr>
        <w:t>compared to</w:t>
      </w:r>
      <w:r w:rsidR="00F55F05" w:rsidRPr="00F55F05">
        <w:rPr>
          <w:rFonts w:ascii="Arial" w:hAnsi="Arial" w:cs="Arial"/>
          <w:sz w:val="20"/>
          <w:szCs w:val="20"/>
        </w:rPr>
        <w:t xml:space="preserve"> adults. </w:t>
      </w:r>
      <w:r w:rsidR="00C07EE2" w:rsidRPr="005F7374">
        <w:rPr>
          <w:rFonts w:ascii="Arial" w:hAnsi="Arial" w:cs="Arial"/>
          <w:sz w:val="20"/>
          <w:szCs w:val="20"/>
        </w:rPr>
        <w:t>Statistical significance was</w:t>
      </w:r>
      <w:r w:rsidR="00F55F05" w:rsidRPr="00F55F05">
        <w:rPr>
          <w:rFonts w:ascii="Arial" w:hAnsi="Arial" w:cs="Arial"/>
          <w:sz w:val="20"/>
          <w:szCs w:val="20"/>
        </w:rPr>
        <w:t xml:space="preserve"> calculated using two-sided Wilcoxon rank-sum tests and adjusted by the </w:t>
      </w:r>
      <w:r w:rsidR="00B65B9B">
        <w:rPr>
          <w:rFonts w:ascii="Arial" w:hAnsi="Arial" w:cs="Arial"/>
          <w:sz w:val="20"/>
          <w:szCs w:val="20"/>
        </w:rPr>
        <w:t xml:space="preserve">false </w:t>
      </w:r>
      <w:r w:rsidR="00084BA1">
        <w:rPr>
          <w:rFonts w:ascii="Arial" w:hAnsi="Arial" w:cs="Arial"/>
          <w:sz w:val="20"/>
          <w:szCs w:val="20"/>
        </w:rPr>
        <w:t>discovery rate</w:t>
      </w:r>
      <w:r w:rsidR="00F55F05" w:rsidRPr="00F55F05">
        <w:rPr>
          <w:rFonts w:ascii="Arial" w:hAnsi="Arial" w:cs="Arial"/>
          <w:sz w:val="20"/>
          <w:szCs w:val="20"/>
        </w:rPr>
        <w:t xml:space="preserve"> method. (</w:t>
      </w:r>
      <w:r w:rsidR="00F55F05" w:rsidRPr="00F55F05">
        <w:rPr>
          <w:rFonts w:ascii="Arial" w:hAnsi="Arial" w:cs="Arial"/>
          <w:b/>
          <w:bCs/>
          <w:sz w:val="20"/>
          <w:szCs w:val="20"/>
        </w:rPr>
        <w:t>c</w:t>
      </w:r>
      <w:r w:rsidR="00F55F05" w:rsidRPr="00F55F05">
        <w:rPr>
          <w:rFonts w:ascii="Arial" w:hAnsi="Arial" w:cs="Arial"/>
          <w:sz w:val="20"/>
          <w:szCs w:val="20"/>
        </w:rPr>
        <w:t xml:space="preserve">) Regulon analysis </w:t>
      </w:r>
      <w:r w:rsidR="00C56F79">
        <w:rPr>
          <w:rFonts w:ascii="Arial" w:hAnsi="Arial" w:cs="Arial"/>
          <w:sz w:val="20"/>
          <w:szCs w:val="20"/>
        </w:rPr>
        <w:t xml:space="preserve">using </w:t>
      </w:r>
      <w:r w:rsidR="00F55F05" w:rsidRPr="00F55F05">
        <w:rPr>
          <w:rFonts w:ascii="Arial" w:hAnsi="Arial" w:cs="Arial"/>
          <w:sz w:val="20"/>
          <w:szCs w:val="20"/>
        </w:rPr>
        <w:t xml:space="preserve">SCENIC </w:t>
      </w:r>
      <w:r w:rsidR="00C56F79">
        <w:rPr>
          <w:rFonts w:ascii="Arial" w:hAnsi="Arial" w:cs="Arial"/>
          <w:sz w:val="20"/>
          <w:szCs w:val="20"/>
        </w:rPr>
        <w:t>identified</w:t>
      </w:r>
      <w:r w:rsidR="00F55F05" w:rsidRPr="00F55F05">
        <w:rPr>
          <w:rFonts w:ascii="Arial" w:hAnsi="Arial" w:cs="Arial"/>
          <w:sz w:val="20"/>
          <w:szCs w:val="20"/>
        </w:rPr>
        <w:t xml:space="preserve"> downstream genes regulated by the top 10 regulons in PB</w:t>
      </w:r>
      <w:r w:rsidR="005646C4">
        <w:rPr>
          <w:rFonts w:ascii="Arial" w:hAnsi="Arial" w:cs="Arial"/>
          <w:sz w:val="20"/>
          <w:szCs w:val="20"/>
        </w:rPr>
        <w:t>s</w:t>
      </w:r>
      <w:r w:rsidR="00F55F05" w:rsidRPr="00F55F05">
        <w:rPr>
          <w:rFonts w:ascii="Arial" w:hAnsi="Arial" w:cs="Arial"/>
          <w:sz w:val="20"/>
          <w:szCs w:val="20"/>
        </w:rPr>
        <w:t xml:space="preserve"> based on </w:t>
      </w:r>
      <w:proofErr w:type="spellStart"/>
      <w:r w:rsidR="00F55F05" w:rsidRPr="00F55F05">
        <w:rPr>
          <w:rFonts w:ascii="Arial" w:hAnsi="Arial" w:cs="Arial"/>
          <w:sz w:val="20"/>
          <w:szCs w:val="20"/>
        </w:rPr>
        <w:t>scRNA</w:t>
      </w:r>
      <w:proofErr w:type="spellEnd"/>
      <w:r w:rsidR="00F55F05" w:rsidRPr="00F55F05">
        <w:rPr>
          <w:rFonts w:ascii="Arial" w:hAnsi="Arial" w:cs="Arial"/>
          <w:sz w:val="20"/>
          <w:szCs w:val="20"/>
        </w:rPr>
        <w:t>-seq data. Upregulated DEGs were selected based on |log2(FC)| &gt; 0.</w:t>
      </w:r>
      <w:r w:rsidR="00B25ECD">
        <w:rPr>
          <w:rFonts w:ascii="Arial" w:hAnsi="Arial" w:cs="Arial"/>
          <w:sz w:val="20"/>
          <w:szCs w:val="20"/>
        </w:rPr>
        <w:t>2</w:t>
      </w:r>
      <w:r w:rsidR="00F55F05" w:rsidRPr="00F55F05">
        <w:rPr>
          <w:rFonts w:ascii="Arial" w:hAnsi="Arial" w:cs="Arial"/>
          <w:sz w:val="20"/>
          <w:szCs w:val="20"/>
        </w:rPr>
        <w:t xml:space="preserve">5 and </w:t>
      </w:r>
      <w:r w:rsidR="00F55F05" w:rsidRPr="00E21EFA">
        <w:rPr>
          <w:rFonts w:ascii="Arial" w:hAnsi="Arial" w:cs="Arial"/>
          <w:i/>
          <w:iCs/>
          <w:sz w:val="20"/>
          <w:szCs w:val="20"/>
        </w:rPr>
        <w:t>P</w:t>
      </w:r>
      <w:r w:rsidR="00F55F05" w:rsidRPr="00F55F05">
        <w:rPr>
          <w:rFonts w:ascii="Arial" w:hAnsi="Arial" w:cs="Arial"/>
          <w:sz w:val="20"/>
          <w:szCs w:val="20"/>
        </w:rPr>
        <w:t xml:space="preserve"> value &lt;0.05.</w:t>
      </w:r>
    </w:p>
    <w:p w14:paraId="48D7531A" w14:textId="77777777" w:rsidR="00035162" w:rsidRDefault="00035162" w:rsidP="00C04857">
      <w:pPr>
        <w:rPr>
          <w:rFonts w:ascii="Arial" w:hAnsi="Arial" w:cs="Arial"/>
          <w:sz w:val="20"/>
          <w:szCs w:val="20"/>
        </w:rPr>
      </w:pPr>
    </w:p>
    <w:p w14:paraId="02BBD1BF" w14:textId="77777777" w:rsidR="00035162" w:rsidRDefault="00035162" w:rsidP="00C04857">
      <w:pPr>
        <w:rPr>
          <w:rFonts w:ascii="Arial" w:hAnsi="Arial" w:cs="Arial"/>
          <w:sz w:val="20"/>
          <w:szCs w:val="20"/>
        </w:rPr>
      </w:pPr>
    </w:p>
    <w:p w14:paraId="5AB90098" w14:textId="77777777" w:rsidR="00035162" w:rsidRDefault="00035162" w:rsidP="00C04857">
      <w:pPr>
        <w:rPr>
          <w:rFonts w:ascii="Arial" w:hAnsi="Arial" w:cs="Arial"/>
          <w:sz w:val="20"/>
          <w:szCs w:val="20"/>
        </w:rPr>
      </w:pPr>
    </w:p>
    <w:p w14:paraId="1315F7E1" w14:textId="77777777" w:rsidR="00035162" w:rsidRDefault="00035162" w:rsidP="00C04857">
      <w:pPr>
        <w:rPr>
          <w:rFonts w:ascii="Arial" w:hAnsi="Arial" w:cs="Arial"/>
          <w:sz w:val="20"/>
          <w:szCs w:val="20"/>
        </w:rPr>
      </w:pPr>
    </w:p>
    <w:p w14:paraId="5E5EFBC4" w14:textId="77777777" w:rsidR="00035162" w:rsidRDefault="00035162" w:rsidP="00C04857">
      <w:pPr>
        <w:rPr>
          <w:rFonts w:ascii="Arial" w:hAnsi="Arial" w:cs="Arial"/>
          <w:sz w:val="20"/>
          <w:szCs w:val="20"/>
        </w:rPr>
      </w:pPr>
    </w:p>
    <w:p w14:paraId="3F9707CD" w14:textId="77777777" w:rsidR="00035162" w:rsidRDefault="00035162" w:rsidP="00C04857">
      <w:pPr>
        <w:rPr>
          <w:rFonts w:ascii="Arial" w:hAnsi="Arial" w:cs="Arial"/>
          <w:sz w:val="20"/>
          <w:szCs w:val="20"/>
        </w:rPr>
      </w:pPr>
    </w:p>
    <w:p w14:paraId="15F6F328" w14:textId="77777777" w:rsidR="00035162" w:rsidRDefault="00035162" w:rsidP="00C04857">
      <w:pPr>
        <w:rPr>
          <w:rFonts w:ascii="Arial" w:hAnsi="Arial" w:cs="Arial"/>
          <w:sz w:val="20"/>
          <w:szCs w:val="20"/>
        </w:rPr>
      </w:pPr>
    </w:p>
    <w:p w14:paraId="1330E32E" w14:textId="4BACF93E" w:rsidR="00035162" w:rsidRDefault="008D19AB" w:rsidP="00C04857">
      <w:pPr>
        <w:rPr>
          <w:rFonts w:ascii="Arial" w:hAnsi="Arial" w:cs="Arial"/>
          <w:sz w:val="20"/>
          <w:szCs w:val="20"/>
        </w:rPr>
      </w:pPr>
      <w:r>
        <w:rPr>
          <w:rFonts w:ascii="Arial" w:hAnsi="Arial" w:cs="Arial"/>
          <w:noProof/>
          <w:sz w:val="20"/>
          <w:szCs w:val="20"/>
        </w:rPr>
        <w:lastRenderedPageBreak/>
        <w:drawing>
          <wp:inline distT="0" distB="0" distL="0" distR="0" wp14:anchorId="45E2AB45" wp14:editId="133B8B71">
            <wp:extent cx="5943600" cy="4937760"/>
            <wp:effectExtent l="0" t="0" r="0" b="2540"/>
            <wp:docPr id="1939239713" name="Picture 1" descr="A diagram of a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39713" name="Picture 1" descr="A diagram of a cell&#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b="15899"/>
                    <a:stretch/>
                  </pic:blipFill>
                  <pic:spPr bwMode="auto">
                    <a:xfrm>
                      <a:off x="0" y="0"/>
                      <a:ext cx="5943600" cy="4937760"/>
                    </a:xfrm>
                    <a:prstGeom prst="rect">
                      <a:avLst/>
                    </a:prstGeom>
                    <a:ln>
                      <a:noFill/>
                    </a:ln>
                    <a:extLst>
                      <a:ext uri="{53640926-AAD7-44D8-BBD7-CCE9431645EC}">
                        <a14:shadowObscured xmlns:a14="http://schemas.microsoft.com/office/drawing/2010/main"/>
                      </a:ext>
                    </a:extLst>
                  </pic:spPr>
                </pic:pic>
              </a:graphicData>
            </a:graphic>
          </wp:inline>
        </w:drawing>
      </w:r>
    </w:p>
    <w:p w14:paraId="01597AA5" w14:textId="4B7BF310" w:rsidR="00447888" w:rsidRDefault="002E085B" w:rsidP="00C04857">
      <w:pPr>
        <w:rPr>
          <w:rFonts w:ascii="Arial" w:hAnsi="Arial" w:cs="Arial"/>
          <w:sz w:val="20"/>
          <w:szCs w:val="20"/>
        </w:rPr>
      </w:pPr>
      <w:r>
        <w:rPr>
          <w:rFonts w:ascii="Arial" w:hAnsi="Arial" w:cs="Arial"/>
          <w:b/>
          <w:bCs/>
          <w:sz w:val="20"/>
          <w:szCs w:val="20"/>
        </w:rPr>
        <w:t>Extended Data</w:t>
      </w:r>
      <w:r w:rsidR="00035162" w:rsidRPr="00035162">
        <w:rPr>
          <w:rFonts w:ascii="Arial" w:hAnsi="Arial" w:cs="Arial"/>
          <w:b/>
          <w:bCs/>
          <w:sz w:val="20"/>
          <w:szCs w:val="20"/>
        </w:rPr>
        <w:t xml:space="preserve"> Fig. 3. </w:t>
      </w:r>
      <w:r w:rsidR="00254012">
        <w:rPr>
          <w:rFonts w:ascii="Arial" w:hAnsi="Arial" w:cs="Arial"/>
          <w:b/>
          <w:bCs/>
          <w:sz w:val="20"/>
          <w:szCs w:val="20"/>
        </w:rPr>
        <w:t>G</w:t>
      </w:r>
      <w:r w:rsidR="00035162" w:rsidRPr="00035162">
        <w:rPr>
          <w:rFonts w:ascii="Arial" w:hAnsi="Arial" w:cs="Arial"/>
          <w:b/>
          <w:bCs/>
          <w:sz w:val="20"/>
          <w:szCs w:val="20"/>
        </w:rPr>
        <w:t>ene module analysis highlight</w:t>
      </w:r>
      <w:r w:rsidR="00C416BC">
        <w:rPr>
          <w:rFonts w:ascii="Arial" w:hAnsi="Arial" w:cs="Arial"/>
          <w:b/>
          <w:bCs/>
          <w:sz w:val="20"/>
          <w:szCs w:val="20"/>
        </w:rPr>
        <w:t>s</w:t>
      </w:r>
      <w:r w:rsidR="00035162" w:rsidRPr="00035162">
        <w:rPr>
          <w:rFonts w:ascii="Arial" w:hAnsi="Arial" w:cs="Arial"/>
          <w:b/>
          <w:bCs/>
          <w:sz w:val="20"/>
          <w:szCs w:val="20"/>
        </w:rPr>
        <w:t xml:space="preserve"> the roles of proliferation, naive response and cytokine signaling </w:t>
      </w:r>
      <w:r w:rsidR="00DC06E6">
        <w:rPr>
          <w:rFonts w:ascii="Arial" w:hAnsi="Arial" w:cs="Arial"/>
          <w:b/>
          <w:bCs/>
          <w:sz w:val="20"/>
          <w:szCs w:val="20"/>
        </w:rPr>
        <w:t>in</w:t>
      </w:r>
      <w:r w:rsidR="00035162" w:rsidRPr="00035162">
        <w:rPr>
          <w:rFonts w:ascii="Arial" w:hAnsi="Arial" w:cs="Arial"/>
          <w:b/>
          <w:bCs/>
          <w:sz w:val="20"/>
          <w:szCs w:val="20"/>
        </w:rPr>
        <w:t xml:space="preserve"> B</w:t>
      </w:r>
      <w:r w:rsidR="00081E08">
        <w:rPr>
          <w:rFonts w:ascii="Arial" w:hAnsi="Arial" w:cs="Arial"/>
          <w:b/>
          <w:bCs/>
          <w:sz w:val="20"/>
          <w:szCs w:val="20"/>
        </w:rPr>
        <w:t xml:space="preserve"> </w:t>
      </w:r>
      <w:r w:rsidR="00035162" w:rsidRPr="00035162">
        <w:rPr>
          <w:rFonts w:ascii="Arial" w:hAnsi="Arial" w:cs="Arial"/>
          <w:b/>
          <w:bCs/>
          <w:sz w:val="20"/>
          <w:szCs w:val="20"/>
        </w:rPr>
        <w:t>cells in adults.</w:t>
      </w:r>
      <w:r w:rsidR="00035162" w:rsidRPr="00035162">
        <w:rPr>
          <w:rFonts w:ascii="Arial" w:hAnsi="Arial" w:cs="Arial"/>
          <w:sz w:val="20"/>
          <w:szCs w:val="20"/>
        </w:rPr>
        <w:t xml:space="preserve"> (</w:t>
      </w:r>
      <w:r w:rsidR="00035162" w:rsidRPr="00035162">
        <w:rPr>
          <w:rFonts w:ascii="Arial" w:hAnsi="Arial" w:cs="Arial"/>
          <w:b/>
          <w:bCs/>
          <w:sz w:val="20"/>
          <w:szCs w:val="20"/>
        </w:rPr>
        <w:t>a</w:t>
      </w:r>
      <w:r w:rsidR="00035162" w:rsidRPr="00035162">
        <w:rPr>
          <w:rFonts w:ascii="Arial" w:hAnsi="Arial" w:cs="Arial"/>
          <w:sz w:val="20"/>
          <w:szCs w:val="20"/>
        </w:rPr>
        <w:t xml:space="preserve">) </w:t>
      </w:r>
      <w:r w:rsidR="004E624E">
        <w:rPr>
          <w:rFonts w:ascii="Arial" w:hAnsi="Arial" w:cs="Arial"/>
          <w:sz w:val="20"/>
          <w:szCs w:val="20"/>
        </w:rPr>
        <w:t>G</w:t>
      </w:r>
      <w:r w:rsidR="00035162" w:rsidRPr="00035162">
        <w:rPr>
          <w:rFonts w:ascii="Arial" w:hAnsi="Arial" w:cs="Arial"/>
          <w:sz w:val="20"/>
          <w:szCs w:val="20"/>
        </w:rPr>
        <w:t xml:space="preserve">ene module analysis from </w:t>
      </w:r>
      <w:proofErr w:type="spellStart"/>
      <w:r w:rsidR="00035162" w:rsidRPr="00035162">
        <w:rPr>
          <w:rFonts w:ascii="Arial" w:hAnsi="Arial" w:cs="Arial"/>
          <w:sz w:val="20"/>
          <w:szCs w:val="20"/>
        </w:rPr>
        <w:t>scRNA</w:t>
      </w:r>
      <w:proofErr w:type="spellEnd"/>
      <w:r w:rsidR="00035162" w:rsidRPr="00035162">
        <w:rPr>
          <w:rFonts w:ascii="Arial" w:hAnsi="Arial" w:cs="Arial"/>
          <w:sz w:val="20"/>
          <w:szCs w:val="20"/>
        </w:rPr>
        <w:t xml:space="preserve">-seq data </w:t>
      </w:r>
      <w:r w:rsidR="00FA76EC">
        <w:rPr>
          <w:rFonts w:ascii="Arial" w:hAnsi="Arial" w:cs="Arial"/>
          <w:sz w:val="20"/>
          <w:szCs w:val="20"/>
        </w:rPr>
        <w:t>revealed</w:t>
      </w:r>
      <w:r w:rsidR="003A4C44">
        <w:rPr>
          <w:rFonts w:ascii="Arial" w:hAnsi="Arial" w:cs="Arial"/>
          <w:sz w:val="20"/>
          <w:szCs w:val="20"/>
        </w:rPr>
        <w:t xml:space="preserve"> that</w:t>
      </w:r>
      <w:r w:rsidR="00035162" w:rsidRPr="00035162">
        <w:rPr>
          <w:rFonts w:ascii="Arial" w:hAnsi="Arial" w:cs="Arial"/>
          <w:sz w:val="20"/>
          <w:szCs w:val="20"/>
        </w:rPr>
        <w:t xml:space="preserve"> toddlers </w:t>
      </w:r>
      <w:r w:rsidR="00642363">
        <w:rPr>
          <w:rFonts w:ascii="Arial" w:hAnsi="Arial" w:cs="Arial"/>
          <w:sz w:val="20"/>
          <w:szCs w:val="20"/>
        </w:rPr>
        <w:t>exhibited</w:t>
      </w:r>
      <w:r w:rsidR="00035162" w:rsidRPr="00035162">
        <w:rPr>
          <w:rFonts w:ascii="Arial" w:hAnsi="Arial" w:cs="Arial"/>
          <w:sz w:val="20"/>
          <w:szCs w:val="20"/>
        </w:rPr>
        <w:t xml:space="preserve"> </w:t>
      </w:r>
      <w:r w:rsidR="00A75F3D">
        <w:rPr>
          <w:rFonts w:ascii="Arial" w:hAnsi="Arial" w:cs="Arial"/>
          <w:sz w:val="20"/>
          <w:szCs w:val="20"/>
        </w:rPr>
        <w:t>lower</w:t>
      </w:r>
      <w:r w:rsidR="00035162" w:rsidRPr="00035162">
        <w:rPr>
          <w:rFonts w:ascii="Arial" w:hAnsi="Arial" w:cs="Arial"/>
          <w:sz w:val="20"/>
          <w:szCs w:val="20"/>
        </w:rPr>
        <w:t xml:space="preserve"> </w:t>
      </w:r>
      <w:r w:rsidR="004D2214">
        <w:rPr>
          <w:rFonts w:ascii="Arial" w:hAnsi="Arial" w:cs="Arial"/>
          <w:sz w:val="20"/>
          <w:szCs w:val="20"/>
        </w:rPr>
        <w:t xml:space="preserve">scores </w:t>
      </w:r>
      <w:r w:rsidR="00B17F3A">
        <w:rPr>
          <w:rFonts w:ascii="Arial" w:hAnsi="Arial" w:cs="Arial"/>
          <w:sz w:val="20"/>
          <w:szCs w:val="20"/>
        </w:rPr>
        <w:t>for</w:t>
      </w:r>
      <w:r w:rsidR="004D2214">
        <w:rPr>
          <w:rFonts w:ascii="Arial" w:hAnsi="Arial" w:cs="Arial"/>
          <w:sz w:val="20"/>
          <w:szCs w:val="20"/>
        </w:rPr>
        <w:t xml:space="preserve"> </w:t>
      </w:r>
      <w:r w:rsidR="00035162" w:rsidRPr="00035162">
        <w:rPr>
          <w:rFonts w:ascii="Arial" w:hAnsi="Arial" w:cs="Arial"/>
          <w:sz w:val="20"/>
          <w:szCs w:val="20"/>
        </w:rPr>
        <w:t>B-cell T</w:t>
      </w:r>
      <w:r w:rsidR="00131471">
        <w:rPr>
          <w:rFonts w:ascii="Arial" w:hAnsi="Arial" w:cs="Arial"/>
          <w:sz w:val="20"/>
          <w:szCs w:val="20"/>
        </w:rPr>
        <w:t>-</w:t>
      </w:r>
      <w:r w:rsidR="00035162" w:rsidRPr="00035162">
        <w:rPr>
          <w:rFonts w:ascii="Arial" w:hAnsi="Arial" w:cs="Arial"/>
          <w:sz w:val="20"/>
          <w:szCs w:val="20"/>
        </w:rPr>
        <w:t>bet, glycolysis and PB gene module</w:t>
      </w:r>
      <w:r w:rsidR="004D2214">
        <w:rPr>
          <w:rFonts w:ascii="Arial" w:hAnsi="Arial" w:cs="Arial"/>
          <w:sz w:val="20"/>
          <w:szCs w:val="20"/>
        </w:rPr>
        <w:t xml:space="preserve">s </w:t>
      </w:r>
      <w:r w:rsidR="00035162" w:rsidRPr="00035162">
        <w:rPr>
          <w:rFonts w:ascii="Arial" w:hAnsi="Arial" w:cs="Arial"/>
          <w:sz w:val="20"/>
          <w:szCs w:val="20"/>
        </w:rPr>
        <w:t xml:space="preserve">compared to adults. Statistical significance was calculated using two-sided </w:t>
      </w:r>
      <w:r w:rsidR="00131471" w:rsidRPr="00035162">
        <w:rPr>
          <w:rFonts w:ascii="Arial" w:hAnsi="Arial" w:cs="Arial"/>
          <w:sz w:val="20"/>
          <w:szCs w:val="20"/>
        </w:rPr>
        <w:t>Wilcoxon</w:t>
      </w:r>
      <w:r w:rsidR="00035162" w:rsidRPr="00035162">
        <w:rPr>
          <w:rFonts w:ascii="Arial" w:hAnsi="Arial" w:cs="Arial"/>
          <w:sz w:val="20"/>
          <w:szCs w:val="20"/>
        </w:rPr>
        <w:t xml:space="preserve"> rank-sum tests and adjusted by the false discover rate method. (</w:t>
      </w:r>
      <w:r w:rsidR="00035162" w:rsidRPr="00752CC5">
        <w:rPr>
          <w:rFonts w:ascii="Arial" w:hAnsi="Arial" w:cs="Arial"/>
          <w:b/>
          <w:bCs/>
          <w:sz w:val="20"/>
          <w:szCs w:val="20"/>
        </w:rPr>
        <w:t>b</w:t>
      </w:r>
      <w:r w:rsidR="00035162" w:rsidRPr="00035162">
        <w:rPr>
          <w:rFonts w:ascii="Arial" w:hAnsi="Arial" w:cs="Arial"/>
          <w:sz w:val="20"/>
          <w:szCs w:val="20"/>
        </w:rPr>
        <w:t xml:space="preserve">) Partial correlation networks depicted the interactions among gene modules </w:t>
      </w:r>
      <w:r w:rsidR="002C4C12">
        <w:rPr>
          <w:rFonts w:ascii="Arial" w:hAnsi="Arial" w:cs="Arial"/>
          <w:sz w:val="20"/>
          <w:szCs w:val="20"/>
        </w:rPr>
        <w:t>for</w:t>
      </w:r>
      <w:r w:rsidR="00035162" w:rsidRPr="00035162">
        <w:rPr>
          <w:rFonts w:ascii="Arial" w:hAnsi="Arial" w:cs="Arial"/>
          <w:sz w:val="20"/>
          <w:szCs w:val="20"/>
        </w:rPr>
        <w:t xml:space="preserve"> each age group </w:t>
      </w:r>
      <w:r w:rsidR="004F754D">
        <w:rPr>
          <w:rFonts w:ascii="Arial" w:hAnsi="Arial" w:cs="Arial"/>
          <w:sz w:val="20"/>
          <w:szCs w:val="20"/>
        </w:rPr>
        <w:t>at</w:t>
      </w:r>
      <w:r w:rsidR="00035162" w:rsidRPr="00035162">
        <w:rPr>
          <w:rFonts w:ascii="Arial" w:hAnsi="Arial" w:cs="Arial"/>
          <w:sz w:val="20"/>
          <w:szCs w:val="20"/>
        </w:rPr>
        <w:t xml:space="preserve"> specific time</w:t>
      </w:r>
      <w:r w:rsidR="00A27110">
        <w:rPr>
          <w:rFonts w:ascii="Arial" w:hAnsi="Arial" w:cs="Arial"/>
          <w:sz w:val="20"/>
          <w:szCs w:val="20"/>
        </w:rPr>
        <w:t xml:space="preserve"> </w:t>
      </w:r>
      <w:r w:rsidR="00035162" w:rsidRPr="00035162">
        <w:rPr>
          <w:rFonts w:ascii="Arial" w:hAnsi="Arial" w:cs="Arial"/>
          <w:sz w:val="20"/>
          <w:szCs w:val="20"/>
        </w:rPr>
        <w:t>points, with baseline and day</w:t>
      </w:r>
      <w:r w:rsidR="00091F2C">
        <w:rPr>
          <w:rFonts w:ascii="Arial" w:hAnsi="Arial" w:cs="Arial"/>
          <w:sz w:val="20"/>
          <w:szCs w:val="20"/>
        </w:rPr>
        <w:t xml:space="preserve"> </w:t>
      </w:r>
      <w:r w:rsidR="00035162" w:rsidRPr="00035162">
        <w:rPr>
          <w:rFonts w:ascii="Arial" w:hAnsi="Arial" w:cs="Arial"/>
          <w:sz w:val="20"/>
          <w:szCs w:val="20"/>
        </w:rPr>
        <w:t>7 chosen for representation. Arrows in the day</w:t>
      </w:r>
      <w:r w:rsidR="00E835BA">
        <w:rPr>
          <w:rFonts w:ascii="Arial" w:hAnsi="Arial" w:cs="Arial"/>
          <w:sz w:val="20"/>
          <w:szCs w:val="20"/>
        </w:rPr>
        <w:t xml:space="preserve"> </w:t>
      </w:r>
      <w:r w:rsidR="00035162" w:rsidRPr="00035162">
        <w:rPr>
          <w:rFonts w:ascii="Arial" w:hAnsi="Arial" w:cs="Arial"/>
          <w:sz w:val="20"/>
          <w:szCs w:val="20"/>
        </w:rPr>
        <w:t>7 adult network highlight the primary interactions</w:t>
      </w:r>
      <w:r w:rsidR="00AB03E3">
        <w:rPr>
          <w:rFonts w:ascii="Arial" w:hAnsi="Arial" w:cs="Arial"/>
          <w:sz w:val="20"/>
          <w:szCs w:val="20"/>
        </w:rPr>
        <w:t>, which</w:t>
      </w:r>
      <w:r w:rsidR="00035162" w:rsidRPr="00035162">
        <w:rPr>
          <w:rFonts w:ascii="Arial" w:hAnsi="Arial" w:cs="Arial"/>
          <w:sz w:val="20"/>
          <w:szCs w:val="20"/>
        </w:rPr>
        <w:t xml:space="preserve"> were significantly more pronounced in adults compared to toddlers and </w:t>
      </w:r>
      <w:r w:rsidR="000B1D59">
        <w:rPr>
          <w:rFonts w:ascii="Arial" w:hAnsi="Arial" w:cs="Arial"/>
          <w:sz w:val="20"/>
          <w:szCs w:val="20"/>
        </w:rPr>
        <w:t xml:space="preserve">were </w:t>
      </w:r>
      <w:r w:rsidR="00035162" w:rsidRPr="00035162">
        <w:rPr>
          <w:rFonts w:ascii="Arial" w:hAnsi="Arial" w:cs="Arial"/>
          <w:sz w:val="20"/>
          <w:szCs w:val="20"/>
        </w:rPr>
        <w:t xml:space="preserve">absent at baseline. </w:t>
      </w:r>
      <w:r w:rsidR="00B27749">
        <w:rPr>
          <w:rFonts w:ascii="Arial" w:hAnsi="Arial" w:cs="Arial"/>
          <w:sz w:val="20"/>
          <w:szCs w:val="20"/>
        </w:rPr>
        <w:t>S</w:t>
      </w:r>
      <w:r w:rsidR="00035162" w:rsidRPr="00035162">
        <w:rPr>
          <w:rFonts w:ascii="Arial" w:hAnsi="Arial" w:cs="Arial"/>
          <w:sz w:val="20"/>
          <w:szCs w:val="20"/>
        </w:rPr>
        <w:t xml:space="preserve">ignificance was </w:t>
      </w:r>
      <w:r w:rsidR="00752CC5" w:rsidRPr="00035162">
        <w:rPr>
          <w:rFonts w:ascii="Arial" w:hAnsi="Arial" w:cs="Arial"/>
          <w:sz w:val="20"/>
          <w:szCs w:val="20"/>
        </w:rPr>
        <w:t>calculated</w:t>
      </w:r>
      <w:r w:rsidR="00035162" w:rsidRPr="00035162">
        <w:rPr>
          <w:rFonts w:ascii="Arial" w:hAnsi="Arial" w:cs="Arial"/>
          <w:sz w:val="20"/>
          <w:szCs w:val="20"/>
        </w:rPr>
        <w:t xml:space="preserve"> using permutation tests and adjusted by the false discover rate method. The edge weight and color represent the partial correlation coefficient</w:t>
      </w:r>
      <w:r w:rsidR="002B15D7">
        <w:rPr>
          <w:rFonts w:ascii="Arial" w:hAnsi="Arial" w:cs="Arial"/>
          <w:sz w:val="20"/>
          <w:szCs w:val="20"/>
        </w:rPr>
        <w:t>, while</w:t>
      </w:r>
      <w:r w:rsidR="00035162" w:rsidRPr="00035162">
        <w:rPr>
          <w:rFonts w:ascii="Arial" w:hAnsi="Arial" w:cs="Arial"/>
          <w:sz w:val="20"/>
          <w:szCs w:val="20"/>
        </w:rPr>
        <w:t xml:space="preserve"> </w:t>
      </w:r>
      <w:r w:rsidR="002B15D7">
        <w:rPr>
          <w:rFonts w:ascii="Arial" w:hAnsi="Arial" w:cs="Arial"/>
          <w:sz w:val="20"/>
          <w:szCs w:val="20"/>
        </w:rPr>
        <w:t>t</w:t>
      </w:r>
      <w:r w:rsidR="00035162" w:rsidRPr="00035162">
        <w:rPr>
          <w:rFonts w:ascii="Arial" w:hAnsi="Arial" w:cs="Arial"/>
          <w:sz w:val="20"/>
          <w:szCs w:val="20"/>
        </w:rPr>
        <w:t>he node color represents the fold-change of gene module expressions between adults and toddlers</w:t>
      </w:r>
      <w:r w:rsidR="00D81928">
        <w:rPr>
          <w:rFonts w:ascii="Arial" w:hAnsi="Arial" w:cs="Arial"/>
          <w:sz w:val="20"/>
          <w:szCs w:val="20"/>
        </w:rPr>
        <w:t>, normalized by</w:t>
      </w:r>
      <w:r w:rsidR="00035162" w:rsidRPr="00035162">
        <w:rPr>
          <w:rFonts w:ascii="Arial" w:hAnsi="Arial" w:cs="Arial"/>
          <w:sz w:val="20"/>
          <w:szCs w:val="20"/>
        </w:rPr>
        <w:t xml:space="preserve"> the standard deviation of all donors.</w:t>
      </w:r>
    </w:p>
    <w:p w14:paraId="2C8942C6" w14:textId="77777777" w:rsidR="00447888" w:rsidRDefault="00447888" w:rsidP="00C04857">
      <w:pPr>
        <w:rPr>
          <w:rFonts w:ascii="Arial" w:hAnsi="Arial" w:cs="Arial"/>
          <w:sz w:val="20"/>
          <w:szCs w:val="20"/>
        </w:rPr>
      </w:pPr>
    </w:p>
    <w:p w14:paraId="552436E0" w14:textId="77777777" w:rsidR="00447888" w:rsidRDefault="00447888" w:rsidP="00C04857">
      <w:pPr>
        <w:rPr>
          <w:rFonts w:ascii="Arial" w:hAnsi="Arial" w:cs="Arial"/>
          <w:sz w:val="20"/>
          <w:szCs w:val="20"/>
        </w:rPr>
      </w:pPr>
    </w:p>
    <w:p w14:paraId="3F3FC7B8" w14:textId="77777777" w:rsidR="00447888" w:rsidRDefault="00447888" w:rsidP="00C04857">
      <w:pPr>
        <w:rPr>
          <w:rFonts w:ascii="Arial" w:hAnsi="Arial" w:cs="Arial"/>
          <w:sz w:val="20"/>
          <w:szCs w:val="20"/>
        </w:rPr>
      </w:pPr>
    </w:p>
    <w:p w14:paraId="3246B5F4" w14:textId="77777777" w:rsidR="00447888" w:rsidRDefault="00447888" w:rsidP="00C04857">
      <w:pPr>
        <w:rPr>
          <w:rFonts w:ascii="Arial" w:hAnsi="Arial" w:cs="Arial"/>
          <w:sz w:val="20"/>
          <w:szCs w:val="20"/>
        </w:rPr>
      </w:pPr>
    </w:p>
    <w:p w14:paraId="06CF0392" w14:textId="215B903E" w:rsidR="00447888" w:rsidRDefault="00FC660C" w:rsidP="00C04857">
      <w:pPr>
        <w:rPr>
          <w:rFonts w:ascii="Arial" w:hAnsi="Arial" w:cs="Arial"/>
          <w:sz w:val="20"/>
          <w:szCs w:val="20"/>
        </w:rPr>
      </w:pPr>
      <w:r>
        <w:rPr>
          <w:rFonts w:ascii="Arial" w:hAnsi="Arial" w:cs="Arial"/>
          <w:noProof/>
          <w:sz w:val="20"/>
          <w:szCs w:val="20"/>
        </w:rPr>
        <w:lastRenderedPageBreak/>
        <w:drawing>
          <wp:inline distT="0" distB="0" distL="0" distR="0" wp14:anchorId="50B96DD8" wp14:editId="3D12BF24">
            <wp:extent cx="5517734" cy="5923722"/>
            <wp:effectExtent l="0" t="0" r="0" b="0"/>
            <wp:docPr id="6242148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4853"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b="22290"/>
                    <a:stretch/>
                  </pic:blipFill>
                  <pic:spPr bwMode="auto">
                    <a:xfrm>
                      <a:off x="0" y="0"/>
                      <a:ext cx="5538842" cy="5946383"/>
                    </a:xfrm>
                    <a:prstGeom prst="rect">
                      <a:avLst/>
                    </a:prstGeom>
                    <a:ln>
                      <a:noFill/>
                    </a:ln>
                    <a:extLst>
                      <a:ext uri="{53640926-AAD7-44D8-BBD7-CCE9431645EC}">
                        <a14:shadowObscured xmlns:a14="http://schemas.microsoft.com/office/drawing/2010/main"/>
                      </a:ext>
                    </a:extLst>
                  </pic:spPr>
                </pic:pic>
              </a:graphicData>
            </a:graphic>
          </wp:inline>
        </w:drawing>
      </w:r>
    </w:p>
    <w:p w14:paraId="03CA743B" w14:textId="46A007E4" w:rsidR="00447888" w:rsidRDefault="002E085B" w:rsidP="00C04857">
      <w:pPr>
        <w:rPr>
          <w:rFonts w:ascii="Arial" w:hAnsi="Arial" w:cs="Arial"/>
          <w:sz w:val="18"/>
          <w:szCs w:val="18"/>
        </w:rPr>
      </w:pPr>
      <w:r>
        <w:rPr>
          <w:rFonts w:ascii="Arial" w:hAnsi="Arial" w:cs="Arial"/>
          <w:b/>
          <w:bCs/>
          <w:sz w:val="18"/>
          <w:szCs w:val="18"/>
        </w:rPr>
        <w:t>Extended Data</w:t>
      </w:r>
      <w:r w:rsidR="00F5323C" w:rsidRPr="00F5323C">
        <w:rPr>
          <w:rFonts w:ascii="Arial" w:hAnsi="Arial" w:cs="Arial"/>
          <w:b/>
          <w:bCs/>
          <w:sz w:val="18"/>
          <w:szCs w:val="18"/>
        </w:rPr>
        <w:t xml:space="preserve"> Fig. 4 T</w:t>
      </w:r>
      <w:r w:rsidR="005754E0">
        <w:rPr>
          <w:rFonts w:ascii="Arial" w:hAnsi="Arial" w:cs="Arial"/>
          <w:b/>
          <w:bCs/>
          <w:sz w:val="18"/>
          <w:szCs w:val="18"/>
        </w:rPr>
        <w:t xml:space="preserve"> </w:t>
      </w:r>
      <w:r w:rsidR="00F5323C" w:rsidRPr="00F5323C">
        <w:rPr>
          <w:rFonts w:ascii="Arial" w:hAnsi="Arial" w:cs="Arial"/>
          <w:b/>
          <w:bCs/>
          <w:sz w:val="18"/>
          <w:szCs w:val="18"/>
        </w:rPr>
        <w:t xml:space="preserve">cells in tonsil organoids exhibit distinct transcriptional profiles in response to LAIV across various age groups. </w:t>
      </w:r>
      <w:r w:rsidR="00F5323C" w:rsidRPr="00F5323C">
        <w:rPr>
          <w:rFonts w:ascii="Arial" w:hAnsi="Arial" w:cs="Arial"/>
          <w:sz w:val="18"/>
          <w:szCs w:val="18"/>
        </w:rPr>
        <w:t>(</w:t>
      </w:r>
      <w:r w:rsidR="00F5323C" w:rsidRPr="00F5323C">
        <w:rPr>
          <w:rFonts w:ascii="Arial" w:hAnsi="Arial" w:cs="Arial"/>
          <w:b/>
          <w:bCs/>
          <w:sz w:val="18"/>
          <w:szCs w:val="18"/>
        </w:rPr>
        <w:t>a</w:t>
      </w:r>
      <w:r w:rsidR="00F5323C" w:rsidRPr="00F5323C">
        <w:rPr>
          <w:rFonts w:ascii="Arial" w:hAnsi="Arial" w:cs="Arial"/>
          <w:sz w:val="18"/>
          <w:szCs w:val="18"/>
        </w:rPr>
        <w:t xml:space="preserve">) UMAP plot </w:t>
      </w:r>
      <w:r w:rsidR="00E44BE0">
        <w:rPr>
          <w:rFonts w:ascii="Arial" w:hAnsi="Arial" w:cs="Arial"/>
          <w:sz w:val="18"/>
          <w:szCs w:val="18"/>
        </w:rPr>
        <w:t>displaying</w:t>
      </w:r>
      <w:r w:rsidR="00F5323C" w:rsidRPr="00F5323C">
        <w:rPr>
          <w:rFonts w:ascii="Arial" w:hAnsi="Arial" w:cs="Arial"/>
          <w:sz w:val="18"/>
          <w:szCs w:val="18"/>
        </w:rPr>
        <w:t xml:space="preserve"> </w:t>
      </w:r>
      <w:r w:rsidR="004E75EF">
        <w:rPr>
          <w:rFonts w:ascii="Arial" w:hAnsi="Arial" w:cs="Arial"/>
          <w:sz w:val="18"/>
          <w:szCs w:val="18"/>
        </w:rPr>
        <w:t xml:space="preserve">the </w:t>
      </w:r>
      <w:r w:rsidR="00F5323C" w:rsidRPr="00F5323C">
        <w:rPr>
          <w:rFonts w:ascii="Arial" w:hAnsi="Arial" w:cs="Arial"/>
          <w:sz w:val="18"/>
          <w:szCs w:val="18"/>
        </w:rPr>
        <w:t>divers</w:t>
      </w:r>
      <w:r w:rsidR="004E75EF">
        <w:rPr>
          <w:rFonts w:ascii="Arial" w:hAnsi="Arial" w:cs="Arial"/>
          <w:sz w:val="18"/>
          <w:szCs w:val="18"/>
        </w:rPr>
        <w:t>ity of</w:t>
      </w:r>
      <w:r w:rsidR="00F5323C" w:rsidRPr="00F5323C">
        <w:rPr>
          <w:rFonts w:ascii="Arial" w:hAnsi="Arial" w:cs="Arial"/>
          <w:sz w:val="18"/>
          <w:szCs w:val="18"/>
        </w:rPr>
        <w:t xml:space="preserve"> T cell phenotypes in tonsil organoids stimulated by LAIV, as characterized </w:t>
      </w:r>
      <w:r w:rsidR="00863487">
        <w:rPr>
          <w:rFonts w:ascii="Arial" w:hAnsi="Arial" w:cs="Arial"/>
          <w:sz w:val="18"/>
          <w:szCs w:val="18"/>
        </w:rPr>
        <w:t>by</w:t>
      </w:r>
      <w:r w:rsidR="00F5323C" w:rsidRPr="00F5323C">
        <w:rPr>
          <w:rFonts w:ascii="Arial" w:hAnsi="Arial" w:cs="Arial"/>
          <w:sz w:val="18"/>
          <w:szCs w:val="18"/>
        </w:rPr>
        <w:t xml:space="preserve"> </w:t>
      </w:r>
      <w:proofErr w:type="spellStart"/>
      <w:r w:rsidR="00F5323C" w:rsidRPr="00F5323C">
        <w:rPr>
          <w:rFonts w:ascii="Arial" w:hAnsi="Arial" w:cs="Arial"/>
          <w:sz w:val="18"/>
          <w:szCs w:val="18"/>
        </w:rPr>
        <w:t>scRNA</w:t>
      </w:r>
      <w:proofErr w:type="spellEnd"/>
      <w:r w:rsidR="00F5323C" w:rsidRPr="00F5323C">
        <w:rPr>
          <w:rFonts w:ascii="Arial" w:hAnsi="Arial" w:cs="Arial"/>
          <w:sz w:val="18"/>
          <w:szCs w:val="18"/>
        </w:rPr>
        <w:t>-seq data</w:t>
      </w:r>
      <w:r w:rsidR="003E6734">
        <w:rPr>
          <w:rFonts w:ascii="Arial" w:hAnsi="Arial" w:cs="Arial"/>
          <w:sz w:val="18"/>
          <w:szCs w:val="18"/>
        </w:rPr>
        <w:t>,</w:t>
      </w:r>
      <w:r w:rsidR="00F5323C" w:rsidRPr="00F5323C">
        <w:rPr>
          <w:rFonts w:ascii="Arial" w:hAnsi="Arial" w:cs="Arial"/>
          <w:sz w:val="18"/>
          <w:szCs w:val="18"/>
        </w:rPr>
        <w:t xml:space="preserve"> with </w:t>
      </w:r>
      <w:r w:rsidR="003E6734">
        <w:rPr>
          <w:rFonts w:ascii="Arial" w:hAnsi="Arial" w:cs="Arial"/>
          <w:sz w:val="18"/>
          <w:szCs w:val="18"/>
        </w:rPr>
        <w:t>a</w:t>
      </w:r>
      <w:r w:rsidR="00F5323C" w:rsidRPr="00F5323C">
        <w:rPr>
          <w:rFonts w:ascii="Arial" w:hAnsi="Arial" w:cs="Arial"/>
          <w:sz w:val="18"/>
          <w:szCs w:val="18"/>
        </w:rPr>
        <w:t xml:space="preserve"> dot plot displaying the top-expressed marker profiles within each T cell subset. (</w:t>
      </w:r>
      <w:r w:rsidR="00F5323C" w:rsidRPr="00F5323C">
        <w:rPr>
          <w:rFonts w:ascii="Arial" w:hAnsi="Arial" w:cs="Arial"/>
          <w:b/>
          <w:bCs/>
          <w:sz w:val="18"/>
          <w:szCs w:val="18"/>
        </w:rPr>
        <w:t>b</w:t>
      </w:r>
      <w:r w:rsidR="00F5323C" w:rsidRPr="00F5323C">
        <w:rPr>
          <w:rFonts w:ascii="Arial" w:hAnsi="Arial" w:cs="Arial"/>
          <w:sz w:val="18"/>
          <w:szCs w:val="18"/>
        </w:rPr>
        <w:t xml:space="preserve">) </w:t>
      </w:r>
      <w:r w:rsidR="00FC1069">
        <w:rPr>
          <w:rFonts w:ascii="Arial" w:hAnsi="Arial" w:cs="Arial"/>
          <w:sz w:val="18"/>
          <w:szCs w:val="18"/>
        </w:rPr>
        <w:t>D</w:t>
      </w:r>
      <w:r w:rsidR="00F5323C" w:rsidRPr="00F5323C">
        <w:rPr>
          <w:rFonts w:ascii="Arial" w:hAnsi="Arial" w:cs="Arial"/>
          <w:sz w:val="18"/>
          <w:szCs w:val="18"/>
        </w:rPr>
        <w:t xml:space="preserve">ifferential gene expression analysis from </w:t>
      </w:r>
      <w:proofErr w:type="spellStart"/>
      <w:r w:rsidR="00F5323C" w:rsidRPr="00F5323C">
        <w:rPr>
          <w:rFonts w:ascii="Arial" w:hAnsi="Arial" w:cs="Arial"/>
          <w:sz w:val="18"/>
          <w:szCs w:val="18"/>
        </w:rPr>
        <w:t>scRNA</w:t>
      </w:r>
      <w:proofErr w:type="spellEnd"/>
      <w:r w:rsidR="00F5323C" w:rsidRPr="00F5323C">
        <w:rPr>
          <w:rFonts w:ascii="Arial" w:hAnsi="Arial" w:cs="Arial"/>
          <w:sz w:val="18"/>
          <w:szCs w:val="18"/>
        </w:rPr>
        <w:t>-seq data revealed lower cytokine expression</w:t>
      </w:r>
      <w:r w:rsidR="009F295D">
        <w:rPr>
          <w:rFonts w:ascii="Arial" w:hAnsi="Arial" w:cs="Arial"/>
          <w:sz w:val="18"/>
          <w:szCs w:val="18"/>
        </w:rPr>
        <w:t xml:space="preserve"> levels</w:t>
      </w:r>
      <w:r w:rsidR="00F5323C" w:rsidRPr="00F5323C">
        <w:rPr>
          <w:rFonts w:ascii="Arial" w:hAnsi="Arial" w:cs="Arial"/>
          <w:sz w:val="18"/>
          <w:szCs w:val="18"/>
        </w:rPr>
        <w:t xml:space="preserve"> in B cell subsets when comparing toddlers and adults. (</w:t>
      </w:r>
      <w:r w:rsidR="00FC660C">
        <w:rPr>
          <w:rFonts w:ascii="Arial" w:hAnsi="Arial" w:cs="Arial"/>
          <w:b/>
          <w:bCs/>
          <w:sz w:val="18"/>
          <w:szCs w:val="18"/>
        </w:rPr>
        <w:t>c</w:t>
      </w:r>
      <w:r w:rsidR="00F5323C" w:rsidRPr="00F5323C">
        <w:rPr>
          <w:rFonts w:ascii="Arial" w:hAnsi="Arial" w:cs="Arial"/>
          <w:sz w:val="18"/>
          <w:szCs w:val="18"/>
        </w:rPr>
        <w:t xml:space="preserve">) </w:t>
      </w:r>
      <w:r w:rsidR="00CF182E">
        <w:rPr>
          <w:rFonts w:ascii="Arial" w:hAnsi="Arial" w:cs="Arial"/>
          <w:sz w:val="18"/>
          <w:szCs w:val="18"/>
        </w:rPr>
        <w:t>F</w:t>
      </w:r>
      <w:r w:rsidR="00F5323C" w:rsidRPr="00F5323C">
        <w:rPr>
          <w:rFonts w:ascii="Arial" w:hAnsi="Arial" w:cs="Arial"/>
          <w:sz w:val="18"/>
          <w:szCs w:val="18"/>
        </w:rPr>
        <w:t xml:space="preserve">low cytometry </w:t>
      </w:r>
      <w:r w:rsidR="00D370A7">
        <w:rPr>
          <w:rFonts w:ascii="Arial" w:hAnsi="Arial" w:cs="Arial"/>
          <w:sz w:val="18"/>
          <w:szCs w:val="18"/>
        </w:rPr>
        <w:t>showing</w:t>
      </w:r>
      <w:r w:rsidR="00F5323C" w:rsidRPr="00F5323C">
        <w:rPr>
          <w:rFonts w:ascii="Arial" w:hAnsi="Arial" w:cs="Arial"/>
          <w:sz w:val="18"/>
          <w:szCs w:val="18"/>
        </w:rPr>
        <w:t xml:space="preserve"> that activated CD4 (HLA-DR</w:t>
      </w:r>
      <w:r w:rsidR="00F5323C" w:rsidRPr="00F5323C">
        <w:rPr>
          <w:rFonts w:ascii="Arial" w:hAnsi="Arial" w:cs="Arial"/>
          <w:sz w:val="18"/>
          <w:szCs w:val="18"/>
          <w:vertAlign w:val="superscript"/>
        </w:rPr>
        <w:t>+</w:t>
      </w:r>
      <w:r w:rsidR="00F5323C" w:rsidRPr="00F5323C">
        <w:rPr>
          <w:rFonts w:ascii="Arial" w:hAnsi="Arial" w:cs="Arial"/>
          <w:sz w:val="18"/>
          <w:szCs w:val="18"/>
        </w:rPr>
        <w:t>CD38</w:t>
      </w:r>
      <w:r w:rsidR="00F5323C" w:rsidRPr="00F5323C">
        <w:rPr>
          <w:rFonts w:ascii="Arial" w:hAnsi="Arial" w:cs="Arial"/>
          <w:sz w:val="18"/>
          <w:szCs w:val="18"/>
          <w:vertAlign w:val="superscript"/>
        </w:rPr>
        <w:t>+</w:t>
      </w:r>
      <w:r w:rsidR="00F5323C" w:rsidRPr="00F5323C">
        <w:rPr>
          <w:rFonts w:ascii="Arial" w:hAnsi="Arial" w:cs="Arial"/>
          <w:sz w:val="18"/>
          <w:szCs w:val="18"/>
        </w:rPr>
        <w:t>)</w:t>
      </w:r>
      <w:r w:rsidR="00946C55">
        <w:rPr>
          <w:rFonts w:ascii="Arial" w:hAnsi="Arial" w:cs="Arial"/>
          <w:sz w:val="18"/>
          <w:szCs w:val="18"/>
        </w:rPr>
        <w:t>, activated Treg,</w:t>
      </w:r>
      <w:r w:rsidR="00F5323C" w:rsidRPr="00F5323C">
        <w:rPr>
          <w:rFonts w:ascii="Arial" w:hAnsi="Arial" w:cs="Arial"/>
          <w:sz w:val="18"/>
          <w:szCs w:val="18"/>
        </w:rPr>
        <w:t xml:space="preserve"> and </w:t>
      </w:r>
      <w:proofErr w:type="spellStart"/>
      <w:r w:rsidR="00F5323C" w:rsidRPr="00F5323C">
        <w:rPr>
          <w:rFonts w:ascii="Arial" w:hAnsi="Arial" w:cs="Arial"/>
          <w:sz w:val="18"/>
          <w:szCs w:val="18"/>
        </w:rPr>
        <w:t>gdT</w:t>
      </w:r>
      <w:proofErr w:type="spellEnd"/>
      <w:r w:rsidR="00F5323C" w:rsidRPr="00F5323C">
        <w:rPr>
          <w:rFonts w:ascii="Arial" w:hAnsi="Arial" w:cs="Arial"/>
          <w:sz w:val="18"/>
          <w:szCs w:val="18"/>
        </w:rPr>
        <w:t xml:space="preserve"> cells were </w:t>
      </w:r>
      <w:r w:rsidR="00946C55">
        <w:rPr>
          <w:rFonts w:ascii="Arial" w:hAnsi="Arial" w:cs="Arial"/>
          <w:sz w:val="18"/>
          <w:szCs w:val="18"/>
        </w:rPr>
        <w:t>more</w:t>
      </w:r>
      <w:r w:rsidR="00F5323C" w:rsidRPr="00F5323C">
        <w:rPr>
          <w:rFonts w:ascii="Arial" w:hAnsi="Arial" w:cs="Arial"/>
          <w:sz w:val="18"/>
          <w:szCs w:val="18"/>
        </w:rPr>
        <w:t xml:space="preserve"> pronounced in toddlers </w:t>
      </w:r>
      <w:r w:rsidR="00435C80">
        <w:rPr>
          <w:rFonts w:ascii="Arial" w:hAnsi="Arial" w:cs="Arial"/>
          <w:sz w:val="18"/>
          <w:szCs w:val="18"/>
        </w:rPr>
        <w:t>compared to</w:t>
      </w:r>
      <w:r w:rsidR="00F5323C" w:rsidRPr="00F5323C">
        <w:rPr>
          <w:rFonts w:ascii="Arial" w:hAnsi="Arial" w:cs="Arial"/>
          <w:sz w:val="18"/>
          <w:szCs w:val="18"/>
        </w:rPr>
        <w:t xml:space="preserve"> adults. (</w:t>
      </w:r>
      <w:r w:rsidR="00FC660C">
        <w:rPr>
          <w:rFonts w:ascii="Arial" w:hAnsi="Arial" w:cs="Arial"/>
          <w:b/>
          <w:bCs/>
          <w:sz w:val="18"/>
          <w:szCs w:val="18"/>
        </w:rPr>
        <w:t>d</w:t>
      </w:r>
      <w:r w:rsidR="00F5323C" w:rsidRPr="00F5323C">
        <w:rPr>
          <w:rFonts w:ascii="Arial" w:hAnsi="Arial" w:cs="Arial"/>
          <w:sz w:val="18"/>
          <w:szCs w:val="18"/>
        </w:rPr>
        <w:t xml:space="preserve">) Volcano plot </w:t>
      </w:r>
      <w:r w:rsidR="007666DA">
        <w:rPr>
          <w:rFonts w:ascii="Arial" w:hAnsi="Arial" w:cs="Arial"/>
          <w:sz w:val="18"/>
          <w:szCs w:val="18"/>
        </w:rPr>
        <w:t>depicting</w:t>
      </w:r>
      <w:r w:rsidR="00F5323C" w:rsidRPr="00F5323C">
        <w:rPr>
          <w:rFonts w:ascii="Arial" w:hAnsi="Arial" w:cs="Arial"/>
          <w:sz w:val="18"/>
          <w:szCs w:val="18"/>
        </w:rPr>
        <w:t xml:space="preserve"> the differences </w:t>
      </w:r>
      <w:r w:rsidR="00A2361E">
        <w:rPr>
          <w:rFonts w:ascii="Arial" w:hAnsi="Arial" w:cs="Arial"/>
          <w:sz w:val="18"/>
          <w:szCs w:val="18"/>
        </w:rPr>
        <w:t>in</w:t>
      </w:r>
      <w:r w:rsidR="00F5323C" w:rsidRPr="00F5323C">
        <w:rPr>
          <w:rFonts w:ascii="Arial" w:hAnsi="Arial" w:cs="Arial"/>
          <w:sz w:val="18"/>
          <w:szCs w:val="18"/>
        </w:rPr>
        <w:t xml:space="preserve"> cell fraction changes in B cells induced by the CD154 inhibitor, anti-CD154 antibody, between toddlers and adults, as measured by flow cytometry. These changes in cell fraction were determined by subtracting the control cell fraction from the fraction affected by inhibition. The fold</w:t>
      </w:r>
      <w:r w:rsidR="008613FE">
        <w:rPr>
          <w:rFonts w:ascii="Arial" w:hAnsi="Arial" w:cs="Arial"/>
          <w:sz w:val="18"/>
          <w:szCs w:val="18"/>
        </w:rPr>
        <w:t xml:space="preserve"> </w:t>
      </w:r>
      <w:r w:rsidR="00F5323C" w:rsidRPr="00F5323C">
        <w:rPr>
          <w:rFonts w:ascii="Arial" w:hAnsi="Arial" w:cs="Arial"/>
          <w:sz w:val="18"/>
          <w:szCs w:val="18"/>
        </w:rPr>
        <w:t>change represent</w:t>
      </w:r>
      <w:r w:rsidR="008613FE">
        <w:rPr>
          <w:rFonts w:ascii="Arial" w:hAnsi="Arial" w:cs="Arial"/>
          <w:sz w:val="18"/>
          <w:szCs w:val="18"/>
        </w:rPr>
        <w:t>s</w:t>
      </w:r>
      <w:r w:rsidR="00F5323C" w:rsidRPr="00F5323C">
        <w:rPr>
          <w:rFonts w:ascii="Arial" w:hAnsi="Arial" w:cs="Arial"/>
          <w:sz w:val="18"/>
          <w:szCs w:val="18"/>
        </w:rPr>
        <w:t xml:space="preserve"> the ratio of the difference in cell fraction changes between </w:t>
      </w:r>
      <w:r w:rsidR="00296E8A">
        <w:rPr>
          <w:rFonts w:ascii="Arial" w:hAnsi="Arial" w:cs="Arial"/>
          <w:sz w:val="18"/>
          <w:szCs w:val="18"/>
        </w:rPr>
        <w:t xml:space="preserve">the </w:t>
      </w:r>
      <w:r w:rsidR="00F5323C" w:rsidRPr="00F5323C">
        <w:rPr>
          <w:rFonts w:ascii="Arial" w:hAnsi="Arial" w:cs="Arial"/>
          <w:sz w:val="18"/>
          <w:szCs w:val="18"/>
        </w:rPr>
        <w:t>two age groups, normalized by the standard deviation of these changes. A positive fold-change indicate</w:t>
      </w:r>
      <w:r w:rsidR="006A19D1">
        <w:rPr>
          <w:rFonts w:ascii="Arial" w:hAnsi="Arial" w:cs="Arial"/>
          <w:sz w:val="18"/>
          <w:szCs w:val="18"/>
        </w:rPr>
        <w:t>s</w:t>
      </w:r>
      <w:r w:rsidR="0060207E">
        <w:rPr>
          <w:rFonts w:ascii="Arial" w:hAnsi="Arial" w:cs="Arial"/>
          <w:sz w:val="18"/>
          <w:szCs w:val="18"/>
        </w:rPr>
        <w:t xml:space="preserve"> a</w:t>
      </w:r>
      <w:r w:rsidR="00F5323C" w:rsidRPr="00F5323C">
        <w:rPr>
          <w:rFonts w:ascii="Arial" w:hAnsi="Arial" w:cs="Arial"/>
          <w:sz w:val="18"/>
          <w:szCs w:val="18"/>
        </w:rPr>
        <w:t xml:space="preserve"> stronger effect of inhibition in adults relative to the toddlers. Red, B-cell subsets with </w:t>
      </w:r>
      <w:r w:rsidR="00F5323C" w:rsidRPr="00F5323C">
        <w:rPr>
          <w:rFonts w:ascii="Arial" w:hAnsi="Arial" w:cs="Arial"/>
          <w:i/>
          <w:iCs/>
          <w:sz w:val="18"/>
          <w:szCs w:val="18"/>
        </w:rPr>
        <w:t>P</w:t>
      </w:r>
      <w:r w:rsidR="00F5323C" w:rsidRPr="00F5323C">
        <w:rPr>
          <w:rFonts w:ascii="Arial" w:hAnsi="Arial" w:cs="Arial"/>
          <w:sz w:val="18"/>
          <w:szCs w:val="18"/>
        </w:rPr>
        <w:t xml:space="preserve"> value &lt; 0.05. (</w:t>
      </w:r>
      <w:r w:rsidR="00FC660C">
        <w:rPr>
          <w:rFonts w:ascii="Arial" w:hAnsi="Arial" w:cs="Arial"/>
          <w:b/>
          <w:bCs/>
          <w:sz w:val="18"/>
          <w:szCs w:val="18"/>
        </w:rPr>
        <w:t>e</w:t>
      </w:r>
      <w:r w:rsidR="00F5323C" w:rsidRPr="00F5323C">
        <w:rPr>
          <w:rFonts w:ascii="Arial" w:hAnsi="Arial" w:cs="Arial"/>
          <w:sz w:val="18"/>
          <w:szCs w:val="18"/>
        </w:rPr>
        <w:t xml:space="preserve">) </w:t>
      </w:r>
      <w:r w:rsidR="0078628D">
        <w:rPr>
          <w:rFonts w:ascii="Arial" w:hAnsi="Arial" w:cs="Arial"/>
          <w:sz w:val="18"/>
          <w:szCs w:val="18"/>
        </w:rPr>
        <w:t>F</w:t>
      </w:r>
      <w:r w:rsidR="00F5323C" w:rsidRPr="00F5323C">
        <w:rPr>
          <w:rFonts w:ascii="Arial" w:hAnsi="Arial" w:cs="Arial"/>
          <w:sz w:val="18"/>
          <w:szCs w:val="18"/>
        </w:rPr>
        <w:t xml:space="preserve">low cytometry </w:t>
      </w:r>
      <w:r w:rsidR="0055467F">
        <w:rPr>
          <w:rFonts w:ascii="Arial" w:hAnsi="Arial" w:cs="Arial"/>
          <w:sz w:val="18"/>
          <w:szCs w:val="18"/>
        </w:rPr>
        <w:t>showing</w:t>
      </w:r>
      <w:r w:rsidR="00F5323C" w:rsidRPr="00F5323C">
        <w:rPr>
          <w:rFonts w:ascii="Arial" w:hAnsi="Arial" w:cs="Arial"/>
          <w:sz w:val="18"/>
          <w:szCs w:val="18"/>
        </w:rPr>
        <w:t xml:space="preserve"> that CD154 inhibition induced changes in </w:t>
      </w:r>
      <w:proofErr w:type="spellStart"/>
      <w:r w:rsidR="00F5323C" w:rsidRPr="00F5323C">
        <w:rPr>
          <w:rFonts w:ascii="Arial" w:hAnsi="Arial" w:cs="Arial"/>
          <w:sz w:val="18"/>
          <w:szCs w:val="18"/>
        </w:rPr>
        <w:t>IgA</w:t>
      </w:r>
      <w:r w:rsidR="00F5323C" w:rsidRPr="00F5323C">
        <w:rPr>
          <w:rFonts w:ascii="Arial" w:hAnsi="Arial" w:cs="Arial"/>
          <w:sz w:val="18"/>
          <w:szCs w:val="18"/>
          <w:vertAlign w:val="superscript"/>
        </w:rPr>
        <w:t>+</w:t>
      </w:r>
      <w:r w:rsidR="00F5323C" w:rsidRPr="00F5323C">
        <w:rPr>
          <w:rFonts w:ascii="Arial" w:hAnsi="Arial" w:cs="Arial"/>
          <w:sz w:val="18"/>
          <w:szCs w:val="18"/>
        </w:rPr>
        <w:t>B</w:t>
      </w:r>
      <w:proofErr w:type="spellEnd"/>
      <w:r w:rsidR="00F5323C" w:rsidRPr="00F5323C">
        <w:rPr>
          <w:rFonts w:ascii="Arial" w:hAnsi="Arial" w:cs="Arial"/>
          <w:sz w:val="18"/>
          <w:szCs w:val="18"/>
        </w:rPr>
        <w:t xml:space="preserve">, and </w:t>
      </w:r>
      <w:proofErr w:type="spellStart"/>
      <w:r w:rsidR="00F5323C" w:rsidRPr="00F5323C">
        <w:rPr>
          <w:rFonts w:ascii="Arial" w:hAnsi="Arial" w:cs="Arial"/>
          <w:sz w:val="18"/>
          <w:szCs w:val="18"/>
        </w:rPr>
        <w:t>IgA</w:t>
      </w:r>
      <w:r w:rsidR="00F5323C" w:rsidRPr="00F5323C">
        <w:rPr>
          <w:rFonts w:ascii="Arial" w:hAnsi="Arial" w:cs="Arial"/>
          <w:sz w:val="18"/>
          <w:szCs w:val="18"/>
          <w:vertAlign w:val="superscript"/>
        </w:rPr>
        <w:t>+</w:t>
      </w:r>
      <w:r w:rsidR="00F5323C" w:rsidRPr="00F5323C">
        <w:rPr>
          <w:rFonts w:ascii="Arial" w:hAnsi="Arial" w:cs="Arial"/>
          <w:sz w:val="18"/>
          <w:szCs w:val="18"/>
        </w:rPr>
        <w:t>AID</w:t>
      </w:r>
      <w:r w:rsidR="00F5323C" w:rsidRPr="00F5323C">
        <w:rPr>
          <w:rFonts w:ascii="Arial" w:hAnsi="Arial" w:cs="Arial"/>
          <w:sz w:val="18"/>
          <w:szCs w:val="18"/>
          <w:vertAlign w:val="superscript"/>
        </w:rPr>
        <w:t>+</w:t>
      </w:r>
      <w:r w:rsidR="00F5323C" w:rsidRPr="00F5323C">
        <w:rPr>
          <w:rFonts w:ascii="Arial" w:hAnsi="Arial" w:cs="Arial"/>
          <w:sz w:val="18"/>
          <w:szCs w:val="18"/>
        </w:rPr>
        <w:t>B</w:t>
      </w:r>
      <w:proofErr w:type="spellEnd"/>
      <w:r w:rsidR="00F5323C" w:rsidRPr="00F5323C">
        <w:rPr>
          <w:rFonts w:ascii="Arial" w:hAnsi="Arial" w:cs="Arial"/>
          <w:sz w:val="18"/>
          <w:szCs w:val="18"/>
        </w:rPr>
        <w:t xml:space="preserve"> cells. Statistical significance in </w:t>
      </w:r>
      <w:r w:rsidR="00F5323C" w:rsidRPr="00F5323C">
        <w:rPr>
          <w:rFonts w:ascii="Arial" w:hAnsi="Arial" w:cs="Arial"/>
          <w:b/>
          <w:bCs/>
          <w:sz w:val="18"/>
          <w:szCs w:val="18"/>
        </w:rPr>
        <w:t>b</w:t>
      </w:r>
      <w:r w:rsidR="00F5323C" w:rsidRPr="00F5323C">
        <w:rPr>
          <w:rFonts w:ascii="Arial" w:hAnsi="Arial" w:cs="Arial"/>
          <w:sz w:val="18"/>
          <w:szCs w:val="18"/>
        </w:rPr>
        <w:t xml:space="preserve"> was calculated using two-sided Wilcoxon rank-sum tests and adjusted by the false discovery rate method. </w:t>
      </w:r>
      <w:r w:rsidR="007033F6">
        <w:rPr>
          <w:rFonts w:ascii="Arial" w:hAnsi="Arial" w:cs="Arial"/>
          <w:sz w:val="18"/>
          <w:szCs w:val="18"/>
        </w:rPr>
        <w:t>S</w:t>
      </w:r>
      <w:r w:rsidR="00F5323C" w:rsidRPr="00F5323C">
        <w:rPr>
          <w:rFonts w:ascii="Arial" w:hAnsi="Arial" w:cs="Arial"/>
          <w:sz w:val="18"/>
          <w:szCs w:val="18"/>
        </w:rPr>
        <w:t xml:space="preserve">ignificance in </w:t>
      </w:r>
      <w:r w:rsidR="00FC660C">
        <w:rPr>
          <w:rFonts w:ascii="Arial" w:hAnsi="Arial" w:cs="Arial"/>
          <w:b/>
          <w:bCs/>
          <w:sz w:val="18"/>
          <w:szCs w:val="18"/>
        </w:rPr>
        <w:t>c</w:t>
      </w:r>
      <w:r w:rsidR="00FC660C" w:rsidRPr="00FC660C">
        <w:rPr>
          <w:rFonts w:ascii="Arial" w:hAnsi="Arial" w:cs="Arial"/>
          <w:sz w:val="18"/>
          <w:szCs w:val="18"/>
        </w:rPr>
        <w:t>-</w:t>
      </w:r>
      <w:r w:rsidR="00F5323C" w:rsidRPr="00F5323C">
        <w:rPr>
          <w:rFonts w:ascii="Arial" w:hAnsi="Arial" w:cs="Arial"/>
          <w:b/>
          <w:bCs/>
          <w:sz w:val="18"/>
          <w:szCs w:val="18"/>
        </w:rPr>
        <w:t>e</w:t>
      </w:r>
      <w:r w:rsidR="00F5323C" w:rsidRPr="00F5323C">
        <w:rPr>
          <w:rFonts w:ascii="Arial" w:hAnsi="Arial" w:cs="Arial"/>
          <w:sz w:val="18"/>
          <w:szCs w:val="18"/>
        </w:rPr>
        <w:t xml:space="preserve"> was determined by two-sided Student’s t-tests.</w:t>
      </w:r>
    </w:p>
    <w:p w14:paraId="55273504" w14:textId="233060C4" w:rsidR="0073669C" w:rsidRDefault="0064554A" w:rsidP="00C04857">
      <w:pPr>
        <w:rPr>
          <w:rFonts w:ascii="Arial" w:hAnsi="Arial" w:cs="Arial"/>
          <w:sz w:val="18"/>
          <w:szCs w:val="18"/>
        </w:rPr>
      </w:pPr>
      <w:r>
        <w:rPr>
          <w:rFonts w:ascii="Arial" w:hAnsi="Arial" w:cs="Arial"/>
          <w:noProof/>
          <w:sz w:val="18"/>
          <w:szCs w:val="18"/>
        </w:rPr>
        <w:lastRenderedPageBreak/>
        <w:drawing>
          <wp:inline distT="0" distB="0" distL="0" distR="0" wp14:anchorId="11FD0377" wp14:editId="69FA2964">
            <wp:extent cx="5943600" cy="4353339"/>
            <wp:effectExtent l="0" t="0" r="0" b="3175"/>
            <wp:docPr id="1762251095" name="Picture 1" descr="A diagram of a cell 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51095" name="Picture 1" descr="A diagram of a cell cycl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b="20524"/>
                    <a:stretch/>
                  </pic:blipFill>
                  <pic:spPr bwMode="auto">
                    <a:xfrm>
                      <a:off x="0" y="0"/>
                      <a:ext cx="5943600" cy="4353339"/>
                    </a:xfrm>
                    <a:prstGeom prst="rect">
                      <a:avLst/>
                    </a:prstGeom>
                    <a:ln>
                      <a:noFill/>
                    </a:ln>
                    <a:extLst>
                      <a:ext uri="{53640926-AAD7-44D8-BBD7-CCE9431645EC}">
                        <a14:shadowObscured xmlns:a14="http://schemas.microsoft.com/office/drawing/2010/main"/>
                      </a:ext>
                    </a:extLst>
                  </pic:spPr>
                </pic:pic>
              </a:graphicData>
            </a:graphic>
          </wp:inline>
        </w:drawing>
      </w:r>
    </w:p>
    <w:p w14:paraId="35050E21" w14:textId="4941522B" w:rsidR="0064554A" w:rsidRPr="0064554A" w:rsidRDefault="002E085B" w:rsidP="00C04857">
      <w:pPr>
        <w:rPr>
          <w:rFonts w:ascii="Arial" w:hAnsi="Arial" w:cs="Arial"/>
          <w:sz w:val="20"/>
          <w:szCs w:val="20"/>
        </w:rPr>
      </w:pPr>
      <w:r>
        <w:rPr>
          <w:rFonts w:ascii="Arial" w:hAnsi="Arial" w:cs="Arial"/>
          <w:b/>
          <w:bCs/>
          <w:sz w:val="20"/>
          <w:szCs w:val="20"/>
        </w:rPr>
        <w:t>Extended Data</w:t>
      </w:r>
      <w:r w:rsidR="0064554A" w:rsidRPr="0064554A">
        <w:rPr>
          <w:rFonts w:ascii="Arial" w:hAnsi="Arial" w:cs="Arial"/>
          <w:b/>
          <w:bCs/>
          <w:sz w:val="20"/>
          <w:szCs w:val="20"/>
        </w:rPr>
        <w:t xml:space="preserve"> Fig. 5. </w:t>
      </w:r>
      <w:r w:rsidR="007B049D">
        <w:rPr>
          <w:rFonts w:ascii="Arial" w:hAnsi="Arial" w:cs="Arial"/>
          <w:b/>
          <w:bCs/>
          <w:sz w:val="20"/>
          <w:szCs w:val="20"/>
        </w:rPr>
        <w:t>M</w:t>
      </w:r>
      <w:r w:rsidR="0064554A" w:rsidRPr="0064554A">
        <w:rPr>
          <w:rFonts w:ascii="Arial" w:hAnsi="Arial" w:cs="Arial"/>
          <w:b/>
          <w:bCs/>
          <w:sz w:val="20"/>
          <w:szCs w:val="20"/>
        </w:rPr>
        <w:t>etabolic activities assessed by metabolite uptakes and metabolic inhibitors.</w:t>
      </w:r>
      <w:r w:rsidR="0064554A" w:rsidRPr="0064554A">
        <w:rPr>
          <w:rFonts w:ascii="Arial" w:hAnsi="Arial" w:cs="Arial"/>
          <w:sz w:val="20"/>
          <w:szCs w:val="20"/>
        </w:rPr>
        <w:t xml:space="preserve"> (</w:t>
      </w:r>
      <w:r w:rsidR="0064554A" w:rsidRPr="00DD4824">
        <w:rPr>
          <w:rFonts w:ascii="Arial" w:hAnsi="Arial" w:cs="Arial"/>
          <w:b/>
          <w:bCs/>
          <w:sz w:val="20"/>
          <w:szCs w:val="20"/>
        </w:rPr>
        <w:t>a</w:t>
      </w:r>
      <w:r w:rsidR="0064554A" w:rsidRPr="0064554A">
        <w:rPr>
          <w:rFonts w:ascii="Arial" w:hAnsi="Arial" w:cs="Arial"/>
          <w:sz w:val="20"/>
          <w:szCs w:val="20"/>
        </w:rPr>
        <w:t xml:space="preserve">) Volcano plot </w:t>
      </w:r>
      <w:r w:rsidR="00C403DD">
        <w:rPr>
          <w:rFonts w:ascii="Arial" w:hAnsi="Arial" w:cs="Arial"/>
          <w:sz w:val="20"/>
          <w:szCs w:val="20"/>
        </w:rPr>
        <w:t>showing</w:t>
      </w:r>
      <w:r w:rsidR="0064554A" w:rsidRPr="0064554A">
        <w:rPr>
          <w:rFonts w:ascii="Arial" w:hAnsi="Arial" w:cs="Arial"/>
          <w:sz w:val="20"/>
          <w:szCs w:val="20"/>
        </w:rPr>
        <w:t xml:space="preserve"> difference</w:t>
      </w:r>
      <w:r w:rsidR="00B323AE">
        <w:rPr>
          <w:rFonts w:ascii="Arial" w:hAnsi="Arial" w:cs="Arial"/>
          <w:sz w:val="20"/>
          <w:szCs w:val="20"/>
        </w:rPr>
        <w:t>s</w:t>
      </w:r>
      <w:r w:rsidR="0064554A" w:rsidRPr="0064554A">
        <w:rPr>
          <w:rFonts w:ascii="Arial" w:hAnsi="Arial" w:cs="Arial"/>
          <w:sz w:val="20"/>
          <w:szCs w:val="20"/>
        </w:rPr>
        <w:t xml:space="preserve"> in cellular metabolite mean fluorescence intensities (MFI) from flow cytometry between toddlers and adults. The fold</w:t>
      </w:r>
      <w:r w:rsidR="0092683D">
        <w:rPr>
          <w:rFonts w:ascii="Arial" w:hAnsi="Arial" w:cs="Arial"/>
          <w:sz w:val="20"/>
          <w:szCs w:val="20"/>
        </w:rPr>
        <w:t xml:space="preserve"> </w:t>
      </w:r>
      <w:r w:rsidR="0064554A" w:rsidRPr="0064554A">
        <w:rPr>
          <w:rFonts w:ascii="Arial" w:hAnsi="Arial" w:cs="Arial"/>
          <w:sz w:val="20"/>
          <w:szCs w:val="20"/>
        </w:rPr>
        <w:t>change represent</w:t>
      </w:r>
      <w:r w:rsidR="0092683D">
        <w:rPr>
          <w:rFonts w:ascii="Arial" w:hAnsi="Arial" w:cs="Arial"/>
          <w:sz w:val="20"/>
          <w:szCs w:val="20"/>
        </w:rPr>
        <w:t xml:space="preserve">s </w:t>
      </w:r>
      <w:r w:rsidR="0064554A" w:rsidRPr="0064554A">
        <w:rPr>
          <w:rFonts w:ascii="Arial" w:hAnsi="Arial" w:cs="Arial"/>
          <w:sz w:val="20"/>
          <w:szCs w:val="20"/>
        </w:rPr>
        <w:t>the ratio of metabolite MFI difference</w:t>
      </w:r>
      <w:r w:rsidR="00D908D7">
        <w:rPr>
          <w:rFonts w:ascii="Arial" w:hAnsi="Arial" w:cs="Arial"/>
          <w:sz w:val="20"/>
          <w:szCs w:val="20"/>
        </w:rPr>
        <w:t>s</w:t>
      </w:r>
      <w:r w:rsidR="0064554A" w:rsidRPr="0064554A">
        <w:rPr>
          <w:rFonts w:ascii="Arial" w:hAnsi="Arial" w:cs="Arial"/>
          <w:sz w:val="20"/>
          <w:szCs w:val="20"/>
        </w:rPr>
        <w:t xml:space="preserve"> between adults and toddlers, normalized by their standard deviation. A positive fold-change indicate</w:t>
      </w:r>
      <w:r w:rsidR="0032411B">
        <w:rPr>
          <w:rFonts w:ascii="Arial" w:hAnsi="Arial" w:cs="Arial"/>
          <w:sz w:val="20"/>
          <w:szCs w:val="20"/>
        </w:rPr>
        <w:t>s</w:t>
      </w:r>
      <w:r w:rsidR="0064554A" w:rsidRPr="0064554A">
        <w:rPr>
          <w:rFonts w:ascii="Arial" w:hAnsi="Arial" w:cs="Arial"/>
          <w:sz w:val="20"/>
          <w:szCs w:val="20"/>
        </w:rPr>
        <w:t xml:space="preserve"> higher cellular metabolite MFI levels in adults relative to the toddlers. (</w:t>
      </w:r>
      <w:r w:rsidR="0064554A" w:rsidRPr="00DF1E46">
        <w:rPr>
          <w:rFonts w:ascii="Arial" w:hAnsi="Arial" w:cs="Arial"/>
          <w:b/>
          <w:bCs/>
          <w:sz w:val="20"/>
          <w:szCs w:val="20"/>
        </w:rPr>
        <w:t>b</w:t>
      </w:r>
      <w:r w:rsidR="0064554A" w:rsidRPr="0064554A">
        <w:rPr>
          <w:rFonts w:ascii="Arial" w:hAnsi="Arial" w:cs="Arial"/>
          <w:sz w:val="20"/>
          <w:szCs w:val="20"/>
        </w:rPr>
        <w:t xml:space="preserve">) Volcano plots </w:t>
      </w:r>
      <w:r w:rsidR="00E53FE7">
        <w:rPr>
          <w:rFonts w:ascii="Arial" w:hAnsi="Arial" w:cs="Arial"/>
          <w:sz w:val="20"/>
          <w:szCs w:val="20"/>
        </w:rPr>
        <w:t>showing</w:t>
      </w:r>
      <w:r w:rsidR="0064554A" w:rsidRPr="0064554A">
        <w:rPr>
          <w:rFonts w:ascii="Arial" w:hAnsi="Arial" w:cs="Arial"/>
          <w:sz w:val="20"/>
          <w:szCs w:val="20"/>
        </w:rPr>
        <w:t xml:space="preserve"> difference</w:t>
      </w:r>
      <w:r w:rsidR="009278D4">
        <w:rPr>
          <w:rFonts w:ascii="Arial" w:hAnsi="Arial" w:cs="Arial"/>
          <w:sz w:val="20"/>
          <w:szCs w:val="20"/>
        </w:rPr>
        <w:t>s</w:t>
      </w:r>
      <w:r w:rsidR="0064554A" w:rsidRPr="0064554A">
        <w:rPr>
          <w:rFonts w:ascii="Arial" w:hAnsi="Arial" w:cs="Arial"/>
          <w:sz w:val="20"/>
          <w:szCs w:val="20"/>
        </w:rPr>
        <w:t xml:space="preserve"> in cellular metabolite MFI between day</w:t>
      </w:r>
      <w:r w:rsidR="00C854C1">
        <w:rPr>
          <w:rFonts w:ascii="Arial" w:hAnsi="Arial" w:cs="Arial"/>
          <w:sz w:val="20"/>
          <w:szCs w:val="20"/>
        </w:rPr>
        <w:t xml:space="preserve"> </w:t>
      </w:r>
      <w:r w:rsidR="0064554A" w:rsidRPr="0064554A">
        <w:rPr>
          <w:rFonts w:ascii="Arial" w:hAnsi="Arial" w:cs="Arial"/>
          <w:sz w:val="20"/>
          <w:szCs w:val="20"/>
        </w:rPr>
        <w:t>4 and day</w:t>
      </w:r>
      <w:r w:rsidR="00C854C1">
        <w:rPr>
          <w:rFonts w:ascii="Arial" w:hAnsi="Arial" w:cs="Arial"/>
          <w:sz w:val="20"/>
          <w:szCs w:val="20"/>
        </w:rPr>
        <w:t xml:space="preserve"> </w:t>
      </w:r>
      <w:r w:rsidR="0064554A" w:rsidRPr="0064554A">
        <w:rPr>
          <w:rFonts w:ascii="Arial" w:hAnsi="Arial" w:cs="Arial"/>
          <w:sz w:val="20"/>
          <w:szCs w:val="20"/>
        </w:rPr>
        <w:t xml:space="preserve">7 among all donors, as in </w:t>
      </w:r>
      <w:r w:rsidR="0064554A" w:rsidRPr="00DD4824">
        <w:rPr>
          <w:rFonts w:ascii="Arial" w:hAnsi="Arial" w:cs="Arial"/>
          <w:b/>
          <w:bCs/>
          <w:sz w:val="20"/>
          <w:szCs w:val="20"/>
        </w:rPr>
        <w:t>a</w:t>
      </w:r>
      <w:r w:rsidR="0064554A" w:rsidRPr="0064554A">
        <w:rPr>
          <w:rFonts w:ascii="Arial" w:hAnsi="Arial" w:cs="Arial"/>
          <w:sz w:val="20"/>
          <w:szCs w:val="20"/>
        </w:rPr>
        <w:t>. The fold-change represent</w:t>
      </w:r>
      <w:r w:rsidR="007D675D">
        <w:rPr>
          <w:rFonts w:ascii="Arial" w:hAnsi="Arial" w:cs="Arial"/>
          <w:sz w:val="20"/>
          <w:szCs w:val="20"/>
        </w:rPr>
        <w:t>s</w:t>
      </w:r>
      <w:r w:rsidR="0064554A" w:rsidRPr="0064554A">
        <w:rPr>
          <w:rFonts w:ascii="Arial" w:hAnsi="Arial" w:cs="Arial"/>
          <w:sz w:val="20"/>
          <w:szCs w:val="20"/>
        </w:rPr>
        <w:t xml:space="preserve"> the ratio of metabolite MFI difference between day</w:t>
      </w:r>
      <w:r w:rsidR="00AE0C39">
        <w:rPr>
          <w:rFonts w:ascii="Arial" w:hAnsi="Arial" w:cs="Arial"/>
          <w:sz w:val="20"/>
          <w:szCs w:val="20"/>
        </w:rPr>
        <w:t xml:space="preserve"> </w:t>
      </w:r>
      <w:r w:rsidR="0064554A" w:rsidRPr="0064554A">
        <w:rPr>
          <w:rFonts w:ascii="Arial" w:hAnsi="Arial" w:cs="Arial"/>
          <w:sz w:val="20"/>
          <w:szCs w:val="20"/>
        </w:rPr>
        <w:t>7 and day</w:t>
      </w:r>
      <w:r w:rsidR="00AE0C39">
        <w:rPr>
          <w:rFonts w:ascii="Arial" w:hAnsi="Arial" w:cs="Arial"/>
          <w:sz w:val="20"/>
          <w:szCs w:val="20"/>
        </w:rPr>
        <w:t xml:space="preserve"> </w:t>
      </w:r>
      <w:r w:rsidR="0064554A" w:rsidRPr="0064554A">
        <w:rPr>
          <w:rFonts w:ascii="Arial" w:hAnsi="Arial" w:cs="Arial"/>
          <w:sz w:val="20"/>
          <w:szCs w:val="20"/>
        </w:rPr>
        <w:t>4, normalized by their standard deviation. A positive fold-change indicated higher cellular metabolite MFI levels on day</w:t>
      </w:r>
      <w:r w:rsidR="00245353">
        <w:rPr>
          <w:rFonts w:ascii="Arial" w:hAnsi="Arial" w:cs="Arial"/>
          <w:sz w:val="20"/>
          <w:szCs w:val="20"/>
        </w:rPr>
        <w:t xml:space="preserve"> </w:t>
      </w:r>
      <w:r w:rsidR="0064554A" w:rsidRPr="0064554A">
        <w:rPr>
          <w:rFonts w:ascii="Arial" w:hAnsi="Arial" w:cs="Arial"/>
          <w:sz w:val="20"/>
          <w:szCs w:val="20"/>
        </w:rPr>
        <w:t>7 relative to day</w:t>
      </w:r>
      <w:r w:rsidR="00CC3770">
        <w:rPr>
          <w:rFonts w:ascii="Arial" w:hAnsi="Arial" w:cs="Arial"/>
          <w:sz w:val="20"/>
          <w:szCs w:val="20"/>
        </w:rPr>
        <w:t xml:space="preserve"> </w:t>
      </w:r>
      <w:r w:rsidR="0064554A" w:rsidRPr="0064554A">
        <w:rPr>
          <w:rFonts w:ascii="Arial" w:hAnsi="Arial" w:cs="Arial"/>
          <w:sz w:val="20"/>
          <w:szCs w:val="20"/>
        </w:rPr>
        <w:t>4. (</w:t>
      </w:r>
      <w:r w:rsidR="0064554A" w:rsidRPr="00DD4824">
        <w:rPr>
          <w:rFonts w:ascii="Arial" w:hAnsi="Arial" w:cs="Arial"/>
          <w:b/>
          <w:bCs/>
          <w:sz w:val="20"/>
          <w:szCs w:val="20"/>
        </w:rPr>
        <w:t>c</w:t>
      </w:r>
      <w:r w:rsidR="0064554A" w:rsidRPr="0064554A">
        <w:rPr>
          <w:rFonts w:ascii="Arial" w:hAnsi="Arial" w:cs="Arial"/>
          <w:sz w:val="20"/>
          <w:szCs w:val="20"/>
        </w:rPr>
        <w:t xml:space="preserve">) Volcano plots </w:t>
      </w:r>
      <w:r w:rsidR="001A7C5A">
        <w:rPr>
          <w:rFonts w:ascii="Arial" w:hAnsi="Arial" w:cs="Arial"/>
          <w:sz w:val="20"/>
          <w:szCs w:val="20"/>
        </w:rPr>
        <w:t>showing</w:t>
      </w:r>
      <w:r w:rsidR="0064554A" w:rsidRPr="0064554A">
        <w:rPr>
          <w:rFonts w:ascii="Arial" w:hAnsi="Arial" w:cs="Arial"/>
          <w:sz w:val="20"/>
          <w:szCs w:val="20"/>
        </w:rPr>
        <w:t xml:space="preserve"> the differences of cell fraction changes in B cells induced by the OXPHOS inhibitor, Oligomycin, between toddlers and adults, as measured by flow cytometry. These changes in cell fraction</w:t>
      </w:r>
      <w:r w:rsidR="006E41BD">
        <w:rPr>
          <w:rFonts w:ascii="Arial" w:hAnsi="Arial" w:cs="Arial"/>
          <w:sz w:val="20"/>
          <w:szCs w:val="20"/>
        </w:rPr>
        <w:t>s</w:t>
      </w:r>
      <w:r w:rsidR="0064554A" w:rsidRPr="0064554A">
        <w:rPr>
          <w:rFonts w:ascii="Arial" w:hAnsi="Arial" w:cs="Arial"/>
          <w:sz w:val="20"/>
          <w:szCs w:val="20"/>
        </w:rPr>
        <w:t xml:space="preserve"> </w:t>
      </w:r>
      <w:r w:rsidR="00DD4824" w:rsidRPr="0064554A">
        <w:rPr>
          <w:rFonts w:ascii="Arial" w:hAnsi="Arial" w:cs="Arial"/>
          <w:sz w:val="20"/>
          <w:szCs w:val="20"/>
        </w:rPr>
        <w:t>were</w:t>
      </w:r>
      <w:r w:rsidR="0064554A" w:rsidRPr="0064554A">
        <w:rPr>
          <w:rFonts w:ascii="Arial" w:hAnsi="Arial" w:cs="Arial"/>
          <w:sz w:val="20"/>
          <w:szCs w:val="20"/>
        </w:rPr>
        <w:t xml:space="preserve"> determined by </w:t>
      </w:r>
      <w:r w:rsidR="00DD4824" w:rsidRPr="0064554A">
        <w:rPr>
          <w:rFonts w:ascii="Arial" w:hAnsi="Arial" w:cs="Arial"/>
          <w:sz w:val="20"/>
          <w:szCs w:val="20"/>
        </w:rPr>
        <w:t>subtracting</w:t>
      </w:r>
      <w:r w:rsidR="0064554A" w:rsidRPr="0064554A">
        <w:rPr>
          <w:rFonts w:ascii="Arial" w:hAnsi="Arial" w:cs="Arial"/>
          <w:sz w:val="20"/>
          <w:szCs w:val="20"/>
        </w:rPr>
        <w:t xml:space="preserve"> the control cell fraction from the fraction affected by Oligomycin. The fold</w:t>
      </w:r>
      <w:r w:rsidR="007D3E1F">
        <w:rPr>
          <w:rFonts w:ascii="Arial" w:hAnsi="Arial" w:cs="Arial"/>
          <w:sz w:val="20"/>
          <w:szCs w:val="20"/>
        </w:rPr>
        <w:t xml:space="preserve"> </w:t>
      </w:r>
      <w:r w:rsidR="0064554A" w:rsidRPr="0064554A">
        <w:rPr>
          <w:rFonts w:ascii="Arial" w:hAnsi="Arial" w:cs="Arial"/>
          <w:sz w:val="20"/>
          <w:szCs w:val="20"/>
        </w:rPr>
        <w:t>change represent</w:t>
      </w:r>
      <w:r w:rsidR="007D3E1F">
        <w:rPr>
          <w:rFonts w:ascii="Arial" w:hAnsi="Arial" w:cs="Arial"/>
          <w:sz w:val="20"/>
          <w:szCs w:val="20"/>
        </w:rPr>
        <w:t>s</w:t>
      </w:r>
      <w:r w:rsidR="0064554A" w:rsidRPr="0064554A">
        <w:rPr>
          <w:rFonts w:ascii="Arial" w:hAnsi="Arial" w:cs="Arial"/>
          <w:sz w:val="20"/>
          <w:szCs w:val="20"/>
        </w:rPr>
        <w:t xml:space="preserve"> the ratio of the difference in cell fraction changes between </w:t>
      </w:r>
      <w:r w:rsidR="0035395A">
        <w:rPr>
          <w:rFonts w:ascii="Arial" w:hAnsi="Arial" w:cs="Arial"/>
          <w:sz w:val="20"/>
          <w:szCs w:val="20"/>
        </w:rPr>
        <w:t xml:space="preserve">the </w:t>
      </w:r>
      <w:r w:rsidR="0064554A" w:rsidRPr="0064554A">
        <w:rPr>
          <w:rFonts w:ascii="Arial" w:hAnsi="Arial" w:cs="Arial"/>
          <w:sz w:val="20"/>
          <w:szCs w:val="20"/>
        </w:rPr>
        <w:t>two age groups, normalized by the standard deviation of these changes. A positive fold-change indicate</w:t>
      </w:r>
      <w:r w:rsidR="004554A3">
        <w:rPr>
          <w:rFonts w:ascii="Arial" w:hAnsi="Arial" w:cs="Arial"/>
          <w:sz w:val="20"/>
          <w:szCs w:val="20"/>
        </w:rPr>
        <w:t xml:space="preserve">s </w:t>
      </w:r>
      <w:r w:rsidR="0064554A" w:rsidRPr="0064554A">
        <w:rPr>
          <w:rFonts w:ascii="Arial" w:hAnsi="Arial" w:cs="Arial"/>
          <w:sz w:val="20"/>
          <w:szCs w:val="20"/>
        </w:rPr>
        <w:t>stronger effect</w:t>
      </w:r>
      <w:r w:rsidR="009E37CE">
        <w:rPr>
          <w:rFonts w:ascii="Arial" w:hAnsi="Arial" w:cs="Arial"/>
          <w:sz w:val="20"/>
          <w:szCs w:val="20"/>
        </w:rPr>
        <w:t>s</w:t>
      </w:r>
      <w:r w:rsidR="0064554A" w:rsidRPr="0064554A">
        <w:rPr>
          <w:rFonts w:ascii="Arial" w:hAnsi="Arial" w:cs="Arial"/>
          <w:sz w:val="20"/>
          <w:szCs w:val="20"/>
        </w:rPr>
        <w:t xml:space="preserve"> of Oligomycin in adults relative to the toddlers. Red, B-cell subsets with </w:t>
      </w:r>
      <w:r w:rsidR="0064554A" w:rsidRPr="00DF1E46">
        <w:rPr>
          <w:rFonts w:ascii="Arial" w:hAnsi="Arial" w:cs="Arial"/>
          <w:i/>
          <w:iCs/>
          <w:sz w:val="20"/>
          <w:szCs w:val="20"/>
        </w:rPr>
        <w:t>P</w:t>
      </w:r>
      <w:r w:rsidR="0064554A" w:rsidRPr="0064554A">
        <w:rPr>
          <w:rFonts w:ascii="Arial" w:hAnsi="Arial" w:cs="Arial"/>
          <w:sz w:val="20"/>
          <w:szCs w:val="20"/>
        </w:rPr>
        <w:t xml:space="preserve"> value &lt; 0.05. </w:t>
      </w:r>
      <w:r w:rsidR="00DD4824" w:rsidRPr="0064554A">
        <w:rPr>
          <w:rFonts w:ascii="Arial" w:hAnsi="Arial" w:cs="Arial"/>
          <w:sz w:val="20"/>
          <w:szCs w:val="20"/>
        </w:rPr>
        <w:t>Statistical</w:t>
      </w:r>
      <w:r w:rsidR="0064554A" w:rsidRPr="0064554A">
        <w:rPr>
          <w:rFonts w:ascii="Arial" w:hAnsi="Arial" w:cs="Arial"/>
          <w:sz w:val="20"/>
          <w:szCs w:val="20"/>
        </w:rPr>
        <w:t xml:space="preserve"> significance in </w:t>
      </w:r>
      <w:r w:rsidR="0064554A" w:rsidRPr="00DD4824">
        <w:rPr>
          <w:rFonts w:ascii="Arial" w:hAnsi="Arial" w:cs="Arial"/>
          <w:b/>
          <w:bCs/>
          <w:sz w:val="20"/>
          <w:szCs w:val="20"/>
        </w:rPr>
        <w:t>a</w:t>
      </w:r>
      <w:r w:rsidR="0064554A" w:rsidRPr="0064554A">
        <w:rPr>
          <w:rFonts w:ascii="Arial" w:hAnsi="Arial" w:cs="Arial"/>
          <w:sz w:val="20"/>
          <w:szCs w:val="20"/>
        </w:rPr>
        <w:t>,</w:t>
      </w:r>
      <w:r w:rsidR="00DD4824">
        <w:rPr>
          <w:rFonts w:ascii="Arial" w:hAnsi="Arial" w:cs="Arial"/>
          <w:sz w:val="20"/>
          <w:szCs w:val="20"/>
        </w:rPr>
        <w:t xml:space="preserve"> </w:t>
      </w:r>
      <w:r w:rsidR="0064554A" w:rsidRPr="00DD4824">
        <w:rPr>
          <w:rFonts w:ascii="Arial" w:hAnsi="Arial" w:cs="Arial"/>
          <w:b/>
          <w:bCs/>
          <w:sz w:val="20"/>
          <w:szCs w:val="20"/>
        </w:rPr>
        <w:t>b</w:t>
      </w:r>
      <w:r w:rsidR="0064554A" w:rsidRPr="0064554A">
        <w:rPr>
          <w:rFonts w:ascii="Arial" w:hAnsi="Arial" w:cs="Arial"/>
          <w:sz w:val="20"/>
          <w:szCs w:val="20"/>
        </w:rPr>
        <w:t xml:space="preserve"> and </w:t>
      </w:r>
      <w:r w:rsidR="0064554A" w:rsidRPr="00DD4824">
        <w:rPr>
          <w:rFonts w:ascii="Arial" w:hAnsi="Arial" w:cs="Arial"/>
          <w:b/>
          <w:bCs/>
          <w:sz w:val="20"/>
          <w:szCs w:val="20"/>
        </w:rPr>
        <w:t>c</w:t>
      </w:r>
      <w:r w:rsidR="0064554A" w:rsidRPr="0064554A">
        <w:rPr>
          <w:rFonts w:ascii="Arial" w:hAnsi="Arial" w:cs="Arial"/>
          <w:sz w:val="20"/>
          <w:szCs w:val="20"/>
        </w:rPr>
        <w:t xml:space="preserve"> </w:t>
      </w:r>
      <w:proofErr w:type="gramStart"/>
      <w:r w:rsidR="0064554A" w:rsidRPr="0064554A">
        <w:rPr>
          <w:rFonts w:ascii="Arial" w:hAnsi="Arial" w:cs="Arial"/>
          <w:sz w:val="20"/>
          <w:szCs w:val="20"/>
        </w:rPr>
        <w:t>were</w:t>
      </w:r>
      <w:proofErr w:type="gramEnd"/>
      <w:r w:rsidR="0064554A" w:rsidRPr="0064554A">
        <w:rPr>
          <w:rFonts w:ascii="Arial" w:hAnsi="Arial" w:cs="Arial"/>
          <w:sz w:val="20"/>
          <w:szCs w:val="20"/>
        </w:rPr>
        <w:t xml:space="preserve"> calculated using the two-sided Student’s t-tests.  </w:t>
      </w:r>
    </w:p>
    <w:p w14:paraId="24065C13" w14:textId="77777777" w:rsidR="00447888" w:rsidRDefault="00447888" w:rsidP="00C04857">
      <w:pPr>
        <w:rPr>
          <w:rFonts w:ascii="Arial" w:hAnsi="Arial" w:cs="Arial"/>
          <w:sz w:val="20"/>
          <w:szCs w:val="20"/>
        </w:rPr>
      </w:pPr>
    </w:p>
    <w:p w14:paraId="60649106" w14:textId="77777777" w:rsidR="00447888" w:rsidRDefault="00447888" w:rsidP="00C04857">
      <w:pPr>
        <w:rPr>
          <w:rFonts w:ascii="Arial" w:hAnsi="Arial" w:cs="Arial"/>
          <w:sz w:val="20"/>
          <w:szCs w:val="20"/>
        </w:rPr>
      </w:pPr>
    </w:p>
    <w:p w14:paraId="1B68F29F" w14:textId="77777777" w:rsidR="00447888" w:rsidRPr="00F55F05" w:rsidRDefault="00447888" w:rsidP="00C04857">
      <w:pPr>
        <w:rPr>
          <w:rFonts w:ascii="Arial" w:hAnsi="Arial" w:cs="Arial"/>
          <w:sz w:val="20"/>
          <w:szCs w:val="20"/>
        </w:rPr>
      </w:pPr>
    </w:p>
    <w:p w14:paraId="2B1CF669" w14:textId="77777777" w:rsidR="00C04857" w:rsidRDefault="00C04857" w:rsidP="00C04857"/>
    <w:p w14:paraId="325ED3F8" w14:textId="0B35222D" w:rsidR="00B4599C" w:rsidRDefault="004902D2" w:rsidP="00C04857">
      <w:r>
        <w:rPr>
          <w:noProof/>
        </w:rPr>
        <w:lastRenderedPageBreak/>
        <w:drawing>
          <wp:inline distT="0" distB="0" distL="0" distR="0" wp14:anchorId="106CD977" wp14:editId="4F69E53A">
            <wp:extent cx="5943600" cy="4344035"/>
            <wp:effectExtent l="0" t="0" r="0" b="0"/>
            <wp:docPr id="983921668" name="Picture 1" descr="A group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21668" name="Picture 1" descr="A group of graphs and diagram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44035"/>
                    </a:xfrm>
                    <a:prstGeom prst="rect">
                      <a:avLst/>
                    </a:prstGeom>
                  </pic:spPr>
                </pic:pic>
              </a:graphicData>
            </a:graphic>
          </wp:inline>
        </w:drawing>
      </w:r>
    </w:p>
    <w:p w14:paraId="08178E2C" w14:textId="033AD34C" w:rsidR="00CA7AC9" w:rsidRPr="00CA7AC9" w:rsidRDefault="002E085B" w:rsidP="00C04857">
      <w:pPr>
        <w:rPr>
          <w:rFonts w:ascii="Arial" w:hAnsi="Arial" w:cs="Arial"/>
          <w:sz w:val="20"/>
          <w:szCs w:val="20"/>
        </w:rPr>
      </w:pPr>
      <w:r>
        <w:rPr>
          <w:rFonts w:ascii="Arial" w:hAnsi="Arial" w:cs="Arial"/>
          <w:b/>
          <w:bCs/>
          <w:sz w:val="20"/>
          <w:szCs w:val="20"/>
        </w:rPr>
        <w:t>Extended Data</w:t>
      </w:r>
      <w:r w:rsidR="00CA7AC9" w:rsidRPr="00CA7AC9">
        <w:rPr>
          <w:rFonts w:ascii="Arial" w:hAnsi="Arial" w:cs="Arial"/>
          <w:b/>
          <w:bCs/>
          <w:sz w:val="20"/>
          <w:szCs w:val="20"/>
        </w:rPr>
        <w:t xml:space="preserve"> Fig. 6. </w:t>
      </w:r>
      <w:r w:rsidR="004902D2">
        <w:rPr>
          <w:rFonts w:ascii="Arial" w:hAnsi="Arial" w:cs="Arial"/>
          <w:b/>
          <w:bCs/>
          <w:sz w:val="20"/>
          <w:szCs w:val="20"/>
        </w:rPr>
        <w:t>Metadata Association Analysis</w:t>
      </w:r>
      <w:r w:rsidR="00CA7AC9" w:rsidRPr="00CA7AC9">
        <w:rPr>
          <w:rFonts w:ascii="Arial" w:hAnsi="Arial" w:cs="Arial"/>
          <w:b/>
          <w:bCs/>
          <w:sz w:val="20"/>
          <w:szCs w:val="20"/>
        </w:rPr>
        <w:t>.</w:t>
      </w:r>
      <w:r w:rsidR="00CA7AC9" w:rsidRPr="00CA7AC9">
        <w:rPr>
          <w:rFonts w:ascii="Arial" w:hAnsi="Arial" w:cs="Arial"/>
          <w:sz w:val="20"/>
          <w:szCs w:val="20"/>
        </w:rPr>
        <w:t xml:space="preserve"> </w:t>
      </w:r>
      <w:r w:rsidR="004902D2">
        <w:rPr>
          <w:rFonts w:ascii="Arial" w:hAnsi="Arial" w:cs="Arial"/>
          <w:sz w:val="20"/>
          <w:szCs w:val="20"/>
        </w:rPr>
        <w:t>(</w:t>
      </w:r>
      <w:r w:rsidR="004902D2" w:rsidRPr="004902D2">
        <w:rPr>
          <w:rFonts w:ascii="Arial" w:hAnsi="Arial" w:cs="Arial"/>
          <w:b/>
          <w:bCs/>
          <w:sz w:val="20"/>
          <w:szCs w:val="20"/>
        </w:rPr>
        <w:t>a</w:t>
      </w:r>
      <w:r w:rsidR="004902D2">
        <w:rPr>
          <w:rFonts w:ascii="Arial" w:hAnsi="Arial" w:cs="Arial"/>
          <w:sz w:val="20"/>
          <w:szCs w:val="20"/>
        </w:rPr>
        <w:t xml:space="preserve">) </w:t>
      </w:r>
      <w:r w:rsidR="00CA7AC9" w:rsidRPr="00CA7AC9">
        <w:rPr>
          <w:rFonts w:ascii="Arial" w:hAnsi="Arial" w:cs="Arial"/>
          <w:sz w:val="20"/>
          <w:szCs w:val="20"/>
        </w:rPr>
        <w:t xml:space="preserve">PCA plots </w:t>
      </w:r>
      <w:r w:rsidR="00E06BFE">
        <w:rPr>
          <w:rFonts w:ascii="Arial" w:hAnsi="Arial" w:cs="Arial"/>
          <w:sz w:val="20"/>
          <w:szCs w:val="20"/>
        </w:rPr>
        <w:t>showing</w:t>
      </w:r>
      <w:r w:rsidR="00CA7AC9" w:rsidRPr="00CA7AC9">
        <w:rPr>
          <w:rFonts w:ascii="Arial" w:hAnsi="Arial" w:cs="Arial"/>
          <w:sz w:val="20"/>
          <w:szCs w:val="20"/>
        </w:rPr>
        <w:t xml:space="preserve"> </w:t>
      </w:r>
      <w:r w:rsidR="00CA7AC9">
        <w:rPr>
          <w:rFonts w:ascii="Arial" w:hAnsi="Arial" w:cs="Arial"/>
          <w:sz w:val="20"/>
          <w:szCs w:val="20"/>
        </w:rPr>
        <w:t xml:space="preserve">that </w:t>
      </w:r>
      <w:r w:rsidR="00CA7AC9" w:rsidRPr="00CA7AC9">
        <w:rPr>
          <w:rFonts w:ascii="Arial" w:hAnsi="Arial" w:cs="Arial"/>
          <w:sz w:val="20"/>
          <w:szCs w:val="20"/>
        </w:rPr>
        <w:t>the donor information including ethnicity, flu vaccine record</w:t>
      </w:r>
      <w:r w:rsidR="000F6832">
        <w:rPr>
          <w:rFonts w:ascii="Arial" w:hAnsi="Arial" w:cs="Arial"/>
          <w:sz w:val="20"/>
          <w:szCs w:val="20"/>
        </w:rPr>
        <w:t>,</w:t>
      </w:r>
      <w:r w:rsidR="00CA7AC9" w:rsidRPr="00CA7AC9">
        <w:rPr>
          <w:rFonts w:ascii="Arial" w:hAnsi="Arial" w:cs="Arial"/>
          <w:sz w:val="20"/>
          <w:szCs w:val="20"/>
        </w:rPr>
        <w:t xml:space="preserve"> and gender</w:t>
      </w:r>
      <w:r w:rsidR="000F6832">
        <w:rPr>
          <w:rFonts w:ascii="Arial" w:hAnsi="Arial" w:cs="Arial"/>
          <w:sz w:val="20"/>
          <w:szCs w:val="20"/>
        </w:rPr>
        <w:t>,</w:t>
      </w:r>
      <w:r w:rsidR="00CA7AC9" w:rsidRPr="00CA7AC9">
        <w:rPr>
          <w:rFonts w:ascii="Arial" w:hAnsi="Arial" w:cs="Arial"/>
          <w:sz w:val="20"/>
          <w:szCs w:val="20"/>
        </w:rPr>
        <w:t xml:space="preserve"> did not </w:t>
      </w:r>
      <w:r w:rsidR="008B7C19">
        <w:rPr>
          <w:rFonts w:ascii="Arial" w:hAnsi="Arial" w:cs="Arial"/>
          <w:sz w:val="20"/>
          <w:szCs w:val="20"/>
        </w:rPr>
        <w:t>contribute apparently to</w:t>
      </w:r>
      <w:r w:rsidR="00CA7AC9" w:rsidRPr="00CA7AC9">
        <w:rPr>
          <w:rFonts w:ascii="Arial" w:hAnsi="Arial" w:cs="Arial"/>
          <w:sz w:val="20"/>
          <w:szCs w:val="20"/>
        </w:rPr>
        <w:t xml:space="preserve"> the top variances.</w:t>
      </w:r>
      <w:r w:rsidR="005A6112">
        <w:rPr>
          <w:rFonts w:ascii="Arial" w:hAnsi="Arial" w:cs="Arial"/>
          <w:sz w:val="20"/>
          <w:szCs w:val="20"/>
        </w:rPr>
        <w:t xml:space="preserve"> (</w:t>
      </w:r>
      <w:r w:rsidR="005A6112" w:rsidRPr="005A6112">
        <w:rPr>
          <w:rFonts w:ascii="Arial" w:hAnsi="Arial" w:cs="Arial"/>
          <w:b/>
          <w:bCs/>
          <w:sz w:val="20"/>
          <w:szCs w:val="20"/>
        </w:rPr>
        <w:t>b</w:t>
      </w:r>
      <w:r w:rsidR="005A6112">
        <w:rPr>
          <w:rFonts w:ascii="Arial" w:hAnsi="Arial" w:cs="Arial"/>
          <w:sz w:val="20"/>
          <w:szCs w:val="20"/>
        </w:rPr>
        <w:t xml:space="preserve">) UMAP plot showing the non-antibody-secreting-cell (non-ASC) B cell phenotype overlaps from different immune compartments and organoid models with cell-pairwise distance from the </w:t>
      </w:r>
      <w:proofErr w:type="spellStart"/>
      <w:r w:rsidR="005A6112">
        <w:rPr>
          <w:rFonts w:ascii="Arial" w:hAnsi="Arial" w:cs="Arial"/>
          <w:sz w:val="20"/>
          <w:szCs w:val="20"/>
        </w:rPr>
        <w:t>Scimilarity</w:t>
      </w:r>
      <w:proofErr w:type="spellEnd"/>
      <w:r w:rsidR="005A6112">
        <w:rPr>
          <w:rFonts w:ascii="Arial" w:hAnsi="Arial" w:cs="Arial"/>
          <w:sz w:val="20"/>
          <w:szCs w:val="20"/>
        </w:rPr>
        <w:t xml:space="preserve"> embeddings. (</w:t>
      </w:r>
      <w:r w:rsidR="005A6112" w:rsidRPr="005A6112">
        <w:rPr>
          <w:rFonts w:ascii="Arial" w:hAnsi="Arial" w:cs="Arial"/>
          <w:b/>
          <w:bCs/>
          <w:sz w:val="20"/>
          <w:szCs w:val="20"/>
        </w:rPr>
        <w:t>c</w:t>
      </w:r>
      <w:r w:rsidR="005A6112">
        <w:rPr>
          <w:rFonts w:ascii="Arial" w:hAnsi="Arial" w:cs="Arial"/>
          <w:sz w:val="20"/>
          <w:szCs w:val="20"/>
        </w:rPr>
        <w:t xml:space="preserve">) UMAP plot showing the non-ASC B cell phenotype overlaying with cell subset annotations. </w:t>
      </w:r>
    </w:p>
    <w:sectPr w:rsidR="00CA7AC9" w:rsidRPr="00CA7A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857"/>
    <w:rsid w:val="00003307"/>
    <w:rsid w:val="000034EF"/>
    <w:rsid w:val="00012D09"/>
    <w:rsid w:val="00022401"/>
    <w:rsid w:val="00033144"/>
    <w:rsid w:val="00034F97"/>
    <w:rsid w:val="00035162"/>
    <w:rsid w:val="00051876"/>
    <w:rsid w:val="00051ED4"/>
    <w:rsid w:val="000600E6"/>
    <w:rsid w:val="00081E08"/>
    <w:rsid w:val="00083A30"/>
    <w:rsid w:val="00083A35"/>
    <w:rsid w:val="00084BA1"/>
    <w:rsid w:val="00091F2C"/>
    <w:rsid w:val="000972D8"/>
    <w:rsid w:val="00097C6F"/>
    <w:rsid w:val="000A493D"/>
    <w:rsid w:val="000B09DA"/>
    <w:rsid w:val="000B1B7C"/>
    <w:rsid w:val="000B1D59"/>
    <w:rsid w:val="000F649D"/>
    <w:rsid w:val="000F6832"/>
    <w:rsid w:val="00127F77"/>
    <w:rsid w:val="00131471"/>
    <w:rsid w:val="001370CB"/>
    <w:rsid w:val="00146443"/>
    <w:rsid w:val="001609BD"/>
    <w:rsid w:val="00161BD6"/>
    <w:rsid w:val="0018490D"/>
    <w:rsid w:val="001A7587"/>
    <w:rsid w:val="001A7C5A"/>
    <w:rsid w:val="001B2CFF"/>
    <w:rsid w:val="001C439D"/>
    <w:rsid w:val="001C65A1"/>
    <w:rsid w:val="001F7DF3"/>
    <w:rsid w:val="00202275"/>
    <w:rsid w:val="00245353"/>
    <w:rsid w:val="00254012"/>
    <w:rsid w:val="00280315"/>
    <w:rsid w:val="00294DDA"/>
    <w:rsid w:val="00296E8A"/>
    <w:rsid w:val="002B15D7"/>
    <w:rsid w:val="002C4C12"/>
    <w:rsid w:val="002D3F32"/>
    <w:rsid w:val="002D5DD5"/>
    <w:rsid w:val="002E085B"/>
    <w:rsid w:val="00304EA6"/>
    <w:rsid w:val="00304F63"/>
    <w:rsid w:val="003073E9"/>
    <w:rsid w:val="00311E42"/>
    <w:rsid w:val="003140B6"/>
    <w:rsid w:val="00321ADA"/>
    <w:rsid w:val="0032411B"/>
    <w:rsid w:val="00324297"/>
    <w:rsid w:val="00330D9D"/>
    <w:rsid w:val="00333526"/>
    <w:rsid w:val="0035395A"/>
    <w:rsid w:val="00360B00"/>
    <w:rsid w:val="00375977"/>
    <w:rsid w:val="00376C25"/>
    <w:rsid w:val="00382720"/>
    <w:rsid w:val="00393652"/>
    <w:rsid w:val="00394194"/>
    <w:rsid w:val="00397339"/>
    <w:rsid w:val="003A4C44"/>
    <w:rsid w:val="003C58D5"/>
    <w:rsid w:val="003D47EA"/>
    <w:rsid w:val="003D71D3"/>
    <w:rsid w:val="003E6734"/>
    <w:rsid w:val="00401CE4"/>
    <w:rsid w:val="004148C8"/>
    <w:rsid w:val="004241BF"/>
    <w:rsid w:val="00430B78"/>
    <w:rsid w:val="00435C80"/>
    <w:rsid w:val="00446476"/>
    <w:rsid w:val="00447888"/>
    <w:rsid w:val="00454514"/>
    <w:rsid w:val="004554A3"/>
    <w:rsid w:val="0047082C"/>
    <w:rsid w:val="004902D2"/>
    <w:rsid w:val="0049556D"/>
    <w:rsid w:val="0049792B"/>
    <w:rsid w:val="004D1EE6"/>
    <w:rsid w:val="004D2214"/>
    <w:rsid w:val="004D4AD2"/>
    <w:rsid w:val="004D73D5"/>
    <w:rsid w:val="004E31BA"/>
    <w:rsid w:val="004E4F27"/>
    <w:rsid w:val="004E5388"/>
    <w:rsid w:val="004E624E"/>
    <w:rsid w:val="004E75EF"/>
    <w:rsid w:val="004F754D"/>
    <w:rsid w:val="00520432"/>
    <w:rsid w:val="00526311"/>
    <w:rsid w:val="005361C2"/>
    <w:rsid w:val="005433FC"/>
    <w:rsid w:val="005543E4"/>
    <w:rsid w:val="0055467F"/>
    <w:rsid w:val="00556281"/>
    <w:rsid w:val="005646C4"/>
    <w:rsid w:val="00570D27"/>
    <w:rsid w:val="005754E0"/>
    <w:rsid w:val="00580377"/>
    <w:rsid w:val="005A6112"/>
    <w:rsid w:val="005B01BA"/>
    <w:rsid w:val="005B23DA"/>
    <w:rsid w:val="005E7878"/>
    <w:rsid w:val="005F2B54"/>
    <w:rsid w:val="005F7374"/>
    <w:rsid w:val="00600E73"/>
    <w:rsid w:val="0060207E"/>
    <w:rsid w:val="00613CA9"/>
    <w:rsid w:val="00614C77"/>
    <w:rsid w:val="00625E49"/>
    <w:rsid w:val="006260D5"/>
    <w:rsid w:val="00642363"/>
    <w:rsid w:val="0064554A"/>
    <w:rsid w:val="006458A0"/>
    <w:rsid w:val="00653BA8"/>
    <w:rsid w:val="00657E24"/>
    <w:rsid w:val="006611C9"/>
    <w:rsid w:val="00665BA4"/>
    <w:rsid w:val="00667146"/>
    <w:rsid w:val="00670A61"/>
    <w:rsid w:val="006A19D1"/>
    <w:rsid w:val="006A5BC4"/>
    <w:rsid w:val="006B2561"/>
    <w:rsid w:val="006B42D7"/>
    <w:rsid w:val="006D7F19"/>
    <w:rsid w:val="006E1B57"/>
    <w:rsid w:val="006E41BD"/>
    <w:rsid w:val="007033F6"/>
    <w:rsid w:val="007107DB"/>
    <w:rsid w:val="00723BAE"/>
    <w:rsid w:val="0073669C"/>
    <w:rsid w:val="00752CC5"/>
    <w:rsid w:val="00754109"/>
    <w:rsid w:val="00760ACE"/>
    <w:rsid w:val="007666DA"/>
    <w:rsid w:val="00780493"/>
    <w:rsid w:val="0078628D"/>
    <w:rsid w:val="0078745E"/>
    <w:rsid w:val="007A1277"/>
    <w:rsid w:val="007B049D"/>
    <w:rsid w:val="007B3C53"/>
    <w:rsid w:val="007C2DDB"/>
    <w:rsid w:val="007D3E1F"/>
    <w:rsid w:val="007D431C"/>
    <w:rsid w:val="007D675D"/>
    <w:rsid w:val="0081450C"/>
    <w:rsid w:val="008152D9"/>
    <w:rsid w:val="00835415"/>
    <w:rsid w:val="0083671B"/>
    <w:rsid w:val="008465E6"/>
    <w:rsid w:val="00851596"/>
    <w:rsid w:val="008613FE"/>
    <w:rsid w:val="00863487"/>
    <w:rsid w:val="00874438"/>
    <w:rsid w:val="00875BEE"/>
    <w:rsid w:val="008818DD"/>
    <w:rsid w:val="008859B3"/>
    <w:rsid w:val="00885C9E"/>
    <w:rsid w:val="00890C26"/>
    <w:rsid w:val="008941ED"/>
    <w:rsid w:val="0089466D"/>
    <w:rsid w:val="008A3F3E"/>
    <w:rsid w:val="008B76A6"/>
    <w:rsid w:val="008B7C19"/>
    <w:rsid w:val="008C55A5"/>
    <w:rsid w:val="008D0570"/>
    <w:rsid w:val="008D0E46"/>
    <w:rsid w:val="008D19AB"/>
    <w:rsid w:val="008D5802"/>
    <w:rsid w:val="008E10BF"/>
    <w:rsid w:val="008E18C5"/>
    <w:rsid w:val="008E5F28"/>
    <w:rsid w:val="008F333F"/>
    <w:rsid w:val="009048A9"/>
    <w:rsid w:val="0092683D"/>
    <w:rsid w:val="009278D4"/>
    <w:rsid w:val="00927CE2"/>
    <w:rsid w:val="00931356"/>
    <w:rsid w:val="0094068B"/>
    <w:rsid w:val="00943750"/>
    <w:rsid w:val="00944597"/>
    <w:rsid w:val="00946C55"/>
    <w:rsid w:val="00946F01"/>
    <w:rsid w:val="00964671"/>
    <w:rsid w:val="00966C60"/>
    <w:rsid w:val="00975F31"/>
    <w:rsid w:val="0098190D"/>
    <w:rsid w:val="00995A25"/>
    <w:rsid w:val="009B087D"/>
    <w:rsid w:val="009B41B7"/>
    <w:rsid w:val="009C0F1E"/>
    <w:rsid w:val="009E376D"/>
    <w:rsid w:val="009E37CE"/>
    <w:rsid w:val="009E7E3B"/>
    <w:rsid w:val="009F295D"/>
    <w:rsid w:val="009F488B"/>
    <w:rsid w:val="00A06C4F"/>
    <w:rsid w:val="00A07E7B"/>
    <w:rsid w:val="00A130EA"/>
    <w:rsid w:val="00A17E09"/>
    <w:rsid w:val="00A2361E"/>
    <w:rsid w:val="00A27110"/>
    <w:rsid w:val="00A3262F"/>
    <w:rsid w:val="00A36345"/>
    <w:rsid w:val="00A364D0"/>
    <w:rsid w:val="00A50A9B"/>
    <w:rsid w:val="00A6696D"/>
    <w:rsid w:val="00A75F3D"/>
    <w:rsid w:val="00A865B5"/>
    <w:rsid w:val="00A959A0"/>
    <w:rsid w:val="00AA2ADE"/>
    <w:rsid w:val="00AB03E3"/>
    <w:rsid w:val="00AB0B7C"/>
    <w:rsid w:val="00AB47C2"/>
    <w:rsid w:val="00AC1AAC"/>
    <w:rsid w:val="00AD5E05"/>
    <w:rsid w:val="00AD6589"/>
    <w:rsid w:val="00AE0C39"/>
    <w:rsid w:val="00AF3400"/>
    <w:rsid w:val="00AF7A00"/>
    <w:rsid w:val="00B17F3A"/>
    <w:rsid w:val="00B25ECD"/>
    <w:rsid w:val="00B27749"/>
    <w:rsid w:val="00B323AE"/>
    <w:rsid w:val="00B4599C"/>
    <w:rsid w:val="00B620B7"/>
    <w:rsid w:val="00B65B9B"/>
    <w:rsid w:val="00B73E7E"/>
    <w:rsid w:val="00B90267"/>
    <w:rsid w:val="00B95177"/>
    <w:rsid w:val="00BA2A55"/>
    <w:rsid w:val="00BA4582"/>
    <w:rsid w:val="00BB7F34"/>
    <w:rsid w:val="00BC2DC2"/>
    <w:rsid w:val="00BD5CB6"/>
    <w:rsid w:val="00BE71AD"/>
    <w:rsid w:val="00C01C93"/>
    <w:rsid w:val="00C04857"/>
    <w:rsid w:val="00C05D1C"/>
    <w:rsid w:val="00C07EE2"/>
    <w:rsid w:val="00C25657"/>
    <w:rsid w:val="00C30F07"/>
    <w:rsid w:val="00C403DD"/>
    <w:rsid w:val="00C416BC"/>
    <w:rsid w:val="00C46D1F"/>
    <w:rsid w:val="00C53310"/>
    <w:rsid w:val="00C56458"/>
    <w:rsid w:val="00C56F79"/>
    <w:rsid w:val="00C659A2"/>
    <w:rsid w:val="00C700DE"/>
    <w:rsid w:val="00C854C1"/>
    <w:rsid w:val="00CA7AC9"/>
    <w:rsid w:val="00CB54AA"/>
    <w:rsid w:val="00CC2C99"/>
    <w:rsid w:val="00CC3770"/>
    <w:rsid w:val="00CC5DD7"/>
    <w:rsid w:val="00CD0E02"/>
    <w:rsid w:val="00CD3B83"/>
    <w:rsid w:val="00CD57F9"/>
    <w:rsid w:val="00CE2574"/>
    <w:rsid w:val="00CF182E"/>
    <w:rsid w:val="00CF183E"/>
    <w:rsid w:val="00CF7513"/>
    <w:rsid w:val="00D137CB"/>
    <w:rsid w:val="00D30A16"/>
    <w:rsid w:val="00D30A23"/>
    <w:rsid w:val="00D370A7"/>
    <w:rsid w:val="00D639B1"/>
    <w:rsid w:val="00D658AF"/>
    <w:rsid w:val="00D7007E"/>
    <w:rsid w:val="00D70F82"/>
    <w:rsid w:val="00D72DF2"/>
    <w:rsid w:val="00D81928"/>
    <w:rsid w:val="00D85306"/>
    <w:rsid w:val="00D908D7"/>
    <w:rsid w:val="00DA6FD2"/>
    <w:rsid w:val="00DB7F78"/>
    <w:rsid w:val="00DC06E6"/>
    <w:rsid w:val="00DD0DDF"/>
    <w:rsid w:val="00DD4824"/>
    <w:rsid w:val="00DF1E46"/>
    <w:rsid w:val="00E06BFE"/>
    <w:rsid w:val="00E0741C"/>
    <w:rsid w:val="00E14884"/>
    <w:rsid w:val="00E21EFA"/>
    <w:rsid w:val="00E30546"/>
    <w:rsid w:val="00E32FC0"/>
    <w:rsid w:val="00E44BE0"/>
    <w:rsid w:val="00E45A12"/>
    <w:rsid w:val="00E53FE7"/>
    <w:rsid w:val="00E556A2"/>
    <w:rsid w:val="00E80F79"/>
    <w:rsid w:val="00E835BA"/>
    <w:rsid w:val="00EA1967"/>
    <w:rsid w:val="00F01688"/>
    <w:rsid w:val="00F10E2F"/>
    <w:rsid w:val="00F20001"/>
    <w:rsid w:val="00F2404D"/>
    <w:rsid w:val="00F30B58"/>
    <w:rsid w:val="00F4558A"/>
    <w:rsid w:val="00F50776"/>
    <w:rsid w:val="00F51F52"/>
    <w:rsid w:val="00F5323C"/>
    <w:rsid w:val="00F55F05"/>
    <w:rsid w:val="00F75008"/>
    <w:rsid w:val="00FA76EC"/>
    <w:rsid w:val="00FC1069"/>
    <w:rsid w:val="00FC13D1"/>
    <w:rsid w:val="00FC660C"/>
    <w:rsid w:val="00FD276A"/>
    <w:rsid w:val="00FD58A0"/>
    <w:rsid w:val="00FE7957"/>
    <w:rsid w:val="00FF0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D7B87E0"/>
  <w15:chartTrackingRefBased/>
  <w15:docId w15:val="{7EBF4651-A7DC-814A-807D-81021D44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8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48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48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48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8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8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8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8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8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8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48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48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48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48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8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8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8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857"/>
    <w:rPr>
      <w:rFonts w:eastAsiaTheme="majorEastAsia" w:cstheme="majorBidi"/>
      <w:color w:val="272727" w:themeColor="text1" w:themeTint="D8"/>
    </w:rPr>
  </w:style>
  <w:style w:type="paragraph" w:styleId="Title">
    <w:name w:val="Title"/>
    <w:basedOn w:val="Normal"/>
    <w:next w:val="Normal"/>
    <w:link w:val="TitleChar"/>
    <w:uiPriority w:val="10"/>
    <w:qFormat/>
    <w:rsid w:val="00C048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8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8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8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857"/>
    <w:pPr>
      <w:spacing w:before="160"/>
      <w:jc w:val="center"/>
    </w:pPr>
    <w:rPr>
      <w:i/>
      <w:iCs/>
      <w:color w:val="404040" w:themeColor="text1" w:themeTint="BF"/>
    </w:rPr>
  </w:style>
  <w:style w:type="character" w:customStyle="1" w:styleId="QuoteChar">
    <w:name w:val="Quote Char"/>
    <w:basedOn w:val="DefaultParagraphFont"/>
    <w:link w:val="Quote"/>
    <w:uiPriority w:val="29"/>
    <w:rsid w:val="00C04857"/>
    <w:rPr>
      <w:i/>
      <w:iCs/>
      <w:color w:val="404040" w:themeColor="text1" w:themeTint="BF"/>
    </w:rPr>
  </w:style>
  <w:style w:type="paragraph" w:styleId="ListParagraph">
    <w:name w:val="List Paragraph"/>
    <w:basedOn w:val="Normal"/>
    <w:uiPriority w:val="34"/>
    <w:qFormat/>
    <w:rsid w:val="00C04857"/>
    <w:pPr>
      <w:ind w:left="720"/>
      <w:contextualSpacing/>
    </w:pPr>
  </w:style>
  <w:style w:type="character" w:styleId="IntenseEmphasis">
    <w:name w:val="Intense Emphasis"/>
    <w:basedOn w:val="DefaultParagraphFont"/>
    <w:uiPriority w:val="21"/>
    <w:qFormat/>
    <w:rsid w:val="00C04857"/>
    <w:rPr>
      <w:i/>
      <w:iCs/>
      <w:color w:val="0F4761" w:themeColor="accent1" w:themeShade="BF"/>
    </w:rPr>
  </w:style>
  <w:style w:type="paragraph" w:styleId="IntenseQuote">
    <w:name w:val="Intense Quote"/>
    <w:basedOn w:val="Normal"/>
    <w:next w:val="Normal"/>
    <w:link w:val="IntenseQuoteChar"/>
    <w:uiPriority w:val="30"/>
    <w:qFormat/>
    <w:rsid w:val="00C048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857"/>
    <w:rPr>
      <w:i/>
      <w:iCs/>
      <w:color w:val="0F4761" w:themeColor="accent1" w:themeShade="BF"/>
    </w:rPr>
  </w:style>
  <w:style w:type="character" w:styleId="IntenseReference">
    <w:name w:val="Intense Reference"/>
    <w:basedOn w:val="DefaultParagraphFont"/>
    <w:uiPriority w:val="32"/>
    <w:qFormat/>
    <w:rsid w:val="00C0485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7</Pages>
  <Words>1011</Words>
  <Characters>5766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 Sun</dc:creator>
  <cp:keywords/>
  <dc:description/>
  <cp:lastModifiedBy>Meng Sun</cp:lastModifiedBy>
  <cp:revision>148</cp:revision>
  <dcterms:created xsi:type="dcterms:W3CDTF">2024-07-31T22:36:00Z</dcterms:created>
  <dcterms:modified xsi:type="dcterms:W3CDTF">2025-10-12T18:43:00Z</dcterms:modified>
</cp:coreProperties>
</file>