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F32CB" w14:textId="77777777" w:rsidR="0071795D" w:rsidRDefault="0071795D" w:rsidP="0071795D">
      <w:pPr>
        <w:rPr>
          <w:b/>
          <w:bCs/>
          <w:sz w:val="32"/>
          <w:szCs w:val="32"/>
          <w:lang w:val="en-US"/>
        </w:rPr>
      </w:pPr>
      <w:r w:rsidRPr="004B57C5">
        <w:rPr>
          <w:b/>
          <w:bCs/>
          <w:sz w:val="32"/>
          <w:szCs w:val="32"/>
          <w:lang w:val="en-US"/>
        </w:rPr>
        <w:t xml:space="preserve">Supplementary </w:t>
      </w:r>
      <w:r>
        <w:rPr>
          <w:b/>
          <w:bCs/>
          <w:sz w:val="32"/>
          <w:szCs w:val="32"/>
          <w:lang w:val="en-US"/>
        </w:rPr>
        <w:t>m</w:t>
      </w:r>
      <w:r w:rsidRPr="004B57C5">
        <w:rPr>
          <w:b/>
          <w:bCs/>
          <w:sz w:val="32"/>
          <w:szCs w:val="32"/>
          <w:lang w:val="en-US"/>
        </w:rPr>
        <w:t>aterial</w:t>
      </w:r>
      <w:r>
        <w:rPr>
          <w:b/>
          <w:bCs/>
          <w:sz w:val="32"/>
          <w:szCs w:val="32"/>
          <w:lang w:val="en-US"/>
        </w:rPr>
        <w:t>s</w:t>
      </w:r>
      <w:r w:rsidRPr="004B57C5">
        <w:rPr>
          <w:b/>
          <w:bCs/>
          <w:sz w:val="32"/>
          <w:szCs w:val="32"/>
          <w:lang w:val="en-US"/>
        </w:rPr>
        <w:t xml:space="preserve"> and </w:t>
      </w:r>
      <w:r>
        <w:rPr>
          <w:b/>
          <w:bCs/>
          <w:sz w:val="32"/>
          <w:szCs w:val="32"/>
          <w:lang w:val="en-US"/>
        </w:rPr>
        <w:t>m</w:t>
      </w:r>
      <w:r w:rsidRPr="004B57C5">
        <w:rPr>
          <w:b/>
          <w:bCs/>
          <w:sz w:val="32"/>
          <w:szCs w:val="32"/>
          <w:lang w:val="en-US"/>
        </w:rPr>
        <w:t>ethods</w:t>
      </w:r>
    </w:p>
    <w:p w14:paraId="373C543D" w14:textId="77777777" w:rsidR="0071795D" w:rsidRDefault="0071795D" w:rsidP="0071795D">
      <w:pPr>
        <w:jc w:val="both"/>
        <w:rPr>
          <w:b/>
          <w:bCs/>
          <w:sz w:val="32"/>
          <w:szCs w:val="32"/>
          <w:lang w:val="en-US"/>
        </w:rPr>
      </w:pPr>
    </w:p>
    <w:p w14:paraId="20786E5F" w14:textId="77777777" w:rsidR="0071795D" w:rsidRPr="009E3193" w:rsidRDefault="0071795D" w:rsidP="0071795D">
      <w:pPr>
        <w:jc w:val="both"/>
        <w:rPr>
          <w:rFonts w:eastAsia="Segoe UI"/>
          <w:b/>
          <w:bCs/>
          <w:iCs/>
          <w:sz w:val="28"/>
          <w:szCs w:val="28"/>
          <w:lang w:val="en-US"/>
        </w:rPr>
      </w:pPr>
      <w:r w:rsidRPr="009E3193">
        <w:rPr>
          <w:rFonts w:eastAsia="Segoe UI"/>
          <w:b/>
          <w:bCs/>
          <w:iCs/>
          <w:sz w:val="28"/>
          <w:szCs w:val="28"/>
          <w:lang w:val="en-US"/>
        </w:rPr>
        <w:t>Generating input structures for MD simulations and thermalizing the simulation systems</w:t>
      </w:r>
    </w:p>
    <w:p w14:paraId="472EED8E" w14:textId="77777777" w:rsidR="0071795D" w:rsidRDefault="0071795D" w:rsidP="0071795D">
      <w:pPr>
        <w:jc w:val="both"/>
        <w:rPr>
          <w:rFonts w:eastAsia="Arial"/>
          <w:lang w:val="en-US"/>
        </w:rPr>
      </w:pPr>
    </w:p>
    <w:p w14:paraId="6E5C3F85" w14:textId="77777777" w:rsidR="0071795D" w:rsidRPr="0098548A" w:rsidRDefault="0071795D" w:rsidP="0071795D">
      <w:pPr>
        <w:jc w:val="both"/>
        <w:rPr>
          <w:rFonts w:eastAsia="Segoe UI"/>
          <w:sz w:val="20"/>
          <w:szCs w:val="20"/>
          <w:lang w:val="en-US"/>
        </w:rPr>
      </w:pPr>
      <w:r w:rsidRPr="0098548A">
        <w:rPr>
          <w:rFonts w:eastAsia="Arial"/>
          <w:sz w:val="20"/>
          <w:szCs w:val="20"/>
          <w:lang w:val="en-US"/>
        </w:rPr>
        <w:t xml:space="preserve">To generate input structures, a shell of at least 12 Å of TIP3P water, counterions, and enough KCl to reach a salt concentration of 150 mM were added to the structures of all variations using Packmol-Memgen. </w:t>
      </w:r>
      <w:r w:rsidRPr="0098548A">
        <w:rPr>
          <w:rFonts w:eastAsia="Segoe UI"/>
          <w:sz w:val="20"/>
          <w:szCs w:val="20"/>
          <w:lang w:val="en-US"/>
        </w:rPr>
        <w:t>To cope with long-range interactions, the “Particle Mesh Ewald” method was used; the SHAKE algorithm was applied to bonds involving hydrogen atoms and a direct-space, non-bonded cut-off of 8 Å was used. In the beginning, 17500 steps of steepest descent and conjugate gradient minimization were performed; during 2500, 10000, and 5000 steps positional harmonic restraints with force constants of 25 kcal mol</w:t>
      </w:r>
      <w:r w:rsidRPr="0098548A">
        <w:rPr>
          <w:rFonts w:eastAsia="Segoe UI"/>
          <w:sz w:val="20"/>
          <w:szCs w:val="20"/>
          <w:vertAlign w:val="superscript"/>
          <w:lang w:val="en-US"/>
        </w:rPr>
        <w:t>-1</w:t>
      </w:r>
      <w:r w:rsidRPr="0098548A">
        <w:rPr>
          <w:rFonts w:eastAsia="Segoe UI"/>
          <w:sz w:val="20"/>
          <w:szCs w:val="20"/>
          <w:lang w:val="en-US"/>
        </w:rPr>
        <w:t xml:space="preserve"> Å</w:t>
      </w:r>
      <w:r w:rsidRPr="0098548A">
        <w:rPr>
          <w:rFonts w:eastAsia="Segoe UI"/>
          <w:sz w:val="20"/>
          <w:szCs w:val="20"/>
          <w:vertAlign w:val="superscript"/>
          <w:lang w:val="en-US"/>
        </w:rPr>
        <w:noBreakHyphen/>
        <w:t>2</w:t>
      </w:r>
      <w:r w:rsidRPr="0098548A">
        <w:rPr>
          <w:rFonts w:eastAsia="Segoe UI"/>
          <w:sz w:val="20"/>
          <w:szCs w:val="20"/>
          <w:lang w:val="en-US"/>
        </w:rPr>
        <w:t>, 5 kcal mol</w:t>
      </w:r>
      <w:r w:rsidRPr="0098548A">
        <w:rPr>
          <w:rFonts w:eastAsia="Segoe UI"/>
          <w:sz w:val="20"/>
          <w:szCs w:val="20"/>
          <w:vertAlign w:val="superscript"/>
          <w:lang w:val="en-US"/>
        </w:rPr>
        <w:t>-1</w:t>
      </w:r>
      <w:r w:rsidRPr="0098548A">
        <w:rPr>
          <w:rFonts w:eastAsia="Segoe UI"/>
          <w:sz w:val="20"/>
          <w:szCs w:val="20"/>
          <w:lang w:val="en-US"/>
        </w:rPr>
        <w:t xml:space="preserve"> Å</w:t>
      </w:r>
      <w:r w:rsidRPr="0098548A">
        <w:rPr>
          <w:rFonts w:eastAsia="Segoe UI"/>
          <w:sz w:val="20"/>
          <w:szCs w:val="20"/>
          <w:vertAlign w:val="superscript"/>
          <w:lang w:val="en-US"/>
        </w:rPr>
        <w:t>-2</w:t>
      </w:r>
      <w:r w:rsidRPr="0098548A">
        <w:rPr>
          <w:rFonts w:eastAsia="Segoe UI"/>
          <w:sz w:val="20"/>
          <w:szCs w:val="20"/>
          <w:lang w:val="en-US"/>
        </w:rPr>
        <w:t>, and zero, respectively, were applied to the solute atoms. Thereafter, 50 ps of NVT (constant number of particles, volume, and temperature) MD simulations were conducted to heat the system to 100 K, followed by 300 ps of NPT (constant number of particles, pressure, and temperature) MD simulations to adjust the density of the simulation box to a pressure of 1 atm and to heat the system to 300 K. During these steps, a harmonic potential with a force constant of 10 kcal mol</w:t>
      </w:r>
      <w:r w:rsidRPr="0098548A">
        <w:rPr>
          <w:rFonts w:eastAsia="Segoe UI"/>
          <w:sz w:val="20"/>
          <w:szCs w:val="20"/>
          <w:vertAlign w:val="superscript"/>
          <w:lang w:val="en-US"/>
        </w:rPr>
        <w:t>1</w:t>
      </w:r>
      <w:r w:rsidRPr="0098548A">
        <w:rPr>
          <w:rFonts w:eastAsia="Segoe UI"/>
          <w:sz w:val="20"/>
          <w:szCs w:val="20"/>
          <w:lang w:val="en-US"/>
        </w:rPr>
        <w:t xml:space="preserve"> Å</w:t>
      </w:r>
      <w:r w:rsidRPr="0098548A">
        <w:rPr>
          <w:rFonts w:eastAsia="Segoe UI"/>
          <w:sz w:val="20"/>
          <w:szCs w:val="20"/>
          <w:vertAlign w:val="superscript"/>
          <w:lang w:val="en-US"/>
        </w:rPr>
        <w:t>-2</w:t>
      </w:r>
      <w:r w:rsidRPr="0098548A">
        <w:rPr>
          <w:rFonts w:eastAsia="Segoe UI"/>
          <w:sz w:val="20"/>
          <w:szCs w:val="20"/>
          <w:lang w:val="en-US"/>
        </w:rPr>
        <w:t xml:space="preserve"> was applied to the solute atoms. As the final step in thermalization, 300 ps of NVT-MD simulations were performed, while gradually reducing the restraint forces on the solute atoms to zero within the first 100 ps of this step. </w:t>
      </w:r>
    </w:p>
    <w:p w14:paraId="63FDB079" w14:textId="77777777" w:rsidR="0071795D" w:rsidRDefault="0071795D" w:rsidP="0071795D">
      <w:pPr>
        <w:jc w:val="both"/>
        <w:rPr>
          <w:rFonts w:eastAsia="Segoe UI"/>
          <w:i/>
          <w:lang w:val="en-US"/>
        </w:rPr>
      </w:pPr>
    </w:p>
    <w:p w14:paraId="1668062C" w14:textId="77777777" w:rsidR="0071795D" w:rsidRPr="00041142" w:rsidRDefault="0071795D" w:rsidP="0071795D">
      <w:pPr>
        <w:jc w:val="both"/>
        <w:rPr>
          <w:rFonts w:eastAsia="Segoe UI"/>
          <w:b/>
          <w:bCs/>
          <w:iCs/>
          <w:sz w:val="28"/>
          <w:szCs w:val="28"/>
          <w:lang w:val="en-US"/>
        </w:rPr>
      </w:pPr>
      <w:r w:rsidRPr="00041142">
        <w:rPr>
          <w:rFonts w:eastAsia="Segoe UI"/>
          <w:b/>
          <w:bCs/>
          <w:iCs/>
          <w:sz w:val="28"/>
          <w:szCs w:val="28"/>
          <w:lang w:val="en-US"/>
        </w:rPr>
        <w:t>Details for training a perceptron</w:t>
      </w:r>
    </w:p>
    <w:p w14:paraId="2FC19543" w14:textId="77777777" w:rsidR="0071795D" w:rsidRDefault="0071795D" w:rsidP="0071795D">
      <w:pPr>
        <w:jc w:val="both"/>
        <w:rPr>
          <w:rFonts w:eastAsia="Segoe UI"/>
          <w:lang w:val="en-US"/>
        </w:rPr>
      </w:pPr>
    </w:p>
    <w:p w14:paraId="3087E58F" w14:textId="77777777" w:rsidR="0071795D" w:rsidRPr="00BA0362" w:rsidRDefault="0071795D" w:rsidP="0071795D">
      <w:pPr>
        <w:jc w:val="both"/>
        <w:rPr>
          <w:rFonts w:eastAsia="Segoe UI"/>
          <w:sz w:val="20"/>
          <w:szCs w:val="20"/>
          <w:lang w:val="en-US"/>
        </w:rPr>
      </w:pPr>
      <w:r w:rsidRPr="00BA0362">
        <w:rPr>
          <w:rFonts w:eastAsia="Segoe UI"/>
          <w:sz w:val="20"/>
          <w:szCs w:val="20"/>
          <w:lang w:val="en-US"/>
        </w:rPr>
        <w:t xml:space="preserve">To classify the variations into those with a more severe or less severe clinical outcome, their folding free energy and their capability to have RNA remaining bound in MD simulations were used as descriptors. A perceptron was trained using a Python3.9 script. For performing the logistic regression, the following libraries were used: </w:t>
      </w:r>
      <w:r w:rsidRPr="00BA0362">
        <w:rPr>
          <w:rFonts w:eastAsia="Segoe UI"/>
          <w:i/>
          <w:iCs/>
          <w:sz w:val="20"/>
          <w:szCs w:val="20"/>
          <w:lang w:val="en-US"/>
        </w:rPr>
        <w:t>pandas</w:t>
      </w:r>
      <w:r w:rsidRPr="00BA0362">
        <w:rPr>
          <w:rFonts w:eastAsia="Segoe UI"/>
          <w:sz w:val="20"/>
          <w:szCs w:val="20"/>
          <w:lang w:val="en-US"/>
        </w:rPr>
        <w:t xml:space="preserve">for data handling, </w:t>
      </w:r>
      <w:r w:rsidRPr="00BA0362">
        <w:rPr>
          <w:rFonts w:eastAsia="Segoe UI"/>
          <w:i/>
          <w:sz w:val="20"/>
          <w:szCs w:val="20"/>
          <w:lang w:val="en-US"/>
        </w:rPr>
        <w:t>numpy</w:t>
      </w:r>
      <w:r w:rsidRPr="00BA0362">
        <w:rPr>
          <w:rFonts w:eastAsia="Segoe UI"/>
          <w:sz w:val="20"/>
          <w:szCs w:val="20"/>
          <w:lang w:val="en-US"/>
        </w:rPr>
        <w:t xml:space="preserve">for data transformation, </w:t>
      </w:r>
      <w:r w:rsidRPr="00BA0362">
        <w:rPr>
          <w:rFonts w:eastAsia="Segoe UI"/>
          <w:i/>
          <w:sz w:val="20"/>
          <w:szCs w:val="20"/>
          <w:lang w:val="en-US"/>
        </w:rPr>
        <w:t xml:space="preserve">scikit learn </w:t>
      </w:r>
      <w:r w:rsidRPr="00BA0362">
        <w:rPr>
          <w:rFonts w:eastAsia="Segoe UI"/>
          <w:sz w:val="20"/>
          <w:szCs w:val="20"/>
          <w:lang w:val="en-US"/>
        </w:rPr>
        <w:t xml:space="preserve">for ROC (Receiver Operator Characteristics) metrics, F1-score, and data scaling, </w:t>
      </w:r>
      <w:r w:rsidRPr="00BA0362">
        <w:rPr>
          <w:rFonts w:eastAsia="Segoe UI"/>
          <w:i/>
          <w:sz w:val="20"/>
          <w:szCs w:val="20"/>
          <w:lang w:val="en-US"/>
        </w:rPr>
        <w:t xml:space="preserve">scipy </w:t>
      </w:r>
      <w:r w:rsidRPr="00BA0362">
        <w:rPr>
          <w:rFonts w:eastAsia="Segoe UI"/>
          <w:sz w:val="20"/>
          <w:szCs w:val="20"/>
          <w:lang w:val="en-US"/>
        </w:rPr>
        <w:t xml:space="preserve">for fitting the linear decision boundary for the perceptron, and </w:t>
      </w:r>
      <w:r w:rsidRPr="00BA0362">
        <w:rPr>
          <w:rFonts w:eastAsia="Segoe UI"/>
          <w:i/>
          <w:sz w:val="20"/>
          <w:szCs w:val="20"/>
          <w:lang w:val="en-US"/>
        </w:rPr>
        <w:t xml:space="preserve">matplotlib </w:t>
      </w:r>
      <w:r w:rsidRPr="00BA0362">
        <w:rPr>
          <w:rFonts w:eastAsia="Segoe UI"/>
          <w:sz w:val="20"/>
          <w:szCs w:val="20"/>
          <w:lang w:val="en-US"/>
        </w:rPr>
        <w:t xml:space="preserve">for plotting. </w:t>
      </w:r>
    </w:p>
    <w:p w14:paraId="687E7DF5" w14:textId="77777777" w:rsidR="0071795D" w:rsidRPr="00BA0362" w:rsidRDefault="0071795D" w:rsidP="0071795D">
      <w:pPr>
        <w:jc w:val="both"/>
        <w:rPr>
          <w:rFonts w:eastAsia="Segoe UI"/>
          <w:sz w:val="20"/>
          <w:szCs w:val="20"/>
          <w:lang w:val="en-US"/>
        </w:rPr>
      </w:pPr>
      <w:r w:rsidRPr="00BA0362">
        <w:rPr>
          <w:rFonts w:eastAsia="Segoe UI"/>
          <w:sz w:val="20"/>
          <w:szCs w:val="20"/>
          <w:lang w:val="en-US"/>
        </w:rPr>
        <w:t>For the line fitting, scipy’s “minimize" function was used with 10,000 maximum iterations. This minimized a function with a random slope and y-axis intercept as input and the negative F1-score as the output. The F1-score was calculated for points above the line being “class 1”, i.e., less severe cases, or for points below the line being “class 1”. The line fitting was performed 10000 times for each cutoff (5000 times each for the points above and below the line being “class 1”), and the line resulting in the best F1 score was chosen for the cutoff. The obtained decision boundary was plotted.</w:t>
      </w:r>
    </w:p>
    <w:p w14:paraId="57B30621" w14:textId="77777777" w:rsidR="0071795D" w:rsidRDefault="0071795D" w:rsidP="0071795D">
      <w:pPr>
        <w:jc w:val="both"/>
        <w:rPr>
          <w:rFonts w:eastAsia="Segoe UI"/>
          <w:lang w:val="en-US"/>
        </w:rPr>
      </w:pPr>
    </w:p>
    <w:p w14:paraId="09FF0FEF" w14:textId="77777777" w:rsidR="0071795D" w:rsidRDefault="0071795D" w:rsidP="0071795D">
      <w:pPr>
        <w:jc w:val="both"/>
        <w:rPr>
          <w:b/>
          <w:bCs/>
          <w:sz w:val="32"/>
          <w:szCs w:val="32"/>
          <w:lang w:val="en-US"/>
        </w:rPr>
      </w:pPr>
      <w:r w:rsidRPr="004B57C5">
        <w:rPr>
          <w:b/>
          <w:bCs/>
          <w:sz w:val="32"/>
          <w:szCs w:val="32"/>
          <w:lang w:val="en-US"/>
        </w:rPr>
        <w:t xml:space="preserve">Supplementary </w:t>
      </w:r>
      <w:r>
        <w:rPr>
          <w:b/>
          <w:bCs/>
          <w:sz w:val="32"/>
          <w:szCs w:val="32"/>
          <w:lang w:val="en-US"/>
        </w:rPr>
        <w:t>results</w:t>
      </w:r>
    </w:p>
    <w:p w14:paraId="1913058A" w14:textId="77777777" w:rsidR="0071795D" w:rsidRPr="009B491F" w:rsidRDefault="0071795D" w:rsidP="0071795D">
      <w:pPr>
        <w:jc w:val="both"/>
        <w:rPr>
          <w:b/>
          <w:bCs/>
          <w:lang w:val="en-US"/>
        </w:rPr>
      </w:pPr>
    </w:p>
    <w:p w14:paraId="09C83E14" w14:textId="77777777" w:rsidR="0071795D" w:rsidRPr="00041142" w:rsidRDefault="0071795D" w:rsidP="0071795D">
      <w:pPr>
        <w:jc w:val="both"/>
        <w:rPr>
          <w:b/>
          <w:bCs/>
          <w:sz w:val="28"/>
          <w:szCs w:val="28"/>
          <w:lang w:val="en-US"/>
        </w:rPr>
      </w:pPr>
      <w:r w:rsidRPr="00041142">
        <w:rPr>
          <w:b/>
          <w:bCs/>
          <w:sz w:val="28"/>
          <w:szCs w:val="28"/>
          <w:lang w:val="en-US"/>
        </w:rPr>
        <w:t>Intellectual disability</w:t>
      </w:r>
    </w:p>
    <w:p w14:paraId="6202288E" w14:textId="77777777" w:rsidR="0071795D" w:rsidRPr="009B491F" w:rsidRDefault="0071795D" w:rsidP="0071795D">
      <w:pPr>
        <w:jc w:val="both"/>
        <w:rPr>
          <w:b/>
          <w:bCs/>
          <w:lang w:val="en-US"/>
        </w:rPr>
      </w:pPr>
    </w:p>
    <w:p w14:paraId="07DABEA2" w14:textId="77777777" w:rsidR="0071795D" w:rsidRPr="00BA0362" w:rsidRDefault="0071795D" w:rsidP="0071795D">
      <w:pPr>
        <w:jc w:val="both"/>
        <w:rPr>
          <w:sz w:val="20"/>
          <w:szCs w:val="20"/>
          <w:lang w:val="en-US"/>
        </w:rPr>
      </w:pPr>
      <w:r w:rsidRPr="00BA0362">
        <w:rPr>
          <w:sz w:val="20"/>
          <w:szCs w:val="20"/>
          <w:lang w:val="en-US"/>
        </w:rPr>
        <w:t xml:space="preserve">Among the 20 female patients with measured ID grade, mild ID is revealed in 5, moderate ID in 12, and severe ID in 3 patients. Five mild ID patients harbor 4 nonsense (2 splice site and 2 stop-codon) variants </w:t>
      </w:r>
      <w:r w:rsidRPr="00BA0362">
        <w:rPr>
          <w:color w:val="000000"/>
          <w:sz w:val="20"/>
          <w:szCs w:val="20"/>
          <w:lang w:val="en-US"/>
        </w:rPr>
        <w:t xml:space="preserve">(80%) </w:t>
      </w:r>
      <w:r w:rsidRPr="00BA0362">
        <w:rPr>
          <w:sz w:val="20"/>
          <w:szCs w:val="20"/>
          <w:lang w:val="en-US"/>
        </w:rPr>
        <w:t>and 1 in-frame deletion</w:t>
      </w:r>
      <w:r w:rsidRPr="00BA0362">
        <w:rPr>
          <w:color w:val="000000"/>
          <w:sz w:val="20"/>
          <w:szCs w:val="20"/>
          <w:lang w:val="en-US"/>
        </w:rPr>
        <w:t xml:space="preserve"> variant (20%);</w:t>
      </w:r>
      <w:r w:rsidRPr="00BA0362">
        <w:rPr>
          <w:sz w:val="20"/>
          <w:szCs w:val="20"/>
          <w:lang w:val="en-US"/>
        </w:rPr>
        <w:t xml:space="preserve"> twelve moderate ID patients harbor 8 nonsense (4 frameshift deletion, 3 stop-codon, 1 splice site) variants </w:t>
      </w:r>
      <w:r w:rsidRPr="00BA0362">
        <w:rPr>
          <w:color w:val="000000"/>
          <w:sz w:val="20"/>
          <w:szCs w:val="20"/>
          <w:lang w:val="en-US"/>
        </w:rPr>
        <w:t xml:space="preserve">(66.6%) and 4 </w:t>
      </w:r>
      <w:r w:rsidRPr="00BA0362">
        <w:rPr>
          <w:sz w:val="20"/>
          <w:szCs w:val="20"/>
          <w:lang w:val="en-US"/>
        </w:rPr>
        <w:t xml:space="preserve">missense </w:t>
      </w:r>
      <w:r w:rsidRPr="00BA0362">
        <w:rPr>
          <w:color w:val="000000"/>
          <w:sz w:val="20"/>
          <w:szCs w:val="20"/>
          <w:lang w:val="en-US"/>
        </w:rPr>
        <w:t xml:space="preserve">variants (33.3%); three </w:t>
      </w:r>
      <w:r w:rsidRPr="00BA0362">
        <w:rPr>
          <w:sz w:val="20"/>
          <w:szCs w:val="20"/>
          <w:lang w:val="en-US"/>
        </w:rPr>
        <w:t xml:space="preserve">severe ID patients harbor 3 nonsense (1 stop-codon, 1 splice site, 1 frameshift deletion) variants </w:t>
      </w:r>
      <w:r w:rsidRPr="00BA0362">
        <w:rPr>
          <w:color w:val="000000"/>
          <w:sz w:val="20"/>
          <w:szCs w:val="20"/>
          <w:lang w:val="en-US"/>
        </w:rPr>
        <w:t>(100%</w:t>
      </w:r>
      <w:r w:rsidRPr="00BA0362">
        <w:rPr>
          <w:color w:val="000000" w:themeColor="text1"/>
          <w:sz w:val="20"/>
          <w:szCs w:val="20"/>
          <w:lang w:val="en-US"/>
        </w:rPr>
        <w:t>)</w:t>
      </w:r>
      <w:r w:rsidRPr="00BA0362">
        <w:rPr>
          <w:i/>
          <w:iCs/>
          <w:color w:val="000000" w:themeColor="text1"/>
          <w:sz w:val="20"/>
          <w:szCs w:val="20"/>
          <w:lang w:val="en-US"/>
        </w:rPr>
        <w:t>.</w:t>
      </w:r>
    </w:p>
    <w:p w14:paraId="6DD007AB" w14:textId="77777777" w:rsidR="0071795D" w:rsidRPr="00BA0362" w:rsidRDefault="0071795D" w:rsidP="0071795D">
      <w:pPr>
        <w:jc w:val="both"/>
        <w:rPr>
          <w:color w:val="000000"/>
          <w:sz w:val="20"/>
          <w:szCs w:val="20"/>
          <w:lang w:val="en-US"/>
        </w:rPr>
      </w:pPr>
      <w:r w:rsidRPr="00BA0362">
        <w:rPr>
          <w:sz w:val="20"/>
          <w:szCs w:val="20"/>
          <w:lang w:val="en-US"/>
        </w:rPr>
        <w:t xml:space="preserve">Among the 24 female patients without a standard IQ test, a classification into one of five ID subgroups (mild, mild-moderate, moderate, moderate-severe, and severe) is done by the managing clinician after several clinical observations. Three patients with mild ID harbor 2 </w:t>
      </w:r>
      <w:r w:rsidRPr="00BA0362">
        <w:rPr>
          <w:color w:val="000000"/>
          <w:sz w:val="20"/>
          <w:szCs w:val="20"/>
          <w:lang w:val="en-US"/>
        </w:rPr>
        <w:t xml:space="preserve">missense (66.6%) and 1 splice site (33.3%) variants; </w:t>
      </w:r>
      <w:r w:rsidRPr="00BA0362">
        <w:rPr>
          <w:sz w:val="20"/>
          <w:szCs w:val="20"/>
          <w:lang w:val="en-US"/>
        </w:rPr>
        <w:t xml:space="preserve">two patients with mild-moderate ID harbor 1 missense and 1 in-frame deletion variants; six patients with moderate ID harbor 1 in-frame </w:t>
      </w:r>
      <w:r w:rsidRPr="00BA0362">
        <w:rPr>
          <w:color w:val="000000"/>
          <w:sz w:val="20"/>
          <w:szCs w:val="20"/>
          <w:lang w:val="en-US"/>
        </w:rPr>
        <w:t xml:space="preserve">deletion (16.6%), 2 missense (33.4%), </w:t>
      </w:r>
      <w:r w:rsidRPr="00BA0362">
        <w:rPr>
          <w:sz w:val="20"/>
          <w:szCs w:val="20"/>
          <w:lang w:val="en-US"/>
        </w:rPr>
        <w:t xml:space="preserve">3 nonsense (1 splice site, 1 stop-gain, and 1 frameshift duplication) </w:t>
      </w:r>
      <w:r w:rsidRPr="00BA0362">
        <w:rPr>
          <w:color w:val="000000"/>
          <w:sz w:val="20"/>
          <w:szCs w:val="20"/>
          <w:lang w:val="en-US"/>
        </w:rPr>
        <w:t xml:space="preserve">variants (50%); </w:t>
      </w:r>
      <w:r w:rsidRPr="00BA0362">
        <w:rPr>
          <w:sz w:val="20"/>
          <w:szCs w:val="20"/>
          <w:lang w:val="en-US"/>
        </w:rPr>
        <w:t xml:space="preserve">1 patient with moderate-severe ID harbors 1 missense variant; </w:t>
      </w:r>
      <w:r w:rsidRPr="00BA0362">
        <w:rPr>
          <w:color w:val="000000"/>
          <w:sz w:val="20"/>
          <w:szCs w:val="20"/>
          <w:lang w:val="en-US"/>
        </w:rPr>
        <w:t>twelve patients with severe ID harbor 10 missense (83.3%) and 2 frameshift deletion variants (16.7%)</w:t>
      </w:r>
      <w:r w:rsidRPr="00BA0362">
        <w:rPr>
          <w:i/>
          <w:iCs/>
          <w:color w:val="000000" w:themeColor="text1"/>
          <w:sz w:val="20"/>
          <w:szCs w:val="20"/>
          <w:lang w:val="en-US"/>
        </w:rPr>
        <w:t>.</w:t>
      </w:r>
    </w:p>
    <w:p w14:paraId="60C31B83" w14:textId="77777777" w:rsidR="0071795D" w:rsidRPr="00BA0362" w:rsidRDefault="0071795D" w:rsidP="0071795D">
      <w:pPr>
        <w:jc w:val="both"/>
        <w:rPr>
          <w:sz w:val="20"/>
          <w:szCs w:val="20"/>
          <w:lang w:val="en-US"/>
        </w:rPr>
      </w:pPr>
      <w:r w:rsidRPr="00BA0362">
        <w:rPr>
          <w:sz w:val="20"/>
          <w:szCs w:val="20"/>
          <w:lang w:val="en-US"/>
        </w:rPr>
        <w:t xml:space="preserve">Out of all 44 female patients with measured and estimated ID, ten patients with mild-to-moderate ID harbor 5 nonsense (3 splice site and 2 stop-gain) </w:t>
      </w:r>
      <w:r w:rsidRPr="00BA0362">
        <w:rPr>
          <w:color w:val="000000"/>
          <w:sz w:val="20"/>
          <w:szCs w:val="20"/>
          <w:lang w:val="en-US"/>
        </w:rPr>
        <w:t>variants (50%), 2 in-frame deletion variants (20%), and 3 missense (30%) variants; nin</w:t>
      </w:r>
      <w:r w:rsidRPr="00BA0362">
        <w:rPr>
          <w:sz w:val="20"/>
          <w:szCs w:val="20"/>
          <w:lang w:val="en-US"/>
        </w:rPr>
        <w:t xml:space="preserve">eteen </w:t>
      </w:r>
      <w:r w:rsidRPr="00BA0362">
        <w:rPr>
          <w:color w:val="000000"/>
          <w:sz w:val="20"/>
          <w:szCs w:val="20"/>
          <w:lang w:val="en-US"/>
        </w:rPr>
        <w:t xml:space="preserve">patients with moderate-to-severe ID harbor 11 nonsense (1 frameshift duplication, 4 frameshift deletion, 4 stop-gain, and 2 splice site) variants (58%), 1 in-frame deletion variant (5%), and 7 missense variants (37%); fifteen </w:t>
      </w:r>
      <w:r w:rsidRPr="00BA0362">
        <w:rPr>
          <w:sz w:val="20"/>
          <w:szCs w:val="20"/>
          <w:lang w:val="en-US"/>
        </w:rPr>
        <w:t xml:space="preserve">patients with severe ID harbor 5 nonsense (1 stop-gain, 1 splice site, and 3 frameshift deletion) </w:t>
      </w:r>
      <w:r w:rsidRPr="00BA0362">
        <w:rPr>
          <w:color w:val="000000"/>
          <w:sz w:val="20"/>
          <w:szCs w:val="20"/>
          <w:lang w:val="en-US"/>
        </w:rPr>
        <w:t xml:space="preserve">variants (33.3%) and </w:t>
      </w:r>
      <w:r w:rsidRPr="00BA0362">
        <w:rPr>
          <w:sz w:val="20"/>
          <w:szCs w:val="20"/>
          <w:lang w:val="en-US"/>
        </w:rPr>
        <w:t xml:space="preserve">10 missense variants (66.6%). </w:t>
      </w:r>
    </w:p>
    <w:p w14:paraId="38035C1D" w14:textId="77777777" w:rsidR="0071795D" w:rsidRPr="004B57C5" w:rsidRDefault="0071795D" w:rsidP="0071795D">
      <w:pPr>
        <w:jc w:val="both"/>
        <w:rPr>
          <w:b/>
          <w:bCs/>
          <w:sz w:val="32"/>
          <w:szCs w:val="32"/>
          <w:lang w:val="en-US"/>
        </w:rPr>
      </w:pPr>
    </w:p>
    <w:p w14:paraId="2E770D71" w14:textId="77777777" w:rsidR="00F553FF" w:rsidRDefault="00F553FF"/>
    <w:sectPr w:rsidR="00F553FF" w:rsidSect="0071795D">
      <w:headerReference w:type="even" r:id="rId4"/>
      <w:headerReference w:type="default" r:id="rId5"/>
      <w:footerReference w:type="even" r:id="rId6"/>
      <w:footerReference w:type="default" r:id="rId7"/>
      <w:headerReference w:type="first" r:id="rId8"/>
      <w:footerReference w:type="first" r:id="rId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92309699"/>
      <w:docPartObj>
        <w:docPartGallery w:val="Page Numbers (Bottom of Page)"/>
        <w:docPartUnique/>
      </w:docPartObj>
    </w:sdtPr>
    <w:sdtContent>
      <w:p w14:paraId="5460BCA6" w14:textId="77777777" w:rsidR="0071795D" w:rsidRDefault="0071795D" w:rsidP="00D0024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3221A5" w14:textId="77777777" w:rsidR="0071795D" w:rsidRDefault="007179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85910302"/>
      <w:docPartObj>
        <w:docPartGallery w:val="Page Numbers (Bottom of Page)"/>
        <w:docPartUnique/>
      </w:docPartObj>
    </w:sdtPr>
    <w:sdtContent>
      <w:p w14:paraId="5F317ECC" w14:textId="77777777" w:rsidR="0071795D" w:rsidRDefault="0071795D" w:rsidP="00D0024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24</w:t>
        </w:r>
        <w:r>
          <w:rPr>
            <w:rStyle w:val="PageNumber"/>
          </w:rPr>
          <w:fldChar w:fldCharType="end"/>
        </w:r>
      </w:p>
    </w:sdtContent>
  </w:sdt>
  <w:p w14:paraId="08DA3CBE" w14:textId="77777777" w:rsidR="0071795D" w:rsidRDefault="007179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90038" w14:textId="77777777" w:rsidR="0071795D" w:rsidRDefault="0071795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1911C" w14:textId="77777777" w:rsidR="0071795D" w:rsidRDefault="007179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78FAE" w14:textId="77777777" w:rsidR="0071795D" w:rsidRDefault="007179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EBBEC" w14:textId="77777777" w:rsidR="0071795D" w:rsidRDefault="007179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95D"/>
    <w:rsid w:val="00292F0C"/>
    <w:rsid w:val="003C2EF4"/>
    <w:rsid w:val="00446799"/>
    <w:rsid w:val="006A7E07"/>
    <w:rsid w:val="00701021"/>
    <w:rsid w:val="0071795D"/>
    <w:rsid w:val="00921328"/>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6B7B5"/>
  <w15:chartTrackingRefBased/>
  <w15:docId w15:val="{F6A497C2-3DC0-4E63-8564-67B53D963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95D"/>
    <w:pPr>
      <w:spacing w:after="0" w:line="240" w:lineRule="auto"/>
    </w:pPr>
    <w:rPr>
      <w:rFonts w:ascii="Times New Roman" w:eastAsia="Times New Roman" w:hAnsi="Times New Roman" w:cs="Times New Roman"/>
      <w:kern w:val="0"/>
      <w:lang w:val="de-DE" w:eastAsia="de-DE"/>
      <w14:ligatures w14:val="none"/>
    </w:rPr>
  </w:style>
  <w:style w:type="paragraph" w:styleId="Heading1">
    <w:name w:val="heading 1"/>
    <w:basedOn w:val="Normal"/>
    <w:next w:val="Normal"/>
    <w:link w:val="Heading1Char"/>
    <w:uiPriority w:val="9"/>
    <w:qFormat/>
    <w:rsid w:val="0071795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71795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71795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71795D"/>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71795D"/>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71795D"/>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71795D"/>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71795D"/>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71795D"/>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9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79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9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9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9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9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9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9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95D"/>
    <w:rPr>
      <w:rFonts w:eastAsiaTheme="majorEastAsia" w:cstheme="majorBidi"/>
      <w:color w:val="272727" w:themeColor="text1" w:themeTint="D8"/>
    </w:rPr>
  </w:style>
  <w:style w:type="paragraph" w:styleId="Title">
    <w:name w:val="Title"/>
    <w:basedOn w:val="Normal"/>
    <w:next w:val="Normal"/>
    <w:link w:val="TitleChar"/>
    <w:uiPriority w:val="10"/>
    <w:qFormat/>
    <w:rsid w:val="0071795D"/>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7179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95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7179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95D"/>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71795D"/>
    <w:rPr>
      <w:i/>
      <w:iCs/>
      <w:color w:val="404040" w:themeColor="text1" w:themeTint="BF"/>
    </w:rPr>
  </w:style>
  <w:style w:type="paragraph" w:styleId="ListParagraph">
    <w:name w:val="List Paragraph"/>
    <w:basedOn w:val="Normal"/>
    <w:uiPriority w:val="34"/>
    <w:qFormat/>
    <w:rsid w:val="0071795D"/>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71795D"/>
    <w:rPr>
      <w:i/>
      <w:iCs/>
      <w:color w:val="0F4761" w:themeColor="accent1" w:themeShade="BF"/>
    </w:rPr>
  </w:style>
  <w:style w:type="paragraph" w:styleId="IntenseQuote">
    <w:name w:val="Intense Quote"/>
    <w:basedOn w:val="Normal"/>
    <w:next w:val="Normal"/>
    <w:link w:val="IntenseQuoteChar"/>
    <w:uiPriority w:val="30"/>
    <w:qFormat/>
    <w:rsid w:val="0071795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71795D"/>
    <w:rPr>
      <w:i/>
      <w:iCs/>
      <w:color w:val="0F4761" w:themeColor="accent1" w:themeShade="BF"/>
    </w:rPr>
  </w:style>
  <w:style w:type="character" w:styleId="IntenseReference">
    <w:name w:val="Intense Reference"/>
    <w:basedOn w:val="DefaultParagraphFont"/>
    <w:uiPriority w:val="32"/>
    <w:qFormat/>
    <w:rsid w:val="0071795D"/>
    <w:rPr>
      <w:b/>
      <w:bCs/>
      <w:smallCaps/>
      <w:color w:val="0F4761" w:themeColor="accent1" w:themeShade="BF"/>
      <w:spacing w:val="5"/>
    </w:rPr>
  </w:style>
  <w:style w:type="paragraph" w:styleId="Header">
    <w:name w:val="header"/>
    <w:basedOn w:val="Normal"/>
    <w:link w:val="HeaderChar"/>
    <w:uiPriority w:val="99"/>
    <w:unhideWhenUsed/>
    <w:rsid w:val="0071795D"/>
    <w:pPr>
      <w:tabs>
        <w:tab w:val="center" w:pos="4536"/>
        <w:tab w:val="right" w:pos="9072"/>
      </w:tabs>
    </w:pPr>
  </w:style>
  <w:style w:type="character" w:customStyle="1" w:styleId="HeaderChar">
    <w:name w:val="Header Char"/>
    <w:basedOn w:val="DefaultParagraphFont"/>
    <w:link w:val="Header"/>
    <w:uiPriority w:val="99"/>
    <w:rsid w:val="0071795D"/>
    <w:rPr>
      <w:rFonts w:ascii="Times New Roman" w:eastAsia="Times New Roman" w:hAnsi="Times New Roman" w:cs="Times New Roman"/>
      <w:kern w:val="0"/>
      <w:lang w:val="de-DE" w:eastAsia="de-DE"/>
      <w14:ligatures w14:val="none"/>
    </w:rPr>
  </w:style>
  <w:style w:type="paragraph" w:styleId="Footer">
    <w:name w:val="footer"/>
    <w:basedOn w:val="Normal"/>
    <w:link w:val="FooterChar"/>
    <w:uiPriority w:val="99"/>
    <w:unhideWhenUsed/>
    <w:rsid w:val="0071795D"/>
    <w:pPr>
      <w:tabs>
        <w:tab w:val="center" w:pos="4536"/>
        <w:tab w:val="right" w:pos="9072"/>
      </w:tabs>
    </w:pPr>
  </w:style>
  <w:style w:type="character" w:customStyle="1" w:styleId="FooterChar">
    <w:name w:val="Footer Char"/>
    <w:basedOn w:val="DefaultParagraphFont"/>
    <w:link w:val="Footer"/>
    <w:uiPriority w:val="99"/>
    <w:rsid w:val="0071795D"/>
    <w:rPr>
      <w:rFonts w:ascii="Times New Roman" w:eastAsia="Times New Roman" w:hAnsi="Times New Roman" w:cs="Times New Roman"/>
      <w:kern w:val="0"/>
      <w:lang w:val="de-DE" w:eastAsia="de-DE"/>
      <w14:ligatures w14:val="none"/>
    </w:rPr>
  </w:style>
  <w:style w:type="character" w:styleId="PageNumber">
    <w:name w:val="page number"/>
    <w:basedOn w:val="DefaultParagraphFont"/>
    <w:uiPriority w:val="99"/>
    <w:semiHidden/>
    <w:unhideWhenUsed/>
    <w:rsid w:val="007179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692</Words>
  <Characters>3931</Characters>
  <Application>Microsoft Office Word</Application>
  <DocSecurity>0</DocSecurity>
  <Lines>56</Lines>
  <Paragraphs>16</Paragraphs>
  <ScaleCrop>false</ScaleCrop>
  <Company>Springer Nature</Company>
  <LinksUpToDate>false</LinksUpToDate>
  <CharactersWithSpaces>4607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2025-11-11T09:04:00Z</dcterms:created>
  <dcterms:modified xsi:type="dcterms:W3CDTF">2025-11-11T09:04:00Z</dcterms:modified>
</cp:coreProperties>
</file>