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1721"/>
        <w:gridCol w:w="4917"/>
        <w:gridCol w:w="2733"/>
      </w:tblGrid>
      <w:tr w:rsidR="00CE6BBC" w14:paraId="3EBACFFE" w14:textId="77777777" w:rsidTr="00E568E5">
        <w:trPr>
          <w:trHeight w:val="900"/>
        </w:trPr>
        <w:tc>
          <w:tcPr>
            <w:tcW w:w="1721" w:type="dxa"/>
            <w:tcBorders>
              <w:top w:val="single" w:sz="4" w:space="0" w:color="5B9BD5"/>
              <w:left w:val="single" w:sz="4" w:space="0" w:color="5B9BD5"/>
              <w:bottom w:val="single" w:sz="4" w:space="0" w:color="9BC2E6"/>
              <w:right w:val="nil"/>
            </w:tcBorders>
            <w:shd w:val="clear" w:color="5B9BD5" w:fill="5B9BD5"/>
            <w:vAlign w:val="center"/>
          </w:tcPr>
          <w:p w14:paraId="56A0A63E" w14:textId="77777777" w:rsidR="00CE6BBC" w:rsidRDefault="00CE6BBC" w:rsidP="00E568E5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eastAsia="SimSun" w:hAnsi="Calibri" w:cs="Calibri"/>
                <w:b/>
                <w:bCs/>
                <w:color w:val="FFFFFF"/>
                <w:lang w:val="en-US" w:eastAsia="zh-CN" w:bidi="ar"/>
              </w:rPr>
              <w:t>Category</w:t>
            </w:r>
          </w:p>
        </w:tc>
        <w:tc>
          <w:tcPr>
            <w:tcW w:w="4917" w:type="dxa"/>
            <w:tcBorders>
              <w:top w:val="single" w:sz="4" w:space="0" w:color="5B9BD5"/>
              <w:left w:val="nil"/>
              <w:bottom w:val="single" w:sz="4" w:space="0" w:color="9BC2E6"/>
              <w:right w:val="nil"/>
            </w:tcBorders>
            <w:shd w:val="clear" w:color="5B9BD5" w:fill="5B9BD5"/>
            <w:vAlign w:val="center"/>
          </w:tcPr>
          <w:p w14:paraId="6C167B34" w14:textId="77777777" w:rsidR="00CE6BBC" w:rsidRDefault="00CE6BBC" w:rsidP="00E568E5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eastAsia="SimSun" w:hAnsi="Calibri" w:cs="Calibri"/>
                <w:b/>
                <w:bCs/>
                <w:color w:val="FFFFFF"/>
                <w:lang w:val="en-US" w:eastAsia="zh-CN" w:bidi="ar"/>
              </w:rPr>
              <w:t>Condition / Variable</w:t>
            </w:r>
          </w:p>
        </w:tc>
        <w:tc>
          <w:tcPr>
            <w:tcW w:w="2733" w:type="dxa"/>
            <w:tcBorders>
              <w:top w:val="single" w:sz="4" w:space="0" w:color="5B9BD5"/>
              <w:left w:val="nil"/>
              <w:bottom w:val="single" w:sz="4" w:space="0" w:color="9BC2E6"/>
              <w:right w:val="nil"/>
            </w:tcBorders>
            <w:shd w:val="clear" w:color="5B9BD5" w:fill="5B9BD5"/>
            <w:vAlign w:val="center"/>
          </w:tcPr>
          <w:p w14:paraId="35815C33" w14:textId="77777777" w:rsidR="00CE6BBC" w:rsidRDefault="00CE6BBC" w:rsidP="00E568E5">
            <w:pPr>
              <w:jc w:val="center"/>
              <w:textAlignment w:val="center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eastAsia="SimSun" w:hAnsi="Calibri" w:cs="Calibri"/>
                <w:b/>
                <w:bCs/>
                <w:color w:val="FFFFFF"/>
                <w:lang w:val="en-US" w:eastAsia="zh-CN" w:bidi="ar"/>
              </w:rPr>
              <w:t>ICD-10-CM Codes</w:t>
            </w:r>
          </w:p>
        </w:tc>
      </w:tr>
      <w:tr w:rsidR="00CE6BBC" w14:paraId="38D1558E" w14:textId="77777777" w:rsidTr="00E568E5">
        <w:trPr>
          <w:trHeight w:val="18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1FCA1758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Liver involvement (for MASLD definition)</w:t>
            </w: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6EE5D2B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Hepatic steatosis / fatty liver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178F811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K76.0</w:t>
            </w:r>
          </w:p>
        </w:tc>
      </w:tr>
      <w:tr w:rsidR="00CE6BBC" w14:paraId="744980B4" w14:textId="77777777" w:rsidTr="00E568E5">
        <w:trPr>
          <w:trHeight w:val="15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51CBF6F6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18CE150F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Steatohepatitis (NASH/MASH)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350AA42F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K75.81</w:t>
            </w:r>
            <w:r>
              <w:rPr>
                <w:rStyle w:val="font01"/>
                <w:rFonts w:eastAsia="SimSun"/>
                <w:lang w:val="en-US" w:eastAsia="zh-CN" w:bidi="ar"/>
              </w:rPr>
              <w:t xml:space="preserve">, </w:t>
            </w:r>
            <w:r>
              <w:rPr>
                <w:rStyle w:val="font21"/>
                <w:rFonts w:eastAsia="SimSun"/>
                <w:lang w:val="en-US" w:eastAsia="zh-CN" w:bidi="ar"/>
              </w:rPr>
              <w:t>K76.89</w:t>
            </w:r>
          </w:p>
        </w:tc>
      </w:tr>
      <w:tr w:rsidR="00CE6BBC" w14:paraId="301A7E0B" w14:textId="77777777" w:rsidTr="00E568E5">
        <w:trPr>
          <w:trHeight w:val="9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42DB6D3B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Metabolic risk factors</w:t>
            </w: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76FA4360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Obesity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79F7BCFF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E66.x</w:t>
            </w:r>
          </w:p>
        </w:tc>
      </w:tr>
      <w:tr w:rsidR="00CE6BBC" w14:paraId="5A1419E3" w14:textId="77777777" w:rsidTr="00E568E5">
        <w:trPr>
          <w:trHeight w:val="21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03624C22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6D0F698C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Type 2 diabetes mellitus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03511EB8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E11.x</w:t>
            </w:r>
          </w:p>
        </w:tc>
      </w:tr>
      <w:tr w:rsidR="00CE6BBC" w14:paraId="0BC3834F" w14:textId="77777777" w:rsidTr="00E568E5">
        <w:trPr>
          <w:trHeight w:val="18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5031F747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7E83929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Hypertension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12E58F9F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I10–I16.x</w:t>
            </w:r>
          </w:p>
        </w:tc>
      </w:tr>
      <w:tr w:rsidR="00CE6BBC" w14:paraId="213F7126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6691182E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67599C89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Dyslipidemia / hyperlipidemia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73D72F53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E78.x</w:t>
            </w:r>
          </w:p>
        </w:tc>
      </w:tr>
      <w:tr w:rsidR="00CE6BBC" w14:paraId="293BBA67" w14:textId="77777777" w:rsidTr="00E568E5">
        <w:trPr>
          <w:trHeight w:val="15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19E48B29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Exclusion criteria</w:t>
            </w: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6FBB5AE4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Alcoholic liver disease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019AC31C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K70.x</w:t>
            </w:r>
          </w:p>
        </w:tc>
      </w:tr>
      <w:tr w:rsidR="00CE6BBC" w14:paraId="2323AD2D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736AC1DB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619BDBFD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Viral hepatitis B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33537105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B16.x, B18.0, B18.1</w:t>
            </w:r>
          </w:p>
        </w:tc>
      </w:tr>
      <w:tr w:rsidR="00CE6BBC" w14:paraId="522626F5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AB76174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58226B44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Viral hepatitis C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3B79FE86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B17.1, B18.2</w:t>
            </w:r>
          </w:p>
        </w:tc>
      </w:tr>
      <w:tr w:rsidR="00CE6BBC" w14:paraId="2C0E6C7E" w14:textId="77777777" w:rsidTr="00E568E5">
        <w:trPr>
          <w:trHeight w:val="9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1CB15B66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5B0C1C17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Autoimmune hepatitis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7A9E757E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K75.4</w:t>
            </w:r>
          </w:p>
        </w:tc>
      </w:tr>
      <w:tr w:rsidR="00CE6BBC" w14:paraId="7E892B24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4064F238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7BAD1D04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Wilson’s disease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3B3F1804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E83.01</w:t>
            </w:r>
          </w:p>
        </w:tc>
      </w:tr>
      <w:tr w:rsidR="00CE6BBC" w14:paraId="285D0510" w14:textId="77777777" w:rsidTr="00E568E5">
        <w:trPr>
          <w:trHeight w:val="9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6F48EE2D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5BE615FA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Hemochromatosis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24E60BBD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E83.11</w:t>
            </w:r>
          </w:p>
        </w:tc>
      </w:tr>
      <w:tr w:rsidR="00CE6BBC" w14:paraId="7895BDE6" w14:textId="77777777" w:rsidTr="00E568E5">
        <w:trPr>
          <w:trHeight w:val="15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13980185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497F0277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Other chronic liver disease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88E5D15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K76.89, K76.9</w:t>
            </w:r>
          </w:p>
        </w:tc>
      </w:tr>
      <w:tr w:rsidR="00CE6BBC" w14:paraId="28F50B88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23A32781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Cardiometabolic comorbidities</w:t>
            </w: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452F3896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Chronic kidney disease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3F9A993A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N18.x</w:t>
            </w:r>
          </w:p>
        </w:tc>
      </w:tr>
      <w:tr w:rsidR="00CE6BBC" w14:paraId="6F05468D" w14:textId="77777777" w:rsidTr="00E568E5">
        <w:trPr>
          <w:trHeight w:val="9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5BC8227E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7E01D8F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Congestive heart failure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5BDAABFF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I50.x</w:t>
            </w:r>
          </w:p>
        </w:tc>
      </w:tr>
      <w:tr w:rsidR="00CE6BBC" w14:paraId="4BFA18BB" w14:textId="77777777" w:rsidTr="00E568E5">
        <w:trPr>
          <w:trHeight w:val="9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38708529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4FB14C23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Coronary artery disease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5FC2B72D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I20–I25.x</w:t>
            </w:r>
          </w:p>
        </w:tc>
      </w:tr>
      <w:tr w:rsidR="00CE6BBC" w14:paraId="2DB48A31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5493A08A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3E82A979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Cerebrovascular disease / stroke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35AC4A8B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I60–I69.x</w:t>
            </w:r>
          </w:p>
        </w:tc>
      </w:tr>
      <w:tr w:rsidR="00CE6BBC" w14:paraId="3D0BD9A8" w14:textId="77777777" w:rsidTr="00E568E5">
        <w:trPr>
          <w:trHeight w:val="9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02264F86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12C5735E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Peripheral arterial disease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3BE78CA8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I70.x</w:t>
            </w:r>
          </w:p>
        </w:tc>
      </w:tr>
      <w:tr w:rsidR="00CE6BBC" w14:paraId="4368C55F" w14:textId="77777777" w:rsidTr="00E568E5">
        <w:trPr>
          <w:trHeight w:val="18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0AA9C698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E34706A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Chronic obstructive pulmonary disease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CC95904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J44.x</w:t>
            </w:r>
          </w:p>
        </w:tc>
      </w:tr>
      <w:tr w:rsidR="00CE6BBC" w14:paraId="05D5318B" w14:textId="77777777" w:rsidTr="00E568E5">
        <w:trPr>
          <w:trHeight w:val="15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25689BF7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Systemic / other comorbidities</w:t>
            </w: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39340D07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Malignancy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1CE48529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C00–C97.x</w:t>
            </w:r>
          </w:p>
        </w:tc>
      </w:tr>
      <w:tr w:rsidR="00CE6BBC" w14:paraId="3CDC018D" w14:textId="77777777" w:rsidTr="00E568E5">
        <w:trPr>
          <w:trHeight w:val="15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5EDA4516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7699418B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Cirrhosis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7074688E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K70.x, K74.x</w:t>
            </w:r>
          </w:p>
        </w:tc>
      </w:tr>
      <w:tr w:rsidR="00CE6BBC" w14:paraId="4083F0C8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5F3462B3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77BB5D1E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Sepsis / severe illness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69F03DE9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A41.x, R65.x, R57.x</w:t>
            </w:r>
          </w:p>
        </w:tc>
      </w:tr>
      <w:tr w:rsidR="00CE6BBC" w14:paraId="11BB192C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20B8FA08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Lifestyle factors</w:t>
            </w: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735CC26B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Alcohol use disorder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489B87F2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F10.x</w:t>
            </w:r>
          </w:p>
        </w:tc>
      </w:tr>
      <w:tr w:rsidR="00CE6BBC" w14:paraId="15773E85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vAlign w:val="center"/>
          </w:tcPr>
          <w:p w14:paraId="51C160AF" w14:textId="77777777" w:rsidR="00CE6BBC" w:rsidRDefault="00CE6BBC" w:rsidP="00E568E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02A70028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Tobacco use / dependence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vAlign w:val="center"/>
          </w:tcPr>
          <w:p w14:paraId="5BBDA531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F17.x, Z72.0, Z87.891</w:t>
            </w:r>
          </w:p>
        </w:tc>
      </w:tr>
      <w:tr w:rsidR="00CE6BBC" w14:paraId="3244B62E" w14:textId="77777777" w:rsidTr="00E568E5">
        <w:trPr>
          <w:trHeight w:val="1200"/>
        </w:trPr>
        <w:tc>
          <w:tcPr>
            <w:tcW w:w="1721" w:type="dxa"/>
            <w:tcBorders>
              <w:top w:val="single" w:sz="4" w:space="0" w:color="9BC2E6"/>
              <w:left w:val="single" w:sz="4" w:space="0" w:color="5B9BD5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1AA62625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Liver malignancy</w:t>
            </w:r>
          </w:p>
        </w:tc>
        <w:tc>
          <w:tcPr>
            <w:tcW w:w="4917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73122B43" w14:textId="77777777" w:rsidR="00CE6BBC" w:rsidRDefault="00CE6BBC" w:rsidP="00E568E5">
            <w:pPr>
              <w:textAlignment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SimSun" w:hAnsi="Calibri" w:cs="Calibri"/>
                <w:color w:val="000000"/>
                <w:lang w:val="en-US" w:eastAsia="zh-CN" w:bidi="ar"/>
              </w:rPr>
              <w:t>Hepatocellular carcinoma (HCC)</w:t>
            </w:r>
          </w:p>
        </w:tc>
        <w:tc>
          <w:tcPr>
            <w:tcW w:w="2733" w:type="dxa"/>
            <w:tcBorders>
              <w:top w:val="single" w:sz="4" w:space="0" w:color="9BC2E6"/>
              <w:left w:val="nil"/>
              <w:bottom w:val="single" w:sz="4" w:space="0" w:color="9BC2E6"/>
              <w:right w:val="nil"/>
            </w:tcBorders>
            <w:shd w:val="clear" w:color="DDEBF7" w:fill="DDEBF7"/>
            <w:vAlign w:val="center"/>
          </w:tcPr>
          <w:p w14:paraId="1B1290AB" w14:textId="77777777" w:rsidR="00CE6BBC" w:rsidRDefault="00CE6BBC" w:rsidP="00E568E5">
            <w:pPr>
              <w:textAlignment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lang w:val="en-US" w:eastAsia="zh-CN" w:bidi="ar"/>
              </w:rPr>
              <w:t>C22.0, C22.7, C22.8</w:t>
            </w:r>
          </w:p>
        </w:tc>
      </w:tr>
    </w:tbl>
    <w:p w14:paraId="110DD62F" w14:textId="77777777" w:rsidR="00CE6BBC" w:rsidRDefault="00CE6BBC" w:rsidP="00CE6BBC">
      <w:pPr>
        <w:spacing w:before="240" w:after="240"/>
        <w:rPr>
          <w:b/>
          <w:bCs/>
          <w:color w:val="000000" w:themeColor="text1"/>
          <w:sz w:val="20"/>
          <w:szCs w:val="20"/>
        </w:rPr>
      </w:pPr>
      <w:r>
        <w:rPr>
          <w:b/>
          <w:bCs/>
          <w:color w:val="000000" w:themeColor="text1"/>
          <w:sz w:val="20"/>
          <w:szCs w:val="20"/>
        </w:rPr>
        <w:t>Supplementary Table 1. ICD-10 Codes Used to Define Study Cohorts</w:t>
      </w:r>
    </w:p>
    <w:p w14:paraId="6429F56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BBC"/>
    <w:rsid w:val="00195413"/>
    <w:rsid w:val="003D0186"/>
    <w:rsid w:val="007278E4"/>
    <w:rsid w:val="00A3738C"/>
    <w:rsid w:val="00BC6C35"/>
    <w:rsid w:val="00CB270D"/>
    <w:rsid w:val="00CE6BBC"/>
    <w:rsid w:val="00CF7583"/>
    <w:rsid w:val="00DE6AE2"/>
    <w:rsid w:val="00FA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6174B"/>
  <w15:chartTrackingRefBased/>
  <w15:docId w15:val="{882C7681-36FB-4BBB-9500-1F0BF3FB0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E6BBC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6B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6B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6BB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6BB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6BB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6BB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6BB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6BB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6BB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6B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6B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6B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6B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6B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6B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6B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6B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6B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6B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E6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6BB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E6B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6BB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E6B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6BB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E6B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6B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6B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6BBC"/>
    <w:rPr>
      <w:b/>
      <w:bCs/>
      <w:smallCaps/>
      <w:color w:val="0F4761" w:themeColor="accent1" w:themeShade="BF"/>
      <w:spacing w:val="5"/>
    </w:rPr>
  </w:style>
  <w:style w:type="character" w:customStyle="1" w:styleId="font01">
    <w:name w:val="font01"/>
    <w:qFormat/>
    <w:rsid w:val="00CE6BBC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21">
    <w:name w:val="font21"/>
    <w:qFormat/>
    <w:rsid w:val="00CE6BBC"/>
    <w:rPr>
      <w:rFonts w:ascii="Calibri" w:hAnsi="Calibri" w:cs="Calibri" w:hint="default"/>
      <w:b/>
      <w:bCs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158</Words>
  <Characters>1005</Characters>
  <Application>Microsoft Office Word</Application>
  <DocSecurity>0</DocSecurity>
  <Lines>34</Lines>
  <Paragraphs>18</Paragraphs>
  <ScaleCrop>false</ScaleCrop>
  <Company>Springer Nature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2025-10-16T13:41:00Z</dcterms:created>
  <dcterms:modified xsi:type="dcterms:W3CDTF">2025-10-16T13:42:00Z</dcterms:modified>
</cp:coreProperties>
</file>