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Supplemental Table 1. CTA/CACS versus QCA as the reference standard (≥ 70% stenosis)</w:t>
      </w:r>
    </w:p>
    <w:p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5318" w:type="dxa"/>
        <w:tblInd w:w="-2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56"/>
        <w:gridCol w:w="796"/>
        <w:gridCol w:w="963"/>
        <w:gridCol w:w="896"/>
        <w:gridCol w:w="896"/>
        <w:gridCol w:w="1374"/>
        <w:gridCol w:w="1376"/>
        <w:gridCol w:w="1101"/>
        <w:gridCol w:w="963"/>
        <w:gridCol w:w="1172"/>
        <w:gridCol w:w="964"/>
        <w:gridCol w:w="978"/>
      </w:tblGrid>
      <w:tr>
        <w:trPr>
          <w:trHeight w:val="291"/>
        </w:trPr>
        <w:tc>
          <w:tcPr>
            <w:tcW w:w="3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  <w:t>True</w:t>
            </w:r>
          </w:p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  <w:t>positive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  <w:t>False positive</w:t>
            </w: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  <w:t>False negative</w:t>
            </w: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  <w:t>True negative</w:t>
            </w: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  <w:t>Sensitivity</w:t>
            </w:r>
          </w:p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(%)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  <w:t>Specificity</w:t>
            </w:r>
          </w:p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(%)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  <w:t>PPV</w:t>
            </w:r>
          </w:p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(%)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  <w:t>NPV</w:t>
            </w:r>
          </w:p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(%)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  <w:t>Positive LLR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  <w:t>Negative LLR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  <w:t>Accuracy</w:t>
            </w:r>
          </w:p>
        </w:tc>
      </w:tr>
      <w:tr>
        <w:trPr>
          <w:trHeight w:val="291"/>
        </w:trPr>
        <w:tc>
          <w:tcPr>
            <w:tcW w:w="6490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</w:tr>
      <w:tr>
        <w:trPr>
          <w:trHeight w:val="291"/>
        </w:trPr>
        <w:tc>
          <w:tcPr>
            <w:tcW w:w="6490" w:type="dxa"/>
            <w:gridSpan w:val="4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Patient based analysis (total n=100 patients)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</w:tr>
      <w:tr>
        <w:trPr>
          <w:trHeight w:val="291"/>
        </w:trPr>
        <w:tc>
          <w:tcPr>
            <w:tcW w:w="3856" w:type="dxa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Including patients with non-evaluable segments (n=100 included)</w:t>
            </w:r>
          </w:p>
        </w:tc>
        <w:tc>
          <w:tcPr>
            <w:tcW w:w="77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75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14</w:t>
            </w:r>
          </w:p>
        </w:tc>
        <w:tc>
          <w:tcPr>
            <w:tcW w:w="137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90.9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15.7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11.8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93.3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1.08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0.58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24.0</w:t>
            </w:r>
          </w:p>
        </w:tc>
      </w:tr>
      <w:tr>
        <w:trPr>
          <w:trHeight w:val="291"/>
        </w:trPr>
        <w:tc>
          <w:tcPr>
            <w:tcW w:w="3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     (95% CI)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58.7-99.8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8.9-25.0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9.8-14.1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67.0-99.0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0.88-1.33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0.08-3.98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16.0-33.6</w:t>
            </w:r>
          </w:p>
        </w:tc>
      </w:tr>
      <w:tr>
        <w:trPr>
          <w:trHeight w:val="291"/>
        </w:trPr>
        <w:tc>
          <w:tcPr>
            <w:tcW w:w="38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Excluding patients with non-evaluable segments (n=16 included, n=84 excluded)</w:t>
            </w: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14</w:t>
            </w: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93.3</w:t>
            </w: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93.3</w:t>
            </w: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1.07</w:t>
            </w: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87.5</w:t>
            </w:r>
          </w:p>
        </w:tc>
      </w:tr>
      <w:tr>
        <w:trPr>
          <w:trHeight w:val="291"/>
        </w:trPr>
        <w:tc>
          <w:tcPr>
            <w:tcW w:w="3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     (95% CI)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68.1-99.8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92.4-94.1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0.94-1.23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61.7-98.5</w:t>
            </w:r>
          </w:p>
        </w:tc>
      </w:tr>
      <w:tr>
        <w:trPr>
          <w:trHeight w:val="291"/>
        </w:trPr>
        <w:tc>
          <w:tcPr>
            <w:tcW w:w="38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Combined CTA/CACS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de-CH"/>
              </w:rPr>
              <w:t>(n=100 included)</w:t>
            </w:r>
          </w:p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(If non-evaluable segments present CACS cut-off ≥100)</w:t>
            </w: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64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25</w:t>
            </w: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90.9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28.1</w:t>
            </w: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13.5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96.2</w:t>
            </w: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1.26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0.32</w:t>
            </w: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35.0</w:t>
            </w:r>
          </w:p>
        </w:tc>
      </w:tr>
      <w:tr>
        <w:trPr>
          <w:trHeight w:val="291"/>
        </w:trPr>
        <w:tc>
          <w:tcPr>
            <w:tcW w:w="3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     (95% CI)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58.7-99.8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19.1-38.6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11.1-16.4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78.9-99.4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1.01-1.59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0.05-2.16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25.7-45.2</w:t>
            </w:r>
          </w:p>
        </w:tc>
      </w:tr>
      <w:tr>
        <w:trPr>
          <w:trHeight w:val="291"/>
        </w:trPr>
        <w:tc>
          <w:tcPr>
            <w:tcW w:w="38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Combined CTA/CACS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de-CH"/>
              </w:rPr>
              <w:t>(n=100 included)</w:t>
            </w:r>
          </w:p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(If non-evaluable segments present CACS cut-off ≥400)</w:t>
            </w: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47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42</w:t>
            </w: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63.6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47.2</w:t>
            </w: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91.3</w:t>
            </w: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1.21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0.77</w:t>
            </w: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49.0</w:t>
            </w:r>
          </w:p>
        </w:tc>
      </w:tr>
      <w:tr>
        <w:trPr>
          <w:trHeight w:val="291"/>
        </w:trPr>
        <w:tc>
          <w:tcPr>
            <w:tcW w:w="3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     (95% CI)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30.8-89.1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36.5-58.0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8.4-19.5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82.3-95.9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0.74-1.96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0.34-1.74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38.9-59.2</w:t>
            </w:r>
          </w:p>
        </w:tc>
      </w:tr>
      <w:tr>
        <w:trPr>
          <w:trHeight w:val="291"/>
        </w:trPr>
        <w:tc>
          <w:tcPr>
            <w:tcW w:w="38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</w:tr>
      <w:tr>
        <w:trPr>
          <w:trHeight w:val="291"/>
        </w:trPr>
        <w:tc>
          <w:tcPr>
            <w:tcW w:w="11239" w:type="dxa"/>
            <w:gridSpan w:val="8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Segment based analysis (all coronary segments, n=1533 segments)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</w:tr>
      <w:tr>
        <w:trPr>
          <w:trHeight w:val="291"/>
        </w:trPr>
        <w:tc>
          <w:tcPr>
            <w:tcW w:w="3856" w:type="dxa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Including non-evaluable segments (n=1533 included)</w:t>
            </w:r>
          </w:p>
        </w:tc>
        <w:tc>
          <w:tcPr>
            <w:tcW w:w="77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622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899</w:t>
            </w:r>
          </w:p>
        </w:tc>
        <w:tc>
          <w:tcPr>
            <w:tcW w:w="137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50.0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59.1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99.3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1.22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0.85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59.0</w:t>
            </w:r>
          </w:p>
        </w:tc>
      </w:tr>
      <w:tr>
        <w:trPr>
          <w:trHeight w:val="291"/>
        </w:trPr>
        <w:tc>
          <w:tcPr>
            <w:tcW w:w="3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     (95% CI)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21.1-78.9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56.6-61.6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0.5-1.7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98.8-99.6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0.69-2.16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0.48-1.49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56.5-61.5</w:t>
            </w:r>
          </w:p>
        </w:tc>
      </w:tr>
      <w:tr>
        <w:trPr>
          <w:trHeight w:val="291"/>
        </w:trPr>
        <w:tc>
          <w:tcPr>
            <w:tcW w:w="38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de-CH"/>
              </w:rPr>
              <w:t>Excluding non-evaluable segments (n=955 included, n= 578 excluded)</w:t>
            </w: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47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899</w:t>
            </w: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33.3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95.0</w:t>
            </w: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6.0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99.3</w:t>
            </w: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6.71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0.70</w:t>
            </w: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94.5</w:t>
            </w:r>
          </w:p>
        </w:tc>
      </w:tr>
      <w:tr>
        <w:trPr>
          <w:trHeight w:val="291"/>
        </w:trPr>
        <w:tc>
          <w:tcPr>
            <w:tcW w:w="3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     (95% CI)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7.5-70.1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93.5-96.3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2.4-14.4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99.0-99.6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2.56-17.61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0.44-1.11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92.8-95.8</w:t>
            </w:r>
          </w:p>
        </w:tc>
      </w:tr>
      <w:tr>
        <w:trPr>
          <w:trHeight w:val="291"/>
        </w:trPr>
        <w:tc>
          <w:tcPr>
            <w:tcW w:w="38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</w:tr>
      <w:tr>
        <w:trPr>
          <w:trHeight w:val="291"/>
        </w:trPr>
        <w:tc>
          <w:tcPr>
            <w:tcW w:w="14340" w:type="dxa"/>
            <w:gridSpan w:val="11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Proximal segment based analysis left main stem + proximal segment LAD, LCX, RCA)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</w:p>
        </w:tc>
      </w:tr>
      <w:tr>
        <w:trPr>
          <w:trHeight w:val="291"/>
        </w:trPr>
        <w:tc>
          <w:tcPr>
            <w:tcW w:w="3856" w:type="dxa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Including non- evaluable segments (n=400 included)</w:t>
            </w:r>
          </w:p>
        </w:tc>
        <w:tc>
          <w:tcPr>
            <w:tcW w:w="77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113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285</w:t>
            </w:r>
          </w:p>
        </w:tc>
        <w:tc>
          <w:tcPr>
            <w:tcW w:w="137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100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71.6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3.52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71.8</w:t>
            </w:r>
          </w:p>
        </w:tc>
      </w:tr>
      <w:tr>
        <w:trPr>
          <w:trHeight w:val="291"/>
        </w:trPr>
        <w:tc>
          <w:tcPr>
            <w:tcW w:w="3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     (95% CI)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15.8-100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66.9-76.0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1.5-2.0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3.01-4.12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67.1-76.1</w:t>
            </w:r>
          </w:p>
        </w:tc>
      </w:tr>
      <w:tr>
        <w:trPr>
          <w:trHeight w:val="291"/>
        </w:trPr>
        <w:tc>
          <w:tcPr>
            <w:tcW w:w="38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de-CH"/>
              </w:rPr>
              <w:t>Excluding non-evaluable segments (n=301 included, n=99 excluded)</w:t>
            </w: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16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285</w:t>
            </w: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94.7</w:t>
            </w: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100</w:t>
            </w: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</w:tr>
      <w:tr>
        <w:trPr>
          <w:trHeight w:val="291"/>
        </w:trPr>
        <w:tc>
          <w:tcPr>
            <w:tcW w:w="3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     (95% CI)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91.5-96.9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>
        <w:trPr>
          <w:trHeight w:val="291"/>
        </w:trPr>
        <w:tc>
          <w:tcPr>
            <w:tcW w:w="38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</w:tr>
      <w:tr>
        <w:trPr>
          <w:trHeight w:val="291"/>
        </w:trPr>
        <w:tc>
          <w:tcPr>
            <w:tcW w:w="12203" w:type="dxa"/>
            <w:gridSpan w:val="9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Left coronary artery proximal segment analysis (left main stem + proximal segment of the LAD)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</w:tr>
      <w:tr>
        <w:trPr>
          <w:trHeight w:val="291"/>
        </w:trPr>
        <w:tc>
          <w:tcPr>
            <w:tcW w:w="3856" w:type="dxa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Including non-evaluable segments (n=200 included)</w:t>
            </w:r>
          </w:p>
        </w:tc>
        <w:tc>
          <w:tcPr>
            <w:tcW w:w="77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42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158</w:t>
            </w:r>
          </w:p>
        </w:tc>
        <w:tc>
          <w:tcPr>
            <w:tcW w:w="137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79.0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</w:tr>
      <w:tr>
        <w:trPr>
          <w:trHeight w:val="291"/>
        </w:trPr>
        <w:tc>
          <w:tcPr>
            <w:tcW w:w="3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     (95% CI)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72.7-84.4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>
        <w:trPr>
          <w:trHeight w:val="291"/>
        </w:trPr>
        <w:tc>
          <w:tcPr>
            <w:tcW w:w="38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Excluding those with non-evaluable segment (n=165 included, n=35 excluded)</w:t>
            </w: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158</w:t>
            </w: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95.8</w:t>
            </w: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100</w:t>
            </w: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</w:tr>
      <w:tr>
        <w:trPr>
          <w:trHeight w:val="291"/>
        </w:trPr>
        <w:tc>
          <w:tcPr>
            <w:tcW w:w="3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     (95% CI)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91.5-98.3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>
        <w:trPr>
          <w:trHeight w:val="291"/>
        </w:trPr>
        <w:tc>
          <w:tcPr>
            <w:tcW w:w="38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</w:tr>
      <w:tr>
        <w:trPr>
          <w:trHeight w:val="291"/>
        </w:trPr>
        <w:tc>
          <w:tcPr>
            <w:tcW w:w="5593" w:type="dxa"/>
            <w:gridSpan w:val="3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LAD vessel based analysis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</w:tr>
      <w:tr>
        <w:trPr>
          <w:trHeight w:val="291"/>
        </w:trPr>
        <w:tc>
          <w:tcPr>
            <w:tcW w:w="3856" w:type="dxa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Including non-evaluable segments (n=500 included)</w:t>
            </w:r>
          </w:p>
        </w:tc>
        <w:tc>
          <w:tcPr>
            <w:tcW w:w="77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186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310</w:t>
            </w:r>
          </w:p>
        </w:tc>
        <w:tc>
          <w:tcPr>
            <w:tcW w:w="137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62.5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98.7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1.60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62.0</w:t>
            </w:r>
          </w:p>
        </w:tc>
      </w:tr>
      <w:tr>
        <w:trPr>
          <w:trHeight w:val="291"/>
        </w:trPr>
        <w:tc>
          <w:tcPr>
            <w:tcW w:w="3856" w:type="dxa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     (95% CI)</w:t>
            </w:r>
          </w:p>
        </w:tc>
        <w:tc>
          <w:tcPr>
            <w:tcW w:w="773" w:type="dxa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0-60.2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58.1-66.8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98.6-98.8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1.49-1.71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57.6-66.3</w:t>
            </w:r>
          </w:p>
        </w:tc>
      </w:tr>
      <w:tr>
        <w:trPr>
          <w:trHeight w:val="291"/>
        </w:trPr>
        <w:tc>
          <w:tcPr>
            <w:tcW w:w="3856" w:type="dxa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Excluding non-evaluable segments (n=338 included, n=162 excluded)</w:t>
            </w:r>
          </w:p>
        </w:tc>
        <w:tc>
          <w:tcPr>
            <w:tcW w:w="77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24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310</w:t>
            </w:r>
          </w:p>
        </w:tc>
        <w:tc>
          <w:tcPr>
            <w:tcW w:w="137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92.8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98.7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1.08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91.7</w:t>
            </w:r>
          </w:p>
        </w:tc>
      </w:tr>
      <w:tr>
        <w:trPr>
          <w:trHeight w:val="291"/>
        </w:trPr>
        <w:tc>
          <w:tcPr>
            <w:tcW w:w="3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     (95% CI)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0-60.2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89.5-95.3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98.7-98.8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1.05-1.11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88.3-94.4</w:t>
            </w:r>
          </w:p>
        </w:tc>
      </w:tr>
      <w:tr>
        <w:trPr>
          <w:trHeight w:val="291"/>
        </w:trPr>
        <w:tc>
          <w:tcPr>
            <w:tcW w:w="38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</w:tr>
      <w:tr>
        <w:trPr>
          <w:trHeight w:val="291"/>
        </w:trPr>
        <w:tc>
          <w:tcPr>
            <w:tcW w:w="5593" w:type="dxa"/>
            <w:gridSpan w:val="3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LCX vessel based analysis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</w:tr>
      <w:tr>
        <w:trPr>
          <w:trHeight w:val="291"/>
        </w:trPr>
        <w:tc>
          <w:tcPr>
            <w:tcW w:w="3856" w:type="dxa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Including non-evaluable segments (n=500 included)</w:t>
            </w:r>
          </w:p>
        </w:tc>
        <w:tc>
          <w:tcPr>
            <w:tcW w:w="77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209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286</w:t>
            </w:r>
          </w:p>
        </w:tc>
        <w:tc>
          <w:tcPr>
            <w:tcW w:w="137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60.0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57.8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99.3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1.42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0.69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57.8</w:t>
            </w:r>
          </w:p>
        </w:tc>
      </w:tr>
      <w:tr>
        <w:trPr>
          <w:trHeight w:val="291"/>
        </w:trPr>
        <w:tc>
          <w:tcPr>
            <w:tcW w:w="3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     (95% CI)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14.7-94.7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53.3-62.2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0.7-2.9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98.0-99.8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0.69-2.93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0.24-2.03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53.3-62.2</w:t>
            </w:r>
          </w:p>
        </w:tc>
      </w:tr>
      <w:tr>
        <w:trPr>
          <w:trHeight w:val="291"/>
        </w:trPr>
        <w:tc>
          <w:tcPr>
            <w:tcW w:w="38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Excluding non-evaluable segments (n=299 included, n=201 excluded)</w:t>
            </w: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286</w:t>
            </w: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50.0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97.0</w:t>
            </w: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18.2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99.3</w:t>
            </w: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16.39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0.52</w:t>
            </w: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96.3</w:t>
            </w:r>
          </w:p>
        </w:tc>
      </w:tr>
      <w:tr>
        <w:trPr>
          <w:trHeight w:val="291"/>
        </w:trPr>
        <w:tc>
          <w:tcPr>
            <w:tcW w:w="3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     (95% CI)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6.8-93.2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94.3-98.6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6.4-41.8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98.2-99.7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5.08-52.92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0.19-1.37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93.5-98.2</w:t>
            </w:r>
          </w:p>
        </w:tc>
      </w:tr>
      <w:tr>
        <w:trPr>
          <w:trHeight w:val="291"/>
        </w:trPr>
        <w:tc>
          <w:tcPr>
            <w:tcW w:w="559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</w:p>
          <w:p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RCA vessel based analysis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</w:tr>
      <w:tr>
        <w:trPr>
          <w:trHeight w:val="291"/>
        </w:trPr>
        <w:tc>
          <w:tcPr>
            <w:tcW w:w="3856" w:type="dxa"/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Including non-evaluable segments (n=400 included)</w:t>
            </w:r>
          </w:p>
        </w:tc>
        <w:tc>
          <w:tcPr>
            <w:tcW w:w="77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201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196</w:t>
            </w:r>
          </w:p>
        </w:tc>
        <w:tc>
          <w:tcPr>
            <w:tcW w:w="137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100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49.4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1.98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49.8</w:t>
            </w:r>
          </w:p>
        </w:tc>
      </w:tr>
      <w:tr>
        <w:trPr>
          <w:trHeight w:val="291"/>
        </w:trPr>
        <w:tc>
          <w:tcPr>
            <w:tcW w:w="3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     (95% CI)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29.2-100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44.4-54.4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1.3-1.6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1.79-2.18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44.7-54.8</w:t>
            </w:r>
          </w:p>
        </w:tc>
      </w:tr>
      <w:tr>
        <w:trPr>
          <w:trHeight w:val="291"/>
        </w:trPr>
        <w:tc>
          <w:tcPr>
            <w:tcW w:w="38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Excluding non-evaluable segments (n=209 included, n=191 excluded)</w:t>
            </w: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196</w:t>
            </w: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100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94.2</w:t>
            </w: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7.7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100</w:t>
            </w: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17.33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94.3</w:t>
            </w:r>
          </w:p>
        </w:tc>
      </w:tr>
      <w:tr>
        <w:trPr>
          <w:trHeight w:val="291"/>
        </w:trPr>
        <w:tc>
          <w:tcPr>
            <w:tcW w:w="3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     (95% CI)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2.5-100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90.2-97.0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4.6-12.6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10.01-30.02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nc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90.2-97.0</w:t>
            </w:r>
          </w:p>
        </w:tc>
      </w:tr>
    </w:tbl>
    <w:p>
      <w:pPr>
        <w:rPr>
          <w:rFonts w:ascii="Times New Roman" w:hAnsi="Times New Roman" w:cs="Times New Roman"/>
          <w:lang w:val="en-CA"/>
        </w:rPr>
      </w:pPr>
      <w:r>
        <w:rPr>
          <w:rFonts w:ascii="Times New Roman" w:eastAsia="Times New Roman" w:hAnsi="Times New Roman" w:cs="Times New Roman"/>
          <w:color w:val="000000"/>
          <w:sz w:val="20"/>
          <w:lang w:eastAsia="de-CH"/>
        </w:rPr>
        <w:t>CACS = Coronary artery calcium score; CAD = Coronary artery disease; CI = Confidence interval; CTA = Computed tomography angiography; LAD = Left anterior descending artery; LCX = Left circumflex artery; LLR = Likelihood ratio; nc = not computable/calculable; NPV = Negative predictive value; PPV = Positive predictive value; QCA = Quantitative coronary angiography; RCA = Right coronary artery</w:t>
      </w:r>
      <w:bookmarkStart w:id="0" w:name="_GoBack"/>
      <w:bookmarkEnd w:id="0"/>
    </w:p>
    <w:sectPr>
      <w:footerReference w:type="default" r:id="rId6"/>
      <w:pgSz w:w="16838" w:h="11906" w:orient="landscape" w:code="9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BE6E147" w16cid:durableId="2395C6D8"/>
  <w16cid:commentId w16cid:paraId="335D0E47" w16cid:durableId="2395C6D9"/>
  <w16cid:commentId w16cid:paraId="77DA78B9" w16cid:durableId="2395C6DC"/>
  <w16cid:commentId w16cid:paraId="715B7C71" w16cid:durableId="2395C6DD"/>
  <w16cid:commentId w16cid:paraId="5DC1E67F" w16cid:durableId="2395C6DE"/>
  <w16cid:commentId w16cid:paraId="24CEF7A3" w16cid:durableId="2395C6DF"/>
  <w16cid:commentId w16cid:paraId="78CB699D" w16cid:durableId="2395C6E0"/>
  <w16cid:commentId w16cid:paraId="2E9F9D07" w16cid:durableId="2395C6E1"/>
  <w16cid:commentId w16cid:paraId="329EA7A2" w16cid:durableId="2395C6E2"/>
  <w16cid:commentId w16cid:paraId="48A9622C" w16cid:durableId="2395C6E3"/>
  <w16cid:commentId w16cid:paraId="74C3A3C7" w16cid:durableId="2395C6E4"/>
  <w16cid:commentId w16cid:paraId="73990AD8" w16cid:durableId="2395C6E5"/>
  <w16cid:commentId w16cid:paraId="5142022B" w16cid:durableId="2395C6E6"/>
  <w16cid:commentId w16cid:paraId="35A82523" w16cid:durableId="2395C6E8"/>
  <w16cid:commentId w16cid:paraId="2B573395" w16cid:durableId="2395C6E9"/>
  <w16cid:commentId w16cid:paraId="1C5B59A3" w16cid:durableId="2395C6EA"/>
  <w16cid:commentId w16cid:paraId="21216BC8" w16cid:durableId="2395C6E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Arial Rounded MT Bold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13405908"/>
      <w:docPartObj>
        <w:docPartGallery w:val="Page Numbers (Bottom of Page)"/>
        <w:docPartUnique/>
      </w:docPartObj>
    </w:sdtPr>
    <w:sdtContent>
      <w:p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  <w:lang w:val="de-DE"/>
          </w:rPr>
          <w:t>2</w:t>
        </w:r>
        <w:r>
          <w:fldChar w:fldCharType="end"/>
        </w:r>
      </w:p>
    </w:sdtContent>
  </w:sdt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CH" w:vendorID="64" w:dllVersion="6" w:nlCheck="1" w:checkStyle="0"/>
  <w:activeWritingStyle w:appName="MSWord" w:lang="en-GB" w:vendorID="64" w:dllVersion="6" w:nlCheck="1" w:checkStyle="1"/>
  <w:activeWritingStyle w:appName="MSWord" w:lang="en-CA" w:vendorID="64" w:dllVersion="6" w:nlCheck="1" w:checkStyle="1"/>
  <w:activeWritingStyle w:appName="MSWord" w:lang="en-US" w:vendorID="64" w:dllVersion="6" w:nlCheck="1" w:checkStyle="1"/>
  <w:activeWritingStyle w:appName="MSWord" w:lang="de-DE" w:vendorID="64" w:dllVersion="6" w:nlCheck="1" w:checkStyle="0"/>
  <w:activeWritingStyle w:appName="MSWord" w:lang="en-US" w:vendorID="64" w:dllVersion="4096" w:nlCheck="1" w:checkStyle="0"/>
  <w:activeWritingStyle w:appName="MSWord" w:lang="en-CA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131078" w:nlCheck="1" w:checkStyle="1"/>
  <w:activeWritingStyle w:appName="MSWord" w:lang="en-CA" w:vendorID="64" w:dllVersion="131078" w:nlCheck="1" w:checkStyle="1"/>
  <w:activeWritingStyle w:appName="MSWord" w:lang="fr-CH" w:vendorID="64" w:dllVersion="131078" w:nlCheck="1" w:checkStyle="0"/>
  <w:activeWritingStyle w:appName="MSWord" w:lang="en-GB" w:vendorID="64" w:dllVersion="131078" w:nlCheck="1" w:checkStyle="1"/>
  <w:activeWritingStyle w:appName="MSWord" w:lang="de-DE" w:vendorID="64" w:dllVersion="131078" w:nlCheck="1" w:checkStyle="0"/>
  <w:activeWritingStyle w:appName="MSWord" w:lang="it-IT" w:vendorID="64" w:dllVersion="131078" w:nlCheck="1" w:checkStyle="0"/>
  <w:activeWritingStyle w:appName="MSWord" w:lang="de-CH" w:vendorID="64" w:dllVersion="131078" w:nlCheck="1" w:checkStyle="0"/>
  <w:defaultTabStop w:val="720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;"/>
  <w14:defaultImageDpi w14:val="330"/>
  <w15:chartTrackingRefBased/>
  <w15:docId w15:val="{D50B37E8-0BBF-4040-9B6D-AAD1EE53F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Standard"/>
    <w:link w:val="EndNoteBibliographyTitleChar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Absatz-Standardschriftart"/>
    <w:link w:val="EndNoteBibliographyTitle"/>
    <w:rPr>
      <w:rFonts w:ascii="Calibri" w:hAnsi="Calibri" w:cs="Calibri"/>
    </w:rPr>
  </w:style>
  <w:style w:type="paragraph" w:customStyle="1" w:styleId="EndNoteBibliography">
    <w:name w:val="EndNote Bibliography"/>
    <w:basedOn w:val="Standard"/>
    <w:link w:val="EndNoteBibliographyChar"/>
    <w:rPr>
      <w:rFonts w:ascii="Calibri" w:hAnsi="Calibri" w:cs="Calibri"/>
    </w:rPr>
  </w:style>
  <w:style w:type="character" w:customStyle="1" w:styleId="EndNoteBibliographyChar">
    <w:name w:val="EndNote Bibliography Char"/>
    <w:basedOn w:val="Absatz-Standardschriftart"/>
    <w:link w:val="EndNoteBibliography"/>
    <w:rPr>
      <w:rFonts w:ascii="Calibri" w:hAnsi="Calibri" w:cs="Calibri"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character" w:styleId="Zeilennummer">
    <w:name w:val="line number"/>
    <w:basedOn w:val="Absatz-Standardschriftar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b/>
      <w:bCs/>
      <w:sz w:val="20"/>
      <w:szCs w:val="20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styleId="berarbeitung">
    <w:name w:val="Revision"/>
    <w:hidden/>
    <w:uiPriority w:val="99"/>
    <w:semiHidden/>
  </w:style>
  <w:style w:type="character" w:styleId="BesuchterLink">
    <w:name w:val="FollowedHyperlink"/>
    <w:basedOn w:val="Absatz-Standardschriftart"/>
    <w:uiPriority w:val="99"/>
    <w:semiHidden/>
    <w:unhideWhenUsed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86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8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microsoft.com/office/2016/09/relationships/commentsIds" Target="commentsIds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544</Words>
  <Characters>3433</Characters>
  <Application>Microsoft Office Word</Application>
  <DocSecurity>0</DocSecurity>
  <Lines>28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M</dc:creator>
  <cp:keywords/>
  <dc:description/>
  <cp:lastModifiedBy>Gräni, Christoph</cp:lastModifiedBy>
  <cp:revision>2</cp:revision>
  <cp:lastPrinted>2021-01-04T17:04:00Z</cp:lastPrinted>
  <dcterms:created xsi:type="dcterms:W3CDTF">2021-04-13T10:19:00Z</dcterms:created>
  <dcterms:modified xsi:type="dcterms:W3CDTF">2021-04-13T10:19:00Z</dcterms:modified>
</cp:coreProperties>
</file>