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5F80E" w14:textId="77777777" w:rsidR="0012632C" w:rsidRPr="000D283A" w:rsidRDefault="0012632C" w:rsidP="0012632C">
      <w:pPr>
        <w:rPr>
          <w:rFonts w:ascii="Calibri" w:hAnsi="Calibri" w:cs="Calibri"/>
          <w:b/>
          <w:bCs/>
          <w:sz w:val="22"/>
          <w:szCs w:val="22"/>
        </w:rPr>
      </w:pPr>
      <w:r w:rsidRPr="000D283A">
        <w:rPr>
          <w:rFonts w:ascii="Calibri" w:hAnsi="Calibri" w:cs="Calibri"/>
          <w:b/>
          <w:bCs/>
          <w:sz w:val="22"/>
          <w:szCs w:val="22"/>
        </w:rPr>
        <w:t>Supplementary Figure Legends</w:t>
      </w:r>
    </w:p>
    <w:p w14:paraId="466A145E" w14:textId="77777777" w:rsidR="0012632C" w:rsidRPr="000D283A" w:rsidRDefault="0012632C" w:rsidP="0012632C">
      <w:pPr>
        <w:rPr>
          <w:rFonts w:ascii="Calibri" w:hAnsi="Calibri" w:cs="Calibri"/>
          <w:b/>
          <w:bCs/>
          <w:sz w:val="22"/>
          <w:szCs w:val="22"/>
        </w:rPr>
      </w:pPr>
    </w:p>
    <w:p w14:paraId="6E9C2779" w14:textId="77777777" w:rsidR="0012632C" w:rsidRPr="000D283A" w:rsidRDefault="0012632C" w:rsidP="0012632C">
      <w:pPr>
        <w:rPr>
          <w:rFonts w:ascii="Calibri" w:hAnsi="Calibri" w:cs="Calibri"/>
          <w:sz w:val="22"/>
          <w:szCs w:val="22"/>
        </w:rPr>
      </w:pPr>
      <w:r w:rsidRPr="000D283A">
        <w:rPr>
          <w:rFonts w:ascii="Calibri" w:hAnsi="Calibri" w:cs="Calibri"/>
          <w:b/>
          <w:bCs/>
          <w:sz w:val="22"/>
          <w:szCs w:val="22"/>
        </w:rPr>
        <w:t xml:space="preserve">Supplementary Figure 1. Enrichment of ASD coding DNVs in LoF-intolerant genes. </w:t>
      </w:r>
      <w:r w:rsidRPr="000D283A">
        <w:rPr>
          <w:rFonts w:ascii="Calibri" w:hAnsi="Calibri" w:cs="Calibri"/>
          <w:sz w:val="22"/>
          <w:szCs w:val="22"/>
        </w:rPr>
        <w:t xml:space="preserve">Enrichment factors were calculated for each LOEUF decile as the ratio of normalized variant counts in ASD cases (n = 5,421) versus controls (n = 1,467). Counts were normalized by sample size and computed separately for </w:t>
      </w:r>
      <w:r w:rsidRPr="000D283A">
        <w:rPr>
          <w:rFonts w:ascii="Calibri" w:hAnsi="Calibri" w:cs="Calibri"/>
          <w:i/>
          <w:sz w:val="22"/>
          <w:szCs w:val="22"/>
        </w:rPr>
        <w:t>de novo</w:t>
      </w:r>
      <w:r w:rsidRPr="000D283A">
        <w:rPr>
          <w:rFonts w:ascii="Calibri" w:hAnsi="Calibri" w:cs="Calibri"/>
          <w:sz w:val="22"/>
          <w:szCs w:val="22"/>
        </w:rPr>
        <w:t xml:space="preserve"> LoF and synonymous variants.</w:t>
      </w:r>
    </w:p>
    <w:p w14:paraId="77A3382D" w14:textId="77777777" w:rsidR="0012632C" w:rsidRPr="000D283A" w:rsidRDefault="0012632C" w:rsidP="0012632C">
      <w:pPr>
        <w:rPr>
          <w:rFonts w:ascii="Calibri" w:hAnsi="Calibri" w:cs="Calibri"/>
          <w:sz w:val="22"/>
          <w:szCs w:val="22"/>
        </w:rPr>
      </w:pPr>
    </w:p>
    <w:p w14:paraId="4BAF13DA" w14:textId="77777777" w:rsidR="0012632C" w:rsidRPr="000D283A" w:rsidRDefault="0012632C" w:rsidP="0012632C">
      <w:pPr>
        <w:rPr>
          <w:rFonts w:ascii="Calibri" w:hAnsi="Calibri" w:cs="Calibri"/>
          <w:sz w:val="22"/>
          <w:szCs w:val="22"/>
        </w:rPr>
      </w:pPr>
      <w:r w:rsidRPr="000D283A">
        <w:rPr>
          <w:rFonts w:ascii="Calibri" w:hAnsi="Calibri" w:cs="Calibri"/>
          <w:b/>
          <w:bCs/>
          <w:sz w:val="22"/>
          <w:szCs w:val="22"/>
        </w:rPr>
        <w:t>Supplementary Figure 2</w:t>
      </w:r>
      <w:r w:rsidRPr="000D283A">
        <w:rPr>
          <w:rFonts w:ascii="Calibri" w:hAnsi="Calibri" w:cs="Calibri"/>
          <w:sz w:val="22"/>
          <w:szCs w:val="22"/>
        </w:rPr>
        <w:t xml:space="preserve">. Network modules detected by DOMINO for LoF-intolerant ASD genes with </w:t>
      </w:r>
      <w:r w:rsidRPr="000D283A">
        <w:rPr>
          <w:rFonts w:ascii="Calibri" w:hAnsi="Calibri" w:cs="Calibri"/>
          <w:b/>
          <w:bCs/>
          <w:sz w:val="22"/>
          <w:szCs w:val="22"/>
        </w:rPr>
        <w:t>A</w:t>
      </w:r>
      <w:r w:rsidRPr="000D283A">
        <w:rPr>
          <w:rFonts w:ascii="Calibri" w:hAnsi="Calibri" w:cs="Calibri"/>
          <w:sz w:val="22"/>
          <w:szCs w:val="22"/>
        </w:rPr>
        <w:t xml:space="preserve"> </w:t>
      </w:r>
      <w:r w:rsidRPr="00D41BEC">
        <w:rPr>
          <w:rFonts w:ascii="Calibri" w:hAnsi="Calibri" w:cs="Calibri"/>
          <w:sz w:val="22"/>
          <w:szCs w:val="22"/>
        </w:rPr>
        <w:t xml:space="preserve">broad (greater than or equal to 35 tissues) and </w:t>
      </w:r>
      <w:r w:rsidRPr="00D41BEC">
        <w:rPr>
          <w:rFonts w:ascii="Calibri" w:hAnsi="Calibri" w:cs="Calibri"/>
          <w:b/>
          <w:bCs/>
          <w:sz w:val="22"/>
          <w:szCs w:val="22"/>
        </w:rPr>
        <w:t>B</w:t>
      </w:r>
      <w:r w:rsidRPr="00D41BEC">
        <w:rPr>
          <w:rFonts w:ascii="Calibri" w:hAnsi="Calibri" w:cs="Calibri"/>
          <w:sz w:val="22"/>
          <w:szCs w:val="22"/>
        </w:rPr>
        <w:t xml:space="preserve"> narrow (&lt;35 tissues) expression. DOMINO was applied separately to 233 broad and 47 narrow genes from the lowest LOEUF decile carrying coding DNVs in the ASD cohort, using the STRING protein–protein interaction network </w:t>
      </w:r>
      <w:sdt>
        <w:sdtPr>
          <w:rPr>
            <w:rFonts w:ascii="Calibri" w:hAnsi="Calibri" w:cs="Calibri"/>
            <w:color w:val="000000"/>
            <w:sz w:val="22"/>
            <w:szCs w:val="22"/>
          </w:rPr>
          <w:tag w:val="MENDELEY_CITATION_v3_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"/>
          <w:id w:val="1445731297"/>
          <w:placeholder>
            <w:docPart w:val="A7FF5D6995B74F13AAA2F56C31CCF40E"/>
          </w:placeholder>
        </w:sdtPr>
        <w:sdtContent>
          <w:r w:rsidRPr="00D41BEC">
            <w:rPr>
              <w:rFonts w:ascii="Calibri" w:hAnsi="Calibri" w:cs="Calibri"/>
              <w:color w:val="000000"/>
              <w:sz w:val="22"/>
              <w:szCs w:val="22"/>
            </w:rPr>
            <w:t>[18]</w:t>
          </w:r>
        </w:sdtContent>
      </w:sdt>
      <w:r w:rsidRPr="00D41BEC">
        <w:rPr>
          <w:rFonts w:ascii="Calibri" w:hAnsi="Calibri" w:cs="Calibri"/>
          <w:color w:val="000000"/>
          <w:sz w:val="22"/>
          <w:szCs w:val="22"/>
        </w:rPr>
        <w:t>.</w:t>
      </w:r>
      <w:r w:rsidRPr="00D41BEC">
        <w:rPr>
          <w:rFonts w:ascii="Calibri" w:hAnsi="Calibri" w:cs="Calibri"/>
          <w:sz w:val="22"/>
          <w:szCs w:val="22"/>
        </w:rPr>
        <w:t xml:space="preserve"> Modules were then tested for GO enrichment (hypergeometric tests).</w:t>
      </w:r>
    </w:p>
    <w:p w14:paraId="169975A1" w14:textId="77777777" w:rsidR="0012632C" w:rsidRPr="000D283A" w:rsidRDefault="0012632C" w:rsidP="0012632C">
      <w:pPr>
        <w:rPr>
          <w:rFonts w:ascii="Calibri" w:hAnsi="Calibri" w:cs="Calibri"/>
          <w:sz w:val="22"/>
          <w:szCs w:val="22"/>
        </w:rPr>
      </w:pPr>
    </w:p>
    <w:p w14:paraId="18425664" w14:textId="77777777" w:rsidR="0012632C" w:rsidRPr="000D283A" w:rsidRDefault="0012632C" w:rsidP="0012632C">
      <w:pPr>
        <w:rPr>
          <w:rFonts w:ascii="Calibri" w:hAnsi="Calibri" w:cs="Calibri"/>
          <w:sz w:val="22"/>
          <w:szCs w:val="22"/>
        </w:rPr>
      </w:pPr>
    </w:p>
    <w:p w14:paraId="43F8F6F2" w14:textId="77777777" w:rsidR="0012632C" w:rsidRPr="000D283A" w:rsidRDefault="0012632C" w:rsidP="0012632C">
      <w:pPr>
        <w:rPr>
          <w:rFonts w:ascii="Calibri" w:hAnsi="Calibri" w:cs="Calibri"/>
          <w:sz w:val="22"/>
          <w:szCs w:val="22"/>
        </w:rPr>
      </w:pPr>
      <w:r w:rsidRPr="000D283A">
        <w:rPr>
          <w:rFonts w:ascii="Calibri" w:hAnsi="Calibri" w:cs="Calibri"/>
          <w:b/>
          <w:bCs/>
          <w:sz w:val="22"/>
          <w:szCs w:val="22"/>
        </w:rPr>
        <w:t>Supplementary Figure 3</w:t>
      </w:r>
      <w:r w:rsidRPr="000D283A">
        <w:rPr>
          <w:rFonts w:ascii="Calibri" w:hAnsi="Calibri" w:cs="Calibri"/>
          <w:sz w:val="22"/>
          <w:szCs w:val="22"/>
        </w:rPr>
        <w:t xml:space="preserve">. </w:t>
      </w:r>
      <w:r w:rsidRPr="000D283A">
        <w:rPr>
          <w:rFonts w:ascii="Calibri" w:hAnsi="Calibri" w:cs="Calibri"/>
          <w:b/>
          <w:bCs/>
          <w:sz w:val="22"/>
          <w:szCs w:val="22"/>
        </w:rPr>
        <w:t>Enrichment of disease gene sets in cell-type maturation trajectories and kinetic patterns in the human prefrontal cortex</w:t>
      </w:r>
      <w:r w:rsidRPr="000D283A">
        <w:rPr>
          <w:rFonts w:ascii="Calibri" w:hAnsi="Calibri" w:cs="Calibri"/>
          <w:sz w:val="22"/>
          <w:szCs w:val="22"/>
        </w:rPr>
        <w:t xml:space="preserve">. The same analysis described in Fig. 3 was applied here to set of genes associated with the late-onset brain diseases </w:t>
      </w:r>
      <w:r w:rsidRPr="000D283A">
        <w:rPr>
          <w:rFonts w:ascii="Calibri" w:hAnsi="Calibri" w:cs="Calibri"/>
          <w:b/>
          <w:bCs/>
          <w:sz w:val="22"/>
          <w:szCs w:val="22"/>
        </w:rPr>
        <w:t>A</w:t>
      </w:r>
      <w:r w:rsidRPr="000D283A">
        <w:rPr>
          <w:rFonts w:ascii="Calibri" w:hAnsi="Calibri" w:cs="Calibri"/>
          <w:sz w:val="22"/>
          <w:szCs w:val="22"/>
        </w:rPr>
        <w:t xml:space="preserve">. Alzheimer and </w:t>
      </w:r>
      <w:r w:rsidRPr="000D283A">
        <w:rPr>
          <w:rFonts w:ascii="Calibri" w:hAnsi="Calibri" w:cs="Calibri"/>
          <w:b/>
          <w:bCs/>
          <w:sz w:val="22"/>
          <w:szCs w:val="22"/>
        </w:rPr>
        <w:t>B</w:t>
      </w:r>
      <w:r w:rsidRPr="000D283A">
        <w:rPr>
          <w:rFonts w:ascii="Calibri" w:hAnsi="Calibri" w:cs="Calibri"/>
          <w:sz w:val="22"/>
          <w:szCs w:val="22"/>
        </w:rPr>
        <w:t xml:space="preserve">. Parkinson, as well as </w:t>
      </w:r>
      <w:r w:rsidRPr="000D283A">
        <w:rPr>
          <w:rFonts w:ascii="Calibri" w:hAnsi="Calibri" w:cs="Calibri"/>
          <w:b/>
          <w:bCs/>
          <w:sz w:val="22"/>
          <w:szCs w:val="22"/>
        </w:rPr>
        <w:t>C</w:t>
      </w:r>
      <w:r w:rsidRPr="000D283A">
        <w:rPr>
          <w:rFonts w:ascii="Calibri" w:hAnsi="Calibri" w:cs="Calibri"/>
          <w:sz w:val="22"/>
          <w:szCs w:val="22"/>
        </w:rPr>
        <w:t xml:space="preserve">. a non-brain disease – congenital heart defects (CHD).  </w:t>
      </w:r>
    </w:p>
    <w:p w14:paraId="412679BB" w14:textId="77777777" w:rsidR="0012632C" w:rsidRPr="000D283A" w:rsidRDefault="0012632C" w:rsidP="0012632C">
      <w:pPr>
        <w:rPr>
          <w:rFonts w:ascii="Calibri" w:hAnsi="Calibri" w:cs="Calibri"/>
          <w:sz w:val="22"/>
          <w:szCs w:val="22"/>
        </w:rPr>
      </w:pPr>
      <w:r w:rsidRPr="000D283A">
        <w:rPr>
          <w:rFonts w:ascii="Calibri" w:hAnsi="Calibri" w:cs="Calibri"/>
          <w:sz w:val="22"/>
          <w:szCs w:val="22"/>
        </w:rPr>
        <w:t xml:space="preserve"> </w:t>
      </w:r>
    </w:p>
    <w:p w14:paraId="7C18D046" w14:textId="77777777" w:rsidR="0012632C" w:rsidRPr="000D283A" w:rsidRDefault="0012632C" w:rsidP="0012632C">
      <w:pPr>
        <w:rPr>
          <w:rFonts w:ascii="Calibri" w:hAnsi="Calibri" w:cs="Calibri"/>
          <w:sz w:val="22"/>
          <w:szCs w:val="22"/>
        </w:rPr>
      </w:pPr>
    </w:p>
    <w:p w14:paraId="5EFB095C" w14:textId="77777777" w:rsidR="0012632C" w:rsidRPr="000D283A" w:rsidRDefault="0012632C" w:rsidP="0012632C">
      <w:pPr>
        <w:rPr>
          <w:rFonts w:ascii="Calibri" w:hAnsi="Calibri" w:cs="Calibri"/>
          <w:sz w:val="22"/>
          <w:szCs w:val="22"/>
        </w:rPr>
      </w:pPr>
      <w:r w:rsidRPr="000D283A">
        <w:rPr>
          <w:rFonts w:ascii="Calibri" w:hAnsi="Calibri" w:cs="Calibri"/>
          <w:sz w:val="22"/>
          <w:szCs w:val="22"/>
        </w:rPr>
        <w:br w:type="page"/>
      </w:r>
    </w:p>
    <w:p w14:paraId="74ECDC1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32C"/>
    <w:rsid w:val="0012632C"/>
    <w:rsid w:val="002E281E"/>
    <w:rsid w:val="003201BB"/>
    <w:rsid w:val="003F4BE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5F260"/>
  <w15:chartTrackingRefBased/>
  <w15:docId w15:val="{13CAD7FD-1532-47C0-A62C-99402FEA7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632C"/>
    <w:pPr>
      <w:spacing w:after="0" w:line="240" w:lineRule="auto"/>
    </w:pPr>
    <w:rPr>
      <w:rFonts w:ascii="Times New Roman" w:eastAsia="Times New Roman" w:hAnsi="Times New Roman" w:cs="Times New Roman"/>
      <w:kern w:val="0"/>
      <w:lang w:bidi="he-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632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632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632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632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632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632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632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632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632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63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63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63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63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63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63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63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63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63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632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263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632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263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632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263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632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263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63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63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632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7FF5D6995B74F13AAA2F56C31CCF4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998361-C15E-47A5-BF58-A42F4931A028}"/>
      </w:docPartPr>
      <w:docPartBody>
        <w:p w:rsidR="00000000" w:rsidRDefault="00F51522" w:rsidP="00F51522">
          <w:pPr>
            <w:pStyle w:val="A7FF5D6995B74F13AAA2F56C31CCF40E"/>
          </w:pPr>
          <w:r w:rsidRPr="00450EDB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522"/>
    <w:rsid w:val="003F4BEB"/>
    <w:rsid w:val="00923116"/>
    <w:rsid w:val="00F51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51522"/>
    <w:rPr>
      <w:color w:val="808080"/>
    </w:rPr>
  </w:style>
  <w:style w:type="paragraph" w:customStyle="1" w:styleId="A7FF5D6995B74F13AAA2F56C31CCF40E">
    <w:name w:val="A7FF5D6995B74F13AAA2F56C31CCF40E"/>
    <w:rsid w:val="00F5152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169</Words>
  <Characters>1007</Characters>
  <Application>Microsoft Office Word</Application>
  <DocSecurity>0</DocSecurity>
  <Lines>15</Lines>
  <Paragraphs>3</Paragraphs>
  <ScaleCrop>false</ScaleCrop>
  <Company>Springer Nature</Company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2025-11-25T15:45:00Z</dcterms:created>
  <dcterms:modified xsi:type="dcterms:W3CDTF">2025-11-25T15:45:00Z</dcterms:modified>
</cp:coreProperties>
</file>