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AD4CC" w14:textId="77777777" w:rsidR="006C2EA8" w:rsidRDefault="006C2EA8" w:rsidP="006C2EA8">
      <w:pPr>
        <w:pStyle w:val="BodyB"/>
        <w:spacing w:after="0" w:line="240" w:lineRule="auto"/>
        <w:jc w:val="center"/>
        <w:rPr>
          <w:rStyle w:val="None"/>
          <w:rFonts w:ascii="Arial" w:eastAsia="Arial" w:hAnsi="Arial" w:cs="Arial"/>
          <w:b/>
          <w:bCs/>
          <w:sz w:val="22"/>
          <w:szCs w:val="22"/>
          <w:lang w:val="en-US"/>
        </w:rPr>
      </w:pPr>
      <w:r>
        <w:rPr>
          <w:rStyle w:val="None"/>
          <w:rFonts w:ascii="Arial" w:hAnsi="Arial"/>
          <w:b/>
          <w:bCs/>
          <w:sz w:val="22"/>
          <w:szCs w:val="22"/>
          <w:lang w:val="en-US"/>
        </w:rPr>
        <w:t>SUPPLEMENTAL APPENDIX:</w:t>
      </w:r>
    </w:p>
    <w:p w14:paraId="0DC23D27" w14:textId="77777777" w:rsidR="006C2EA8" w:rsidRDefault="006C2EA8" w:rsidP="006C2EA8">
      <w:pPr>
        <w:pStyle w:val="BodyB"/>
        <w:spacing w:after="0" w:line="240" w:lineRule="auto"/>
        <w:jc w:val="center"/>
        <w:rPr>
          <w:rStyle w:val="None"/>
          <w:rFonts w:ascii="Arial" w:eastAsia="Arial" w:hAnsi="Arial" w:cs="Arial"/>
          <w:sz w:val="22"/>
          <w:szCs w:val="22"/>
          <w:lang w:val="en-US"/>
        </w:rPr>
      </w:pPr>
    </w:p>
    <w:p w14:paraId="6FB0A6A1" w14:textId="77777777" w:rsidR="006C2EA8" w:rsidRDefault="006C2EA8" w:rsidP="006C2EA8">
      <w:pPr>
        <w:pStyle w:val="BodyB"/>
        <w:spacing w:after="0" w:line="240" w:lineRule="auto"/>
        <w:jc w:val="center"/>
        <w:rPr>
          <w:rStyle w:val="Hyperlink1"/>
          <w:lang w:val="en-US"/>
        </w:rPr>
      </w:pPr>
      <w:r>
        <w:rPr>
          <w:rStyle w:val="None"/>
          <w:rFonts w:ascii="Arial" w:hAnsi="Arial"/>
          <w:b/>
          <w:bCs/>
          <w:sz w:val="22"/>
          <w:szCs w:val="22"/>
          <w:lang w:val="en-US"/>
        </w:rPr>
        <w:t xml:space="preserve">Individualized Antisense Oligonucleotides for </w:t>
      </w:r>
      <w:r>
        <w:rPr>
          <w:rStyle w:val="None"/>
          <w:rFonts w:ascii="Arial" w:hAnsi="Arial"/>
          <w:b/>
          <w:bCs/>
          <w:i/>
          <w:iCs/>
          <w:sz w:val="22"/>
          <w:szCs w:val="22"/>
          <w:lang w:val="en-US"/>
        </w:rPr>
        <w:t xml:space="preserve">SCN2A </w:t>
      </w:r>
      <w:r>
        <w:rPr>
          <w:rStyle w:val="None"/>
          <w:rFonts w:ascii="Arial" w:hAnsi="Arial"/>
          <w:b/>
          <w:bCs/>
          <w:sz w:val="22"/>
          <w:szCs w:val="22"/>
          <w:lang w:val="en-US"/>
        </w:rPr>
        <w:t>Related Disorders</w:t>
      </w:r>
    </w:p>
    <w:p w14:paraId="66F567CC" w14:textId="77777777" w:rsidR="006C2EA8" w:rsidRDefault="006C2EA8" w:rsidP="006C2EA8">
      <w:pPr>
        <w:pStyle w:val="BodyB"/>
        <w:spacing w:after="0" w:line="240" w:lineRule="auto"/>
        <w:jc w:val="center"/>
        <w:rPr>
          <w:rStyle w:val="None"/>
          <w:rFonts w:ascii="Arial" w:eastAsia="Arial" w:hAnsi="Arial" w:cs="Arial"/>
          <w:sz w:val="22"/>
          <w:szCs w:val="22"/>
          <w:lang w:val="en-US"/>
        </w:rPr>
      </w:pPr>
    </w:p>
    <w:p w14:paraId="6F9BD9F1" w14:textId="77777777" w:rsidR="006C2EA8" w:rsidRDefault="006C2EA8" w:rsidP="006C2EA8">
      <w:pPr>
        <w:pStyle w:val="BodyB"/>
        <w:spacing w:before="120" w:after="120" w:line="257" w:lineRule="auto"/>
        <w:rPr>
          <w:rStyle w:val="Hyperlink1"/>
          <w:lang w:val="en-US"/>
        </w:rPr>
      </w:pPr>
      <w:r>
        <w:rPr>
          <w:rStyle w:val="None"/>
          <w:rFonts w:ascii="Arial" w:hAnsi="Arial"/>
          <w:b/>
          <w:bCs/>
          <w:sz w:val="22"/>
          <w:szCs w:val="22"/>
          <w:lang w:val="en-US"/>
        </w:rPr>
        <w:t>NONCLINICAL METHODS AND DATA</w:t>
      </w:r>
    </w:p>
    <w:p w14:paraId="4904F4C7" w14:textId="77777777" w:rsidR="006C2EA8" w:rsidRDefault="006C2EA8" w:rsidP="006C2EA8">
      <w:pPr>
        <w:pStyle w:val="BodyB"/>
        <w:spacing w:before="120" w:line="257" w:lineRule="auto"/>
        <w:rPr>
          <w:rStyle w:val="Hyperlink1"/>
          <w:lang w:val="en-US"/>
        </w:rPr>
      </w:pPr>
      <w:r>
        <w:rPr>
          <w:rStyle w:val="None"/>
          <w:rFonts w:ascii="Arial" w:hAnsi="Arial"/>
          <w:sz w:val="22"/>
          <w:szCs w:val="22"/>
          <w:lang w:val="en-US"/>
        </w:rPr>
        <w:t>Using patients’ whole genome sequencing, individualized allele-selective antisense oligonucleotides (ASOs) were designed to knock down the mutant but not wildtype mRNA copy for each patient. A benign single nucleotide polymorphism (SNP) on the wild-type allele of each patient was used to develop a selective ASO for the mutant allele. The respective ASOs were run through potency and selectivity in vitro assays in patient-derived iPSCs, proinflammatory and off target evaluation, non-GLP single and GLP repeat dose toxicology studies in rodents, and GMP drug substance and drug product manufacturing, for subsequent first in-human intrathecal delivery of ASOs to the cerebrospinal fluid in parallel individualized FDA-authorized clinical trials.</w:t>
      </w:r>
    </w:p>
    <w:p w14:paraId="5E2F4471" w14:textId="77777777" w:rsidR="006C2EA8" w:rsidRDefault="006C2EA8" w:rsidP="006C2EA8">
      <w:pPr>
        <w:pStyle w:val="BodyB"/>
        <w:spacing w:before="120" w:line="257" w:lineRule="auto"/>
        <w:rPr>
          <w:rStyle w:val="Hyperlink1"/>
          <w:lang w:val="en-US"/>
        </w:rPr>
      </w:pPr>
      <w:r>
        <w:rPr>
          <w:rStyle w:val="None"/>
          <w:rFonts w:ascii="Arial" w:hAnsi="Arial"/>
          <w:sz w:val="22"/>
          <w:szCs w:val="22"/>
          <w:lang w:val="en-US"/>
        </w:rPr>
        <w:t xml:space="preserve">ASOs were designed to promote selective degradation of the mutant </w:t>
      </w:r>
      <w:r>
        <w:rPr>
          <w:rStyle w:val="None"/>
          <w:rFonts w:ascii="Arial" w:hAnsi="Arial"/>
          <w:i/>
          <w:iCs/>
          <w:sz w:val="22"/>
          <w:szCs w:val="22"/>
          <w:lang w:val="en-US"/>
        </w:rPr>
        <w:t>SCN2A</w:t>
      </w:r>
      <w:r>
        <w:rPr>
          <w:rStyle w:val="None"/>
          <w:rFonts w:ascii="Arial" w:hAnsi="Arial"/>
          <w:sz w:val="22"/>
          <w:szCs w:val="22"/>
          <w:lang w:val="en-US"/>
        </w:rPr>
        <w:t xml:space="preserve"> transcript through recruitment of RNase H1 to the RNA-ASO heteroduplex.</w:t>
      </w:r>
      <w:r>
        <w:rPr>
          <w:rStyle w:val="None"/>
          <w:rFonts w:ascii="Arial" w:hAnsi="Arial"/>
          <w:sz w:val="22"/>
          <w:szCs w:val="22"/>
          <w:vertAlign w:val="superscript"/>
          <w:lang w:val="en-US"/>
        </w:rPr>
        <w:t>11, 12</w:t>
      </w:r>
      <w:r>
        <w:rPr>
          <w:rStyle w:val="None"/>
          <w:rFonts w:ascii="Arial" w:hAnsi="Arial"/>
          <w:sz w:val="22"/>
          <w:szCs w:val="22"/>
          <w:lang w:val="en-US"/>
        </w:rPr>
        <w:t xml:space="preserve"> Over 500 2’MOE </w:t>
      </w:r>
      <w:proofErr w:type="spellStart"/>
      <w:r>
        <w:rPr>
          <w:rStyle w:val="None"/>
          <w:rFonts w:ascii="Arial" w:hAnsi="Arial"/>
          <w:sz w:val="22"/>
          <w:szCs w:val="22"/>
          <w:lang w:val="en-US"/>
        </w:rPr>
        <w:t>gapmers</w:t>
      </w:r>
      <w:proofErr w:type="spellEnd"/>
      <w:r>
        <w:rPr>
          <w:rStyle w:val="None"/>
          <w:rFonts w:ascii="Arial" w:hAnsi="Arial"/>
          <w:sz w:val="22"/>
          <w:szCs w:val="22"/>
          <w:lang w:val="en-US"/>
        </w:rPr>
        <w:t xml:space="preserve"> with mixed backbone (PS/PO) were designed to single nucleotide differences between the two SCNA2A alleles in the patients SCN2A gene. ASOs targeted either the SNP or consensus sequence phased to the pathogenic allele as previously described.</w:t>
      </w:r>
      <w:r>
        <w:rPr>
          <w:rStyle w:val="None"/>
          <w:rFonts w:ascii="Arial" w:hAnsi="Arial"/>
          <w:sz w:val="22"/>
          <w:szCs w:val="22"/>
          <w:vertAlign w:val="superscript"/>
          <w:lang w:val="en-US"/>
        </w:rPr>
        <w:t xml:space="preserve"> </w:t>
      </w:r>
      <w:bookmarkStart w:id="0" w:name="_Int_P5YDUaKa"/>
      <w:proofErr w:type="gramStart"/>
      <w:r>
        <w:rPr>
          <w:rStyle w:val="None"/>
          <w:rFonts w:ascii="Arial" w:hAnsi="Arial"/>
          <w:sz w:val="22"/>
          <w:szCs w:val="22"/>
          <w:vertAlign w:val="superscript"/>
          <w:lang w:val="en-US"/>
        </w:rPr>
        <w:t xml:space="preserve">7 </w:t>
      </w:r>
      <w:r>
        <w:rPr>
          <w:rStyle w:val="None"/>
          <w:rFonts w:ascii="Arial" w:hAnsi="Arial"/>
          <w:sz w:val="22"/>
          <w:szCs w:val="22"/>
          <w:lang w:val="en-US"/>
        </w:rPr>
        <w:t xml:space="preserve"> Mapping</w:t>
      </w:r>
      <w:bookmarkEnd w:id="0"/>
      <w:proofErr w:type="gramEnd"/>
      <w:r>
        <w:rPr>
          <w:rStyle w:val="None"/>
          <w:rFonts w:ascii="Arial" w:hAnsi="Arial"/>
          <w:sz w:val="22"/>
          <w:szCs w:val="22"/>
          <w:lang w:val="en-US"/>
        </w:rPr>
        <w:t xml:space="preserve"> heterozygous SNPs common to both patients identified a subset of ASOs that could also be screened in the other patient</w:t>
      </w:r>
      <w:r>
        <w:rPr>
          <w:rStyle w:val="None"/>
          <w:rFonts w:ascii="Arial" w:hAnsi="Arial"/>
          <w:b/>
          <w:bCs/>
          <w:sz w:val="22"/>
          <w:szCs w:val="22"/>
          <w:lang w:val="en-US"/>
        </w:rPr>
        <w:t xml:space="preserve"> </w:t>
      </w:r>
      <w:r>
        <w:rPr>
          <w:rStyle w:val="None"/>
          <w:rFonts w:ascii="Arial" w:hAnsi="Arial"/>
          <w:sz w:val="22"/>
          <w:szCs w:val="22"/>
          <w:lang w:val="en-US"/>
        </w:rPr>
        <w:t>cells, expediting the discovery process overall.</w:t>
      </w:r>
      <w:r>
        <w:rPr>
          <w:rStyle w:val="None"/>
          <w:rFonts w:ascii="Arial" w:hAnsi="Arial"/>
          <w:b/>
          <w:bCs/>
          <w:sz w:val="22"/>
          <w:szCs w:val="22"/>
          <w:lang w:val="en-US"/>
        </w:rPr>
        <w:t xml:space="preserve">  </w:t>
      </w:r>
      <w:r>
        <w:rPr>
          <w:rStyle w:val="None"/>
          <w:rFonts w:ascii="Arial" w:hAnsi="Arial"/>
          <w:sz w:val="22"/>
          <w:szCs w:val="22"/>
          <w:lang w:val="en-US"/>
        </w:rPr>
        <w:t xml:space="preserve">Multiple potent, allele selective ASOs identified in a single dose </w:t>
      </w:r>
      <w:r>
        <w:rPr>
          <w:rStyle w:val="None"/>
          <w:rFonts w:ascii="Arial" w:hAnsi="Arial"/>
          <w:i/>
          <w:iCs/>
          <w:sz w:val="22"/>
          <w:szCs w:val="22"/>
          <w:lang w:val="en-US"/>
        </w:rPr>
        <w:t>in vitro</w:t>
      </w:r>
      <w:r>
        <w:rPr>
          <w:rStyle w:val="None"/>
          <w:rFonts w:ascii="Arial" w:hAnsi="Arial"/>
          <w:sz w:val="22"/>
          <w:szCs w:val="22"/>
          <w:lang w:val="en-US"/>
        </w:rPr>
        <w:t xml:space="preserve"> assay in each patient’s iPSC derived neurons were tested on a dose response assay.  ASOs meeting minimal criteria for potency and selectivity were further assessed for their potential to trigger innate immunity by measuring CCL22 levels in BJAB cells treated with high ASO concentrations (up to 8 µM)</w:t>
      </w:r>
      <w:r>
        <w:rPr>
          <w:rStyle w:val="None"/>
          <w:rFonts w:ascii="Arial" w:hAnsi="Arial"/>
          <w:sz w:val="22"/>
          <w:szCs w:val="22"/>
          <w:vertAlign w:val="superscript"/>
          <w:lang w:val="en-US"/>
        </w:rPr>
        <w:t xml:space="preserve"> 13</w:t>
      </w:r>
      <w:r>
        <w:rPr>
          <w:rStyle w:val="None"/>
          <w:rFonts w:ascii="Arial" w:hAnsi="Arial"/>
          <w:sz w:val="22"/>
          <w:szCs w:val="22"/>
          <w:lang w:val="en-US"/>
        </w:rPr>
        <w:t xml:space="preserve"> </w:t>
      </w:r>
      <w:r>
        <w:rPr>
          <w:rStyle w:val="None"/>
          <w:rFonts w:ascii="Arial" w:hAnsi="Arial"/>
          <w:i/>
          <w:iCs/>
          <w:sz w:val="22"/>
          <w:szCs w:val="22"/>
          <w:lang w:val="en-US"/>
        </w:rPr>
        <w:t xml:space="preserve">In silico </w:t>
      </w:r>
      <w:r>
        <w:rPr>
          <w:rStyle w:val="None"/>
          <w:rFonts w:ascii="Arial" w:hAnsi="Arial"/>
          <w:sz w:val="22"/>
          <w:szCs w:val="22"/>
          <w:lang w:val="en-US"/>
        </w:rPr>
        <w:t xml:space="preserve">characterization followed by </w:t>
      </w:r>
      <w:r>
        <w:rPr>
          <w:rStyle w:val="None"/>
          <w:rFonts w:ascii="Arial" w:hAnsi="Arial"/>
          <w:i/>
          <w:iCs/>
          <w:sz w:val="22"/>
          <w:szCs w:val="22"/>
          <w:lang w:val="en-US"/>
        </w:rPr>
        <w:t xml:space="preserve">in vitro </w:t>
      </w:r>
      <w:r>
        <w:rPr>
          <w:rStyle w:val="None"/>
          <w:rFonts w:ascii="Arial" w:hAnsi="Arial"/>
          <w:sz w:val="22"/>
          <w:szCs w:val="22"/>
          <w:lang w:val="en-US"/>
        </w:rPr>
        <w:t>confirmation of the specificity of each ASO</w:t>
      </w:r>
      <w:r>
        <w:rPr>
          <w:rStyle w:val="None"/>
          <w:rFonts w:ascii="Arial" w:hAnsi="Arial"/>
          <w:b/>
          <w:bCs/>
          <w:sz w:val="22"/>
          <w:szCs w:val="22"/>
          <w:lang w:val="en-US"/>
        </w:rPr>
        <w:t xml:space="preserve"> </w:t>
      </w:r>
      <w:r>
        <w:rPr>
          <w:rStyle w:val="None"/>
          <w:rFonts w:ascii="Arial" w:hAnsi="Arial"/>
          <w:sz w:val="22"/>
          <w:szCs w:val="22"/>
          <w:lang w:val="en-US"/>
        </w:rPr>
        <w:t xml:space="preserve">for SCN2A with no demonstratable effects on any other human genes with partial complementarity (“off targets”) was performed. </w:t>
      </w:r>
    </w:p>
    <w:p w14:paraId="56618E32" w14:textId="77777777" w:rsidR="006C2EA8" w:rsidRDefault="006C2EA8" w:rsidP="006C2EA8">
      <w:pPr>
        <w:pStyle w:val="BodyB"/>
        <w:spacing w:before="120" w:after="120" w:line="240" w:lineRule="auto"/>
        <w:rPr>
          <w:rStyle w:val="None"/>
          <w:rFonts w:ascii="Arial" w:hAnsi="Arial"/>
          <w:sz w:val="22"/>
          <w:szCs w:val="22"/>
          <w:lang w:val="en-US"/>
        </w:rPr>
      </w:pPr>
      <w:r>
        <w:rPr>
          <w:rStyle w:val="None"/>
          <w:rFonts w:ascii="Arial" w:hAnsi="Arial"/>
          <w:sz w:val="22"/>
          <w:szCs w:val="22"/>
          <w:lang w:val="en-US"/>
        </w:rPr>
        <w:t xml:space="preserve">ASOs were then assessed for </w:t>
      </w:r>
      <w:r>
        <w:rPr>
          <w:rStyle w:val="None"/>
          <w:rFonts w:ascii="Arial" w:hAnsi="Arial"/>
          <w:i/>
          <w:iCs/>
          <w:sz w:val="22"/>
          <w:szCs w:val="22"/>
          <w:lang w:val="en-US"/>
        </w:rPr>
        <w:t xml:space="preserve">in vivo </w:t>
      </w:r>
      <w:r>
        <w:rPr>
          <w:rStyle w:val="None"/>
          <w:rFonts w:ascii="Arial" w:hAnsi="Arial"/>
          <w:sz w:val="22"/>
          <w:szCs w:val="22"/>
          <w:lang w:val="en-US"/>
        </w:rPr>
        <w:t xml:space="preserve">tolerability in two non-Good Laboratory Practices (non-GLP) studies (an 8-week single intracerebroventricular [ICV] dose study in mice and an 8-week single </w:t>
      </w:r>
      <w:bookmarkStart w:id="1" w:name="_Int_76Uue0kc"/>
      <w:r>
        <w:rPr>
          <w:rStyle w:val="None"/>
          <w:rFonts w:ascii="Arial" w:hAnsi="Arial"/>
          <w:sz w:val="22"/>
          <w:szCs w:val="22"/>
          <w:lang w:val="en-US"/>
        </w:rPr>
        <w:t>intrathecal</w:t>
      </w:r>
      <w:bookmarkEnd w:id="1"/>
      <w:r>
        <w:rPr>
          <w:rStyle w:val="None"/>
          <w:rFonts w:ascii="Arial" w:hAnsi="Arial"/>
          <w:sz w:val="22"/>
          <w:szCs w:val="22"/>
          <w:lang w:val="en-US"/>
        </w:rPr>
        <w:t xml:space="preserve"> [IT] dose study in rats).</w:t>
      </w:r>
      <w:r>
        <w:rPr>
          <w:rStyle w:val="None"/>
          <w:rFonts w:ascii="Arial" w:hAnsi="Arial"/>
          <w:sz w:val="22"/>
          <w:szCs w:val="22"/>
          <w:vertAlign w:val="superscript"/>
          <w:lang w:val="en-US"/>
        </w:rPr>
        <w:t xml:space="preserve"> 14, 15</w:t>
      </w:r>
      <w:r>
        <w:rPr>
          <w:rStyle w:val="None"/>
          <w:rFonts w:ascii="Arial" w:hAnsi="Arial"/>
          <w:sz w:val="22"/>
          <w:szCs w:val="22"/>
          <w:lang w:val="en-US"/>
        </w:rPr>
        <w:t xml:space="preserve"> These steps led to the identification of an optimal ASO for each patient. The lead ASOs were then evaluated in 2 distinct 13-week GLP repeat dose toxicology studies in which 10 rats/sex were given 0, 0.3 or 1 mg/dose by intrathecal administration on Days 1, 29, 57, and 85, with necropsy performed on Day 92.  In both studies, the ASOs were considered to be well tolerated, with transient </w:t>
      </w:r>
      <w:proofErr w:type="spellStart"/>
      <w:r>
        <w:rPr>
          <w:rStyle w:val="None"/>
          <w:rFonts w:ascii="Arial" w:hAnsi="Arial"/>
          <w:sz w:val="22"/>
          <w:szCs w:val="22"/>
          <w:lang w:val="en-US"/>
        </w:rPr>
        <w:t>postdose</w:t>
      </w:r>
      <w:proofErr w:type="spellEnd"/>
      <w:r>
        <w:rPr>
          <w:rStyle w:val="None"/>
          <w:rFonts w:ascii="Arial" w:hAnsi="Arial"/>
          <w:sz w:val="22"/>
          <w:szCs w:val="22"/>
          <w:lang w:val="en-US"/>
        </w:rPr>
        <w:t xml:space="preserve"> clinical and neurobehavioral observations of abnormal gait, incoordination, limited usage and/or decreased grip strength, low carriage/arousal/alertness/rearing events/body temperature, decreased body tone, impaired tail pinch response/tactile reflex and/or decreased activity noted at 1 mg/dose which recovered within 24 hours. Microscopic findings were observed at ≥ 0.3 mg/dose and included vacuolated macrophages and mononuclear or mixed cell infiltration in the spinal cord, injection site, meninges, nerve roots, brain, liver, dorsal root ganglion, and/or kidney.  In addition, basophilic granules and/or tubular degeneration/regeneration were noted in the kidney, and minimal to mild nerve fiber degeneration was observed in the spinal cord, nerve roots and/or injection site.  All findings were considered </w:t>
      </w:r>
      <w:proofErr w:type="spellStart"/>
      <w:r>
        <w:rPr>
          <w:rStyle w:val="None"/>
          <w:rFonts w:ascii="Arial" w:hAnsi="Arial"/>
          <w:sz w:val="22"/>
          <w:szCs w:val="22"/>
          <w:lang w:val="en-US"/>
        </w:rPr>
        <w:t>nonadverse</w:t>
      </w:r>
      <w:proofErr w:type="spellEnd"/>
      <w:r>
        <w:rPr>
          <w:rStyle w:val="None"/>
          <w:rFonts w:ascii="Arial" w:hAnsi="Arial"/>
          <w:sz w:val="22"/>
          <w:szCs w:val="22"/>
          <w:lang w:val="en-US"/>
        </w:rPr>
        <w:t xml:space="preserve">, and </w:t>
      </w:r>
      <w:bookmarkStart w:id="2" w:name="_Int_bLBaldqG"/>
      <w:proofErr w:type="gramStart"/>
      <w:r>
        <w:rPr>
          <w:rStyle w:val="None"/>
          <w:rFonts w:ascii="Arial" w:hAnsi="Arial"/>
          <w:sz w:val="22"/>
          <w:szCs w:val="22"/>
          <w:lang w:val="en-US"/>
        </w:rPr>
        <w:t>similar to</w:t>
      </w:r>
      <w:bookmarkEnd w:id="2"/>
      <w:proofErr w:type="gramEnd"/>
      <w:r>
        <w:rPr>
          <w:rStyle w:val="None"/>
          <w:rFonts w:ascii="Arial" w:hAnsi="Arial"/>
          <w:sz w:val="22"/>
          <w:szCs w:val="22"/>
          <w:lang w:val="en-US"/>
        </w:rPr>
        <w:t xml:space="preserve"> what has been observed in commercial ASOs, and the NOAEL was established at 1 mg/dose for both ASOs.</w:t>
      </w:r>
    </w:p>
    <w:p w14:paraId="77990A9F" w14:textId="77777777" w:rsidR="006C2EA8" w:rsidRDefault="006C2EA8" w:rsidP="006C2EA8">
      <w:pPr>
        <w:pStyle w:val="BodyB"/>
        <w:spacing w:before="120" w:after="120" w:line="240" w:lineRule="auto"/>
        <w:rPr>
          <w:rFonts w:ascii="Arial Unicode MS" w:hAnsi="Arial Unicode MS" w:cs="Arial Unicode MS"/>
          <w:sz w:val="22"/>
          <w:szCs w:val="22"/>
        </w:rPr>
      </w:pPr>
      <w:proofErr w:type="spellStart"/>
      <w:r w:rsidRPr="00064618">
        <w:rPr>
          <w:rFonts w:ascii="Arial Unicode MS" w:hAnsi="Arial Unicode MS" w:cs="Arial Unicode MS"/>
          <w:b/>
          <w:bCs/>
          <w:sz w:val="22"/>
          <w:szCs w:val="22"/>
        </w:rPr>
        <w:t>Supplemental</w:t>
      </w:r>
      <w:proofErr w:type="spellEnd"/>
      <w:r w:rsidRPr="00064618">
        <w:rPr>
          <w:rFonts w:ascii="Arial Unicode MS" w:hAnsi="Arial Unicode MS" w:cs="Arial Unicode MS"/>
          <w:b/>
          <w:bCs/>
          <w:sz w:val="22"/>
          <w:szCs w:val="22"/>
        </w:rPr>
        <w:t xml:space="preserve"> Table </w:t>
      </w:r>
      <w:proofErr w:type="gramStart"/>
      <w:r w:rsidRPr="00064618">
        <w:rPr>
          <w:rFonts w:ascii="Arial Unicode MS" w:hAnsi="Arial Unicode MS" w:cs="Arial Unicode MS"/>
          <w:b/>
          <w:bCs/>
          <w:sz w:val="22"/>
          <w:szCs w:val="22"/>
        </w:rPr>
        <w:t>1:</w:t>
      </w:r>
      <w:proofErr w:type="gramEnd"/>
      <w:r w:rsidRPr="00064618">
        <w:rPr>
          <w:rFonts w:ascii="Arial Unicode MS" w:hAnsi="Arial Unicode MS" w:cs="Arial Unicode MS"/>
          <w:b/>
          <w:bCs/>
          <w:sz w:val="22"/>
          <w:szCs w:val="22"/>
        </w:rPr>
        <w:t xml:space="preserve"> </w:t>
      </w:r>
      <w:r w:rsidRPr="00064618">
        <w:rPr>
          <w:rFonts w:ascii="Arial Unicode MS" w:hAnsi="Arial Unicode MS" w:cs="Arial Unicode MS"/>
          <w:sz w:val="22"/>
          <w:szCs w:val="22"/>
        </w:rPr>
        <w:t xml:space="preserve">All adverse </w:t>
      </w:r>
      <w:proofErr w:type="spellStart"/>
      <w:r w:rsidRPr="00064618">
        <w:rPr>
          <w:rFonts w:ascii="Arial Unicode MS" w:hAnsi="Arial Unicode MS" w:cs="Arial Unicode MS"/>
          <w:sz w:val="22"/>
          <w:szCs w:val="22"/>
        </w:rPr>
        <w:t>events</w:t>
      </w:r>
      <w:proofErr w:type="spellEnd"/>
      <w:r w:rsidRPr="00064618">
        <w:rPr>
          <w:rFonts w:ascii="Arial Unicode MS" w:hAnsi="Arial Unicode MS" w:cs="Arial Unicode MS"/>
          <w:sz w:val="22"/>
          <w:szCs w:val="22"/>
        </w:rPr>
        <w:t xml:space="preserve"> </w:t>
      </w:r>
      <w:proofErr w:type="spellStart"/>
      <w:r w:rsidRPr="00064618">
        <w:rPr>
          <w:rFonts w:ascii="Arial Unicode MS" w:hAnsi="Arial Unicode MS" w:cs="Arial Unicode MS"/>
          <w:sz w:val="22"/>
          <w:szCs w:val="22"/>
        </w:rPr>
        <w:t>reported</w:t>
      </w:r>
      <w:proofErr w:type="spellEnd"/>
      <w:r w:rsidRPr="00064618">
        <w:rPr>
          <w:rFonts w:ascii="Arial Unicode MS" w:hAnsi="Arial Unicode MS" w:cs="Arial Unicode MS"/>
          <w:sz w:val="22"/>
          <w:szCs w:val="22"/>
        </w:rPr>
        <w:t xml:space="preserve"> for </w:t>
      </w:r>
      <w:proofErr w:type="spellStart"/>
      <w:r w:rsidRPr="00064618">
        <w:rPr>
          <w:rFonts w:ascii="Arial Unicode MS" w:hAnsi="Arial Unicode MS" w:cs="Arial Unicode MS"/>
          <w:sz w:val="22"/>
          <w:szCs w:val="22"/>
        </w:rPr>
        <w:t>both</w:t>
      </w:r>
      <w:proofErr w:type="spellEnd"/>
      <w:r w:rsidRPr="00064618">
        <w:rPr>
          <w:rFonts w:ascii="Arial Unicode MS" w:hAnsi="Arial Unicode MS" w:cs="Arial Unicode MS"/>
          <w:sz w:val="22"/>
          <w:szCs w:val="22"/>
        </w:rPr>
        <w:t xml:space="preserve"> patients </w:t>
      </w:r>
      <w:proofErr w:type="spellStart"/>
      <w:r w:rsidRPr="00064618">
        <w:rPr>
          <w:rFonts w:ascii="Arial Unicode MS" w:hAnsi="Arial Unicode MS" w:cs="Arial Unicode MS"/>
          <w:sz w:val="22"/>
          <w:szCs w:val="22"/>
        </w:rPr>
        <w:t>through</w:t>
      </w:r>
      <w:proofErr w:type="spellEnd"/>
      <w:r w:rsidRPr="00064618">
        <w:rPr>
          <w:rFonts w:ascii="Arial Unicode MS" w:hAnsi="Arial Unicode MS" w:cs="Arial Unicode MS"/>
          <w:sz w:val="22"/>
          <w:szCs w:val="22"/>
        </w:rPr>
        <w:t xml:space="preserve"> </w:t>
      </w:r>
      <w:proofErr w:type="spellStart"/>
      <w:r w:rsidRPr="00064618">
        <w:rPr>
          <w:rFonts w:ascii="Arial Unicode MS" w:hAnsi="Arial Unicode MS" w:cs="Arial Unicode MS"/>
          <w:sz w:val="22"/>
          <w:szCs w:val="22"/>
        </w:rPr>
        <w:t>study</w:t>
      </w:r>
      <w:proofErr w:type="spellEnd"/>
      <w:r w:rsidRPr="00064618">
        <w:rPr>
          <w:rFonts w:ascii="Arial Unicode MS" w:hAnsi="Arial Unicode MS" w:cs="Arial Unicode MS"/>
          <w:sz w:val="22"/>
          <w:szCs w:val="22"/>
        </w:rPr>
        <w:t xml:space="preserve"> duration.</w:t>
      </w:r>
    </w:p>
    <w:p w14:paraId="45397CA2" w14:textId="77777777" w:rsidR="006C2EA8" w:rsidRPr="00064618" w:rsidRDefault="006C2EA8" w:rsidP="006C2EA8">
      <w:pPr>
        <w:pStyle w:val="BodyB"/>
        <w:spacing w:before="120" w:after="120" w:line="240" w:lineRule="auto"/>
        <w:rPr>
          <w:rFonts w:ascii="Arial Unicode MS" w:hAnsi="Arial Unicode MS" w:cs="Arial Unicode MS"/>
          <w:b/>
          <w:bCs/>
          <w:sz w:val="22"/>
          <w:szCs w:val="22"/>
        </w:rPr>
      </w:pPr>
      <w:r>
        <w:rPr>
          <w:rStyle w:val="None"/>
          <w:rFonts w:ascii="Arial" w:eastAsia="Arial" w:hAnsi="Arial" w:cs="Arial"/>
          <w:noProof/>
          <w:sz w:val="22"/>
          <w:szCs w:val="22"/>
        </w:rPr>
        <w:lastRenderedPageBreak/>
        <w:drawing>
          <wp:inline distT="0" distB="0" distL="0" distR="0" wp14:anchorId="29FF95C0" wp14:editId="4D20A910">
            <wp:extent cx="5718748" cy="7143347"/>
            <wp:effectExtent l="0" t="0" r="0" b="0"/>
            <wp:docPr id="943319569" name="officeArt object" descr="Picture 15"/>
            <wp:cNvGraphicFramePr/>
            <a:graphic xmlns:a="http://schemas.openxmlformats.org/drawingml/2006/main">
              <a:graphicData uri="http://schemas.openxmlformats.org/drawingml/2006/picture">
                <pic:pic xmlns:pic="http://schemas.openxmlformats.org/drawingml/2006/picture">
                  <pic:nvPicPr>
                    <pic:cNvPr id="1073741831" name="Picture 15" descr="Picture 15"/>
                    <pic:cNvPicPr>
                      <a:picLocks noChangeAspect="1"/>
                    </pic:cNvPicPr>
                  </pic:nvPicPr>
                  <pic:blipFill>
                    <a:blip r:embed="rId4"/>
                    <a:stretch>
                      <a:fillRect/>
                    </a:stretch>
                  </pic:blipFill>
                  <pic:spPr>
                    <a:xfrm>
                      <a:off x="0" y="0"/>
                      <a:ext cx="5718748" cy="7143347"/>
                    </a:xfrm>
                    <a:prstGeom prst="rect">
                      <a:avLst/>
                    </a:prstGeom>
                    <a:ln w="12700" cap="flat">
                      <a:noFill/>
                      <a:miter lim="400000"/>
                    </a:ln>
                    <a:effectLst/>
                  </pic:spPr>
                </pic:pic>
              </a:graphicData>
            </a:graphic>
          </wp:inline>
        </w:drawing>
      </w:r>
    </w:p>
    <w:p w14:paraId="496F2AE4" w14:textId="77777777" w:rsidR="006C2EA8" w:rsidRDefault="006C2EA8" w:rsidP="006C2EA8">
      <w:pPr>
        <w:pStyle w:val="BodyB"/>
        <w:spacing w:before="120" w:after="120" w:line="240" w:lineRule="auto"/>
      </w:pPr>
      <w:r>
        <w:rPr>
          <w:rStyle w:val="None"/>
          <w:rFonts w:ascii="Arial Unicode MS" w:eastAsia="Arial Unicode MS" w:hAnsi="Arial Unicode MS" w:cs="Arial Unicode MS"/>
          <w:sz w:val="22"/>
          <w:szCs w:val="22"/>
          <w:lang w:val="en-US"/>
        </w:rPr>
        <w:br w:type="page"/>
      </w:r>
    </w:p>
    <w:p w14:paraId="48CD5714" w14:textId="77777777" w:rsidR="006C2EA8" w:rsidRDefault="006C2EA8" w:rsidP="006C2EA8">
      <w:pPr>
        <w:pStyle w:val="BodyB"/>
        <w:spacing w:after="0" w:line="240" w:lineRule="auto"/>
        <w:rPr>
          <w:rStyle w:val="None"/>
          <w:rFonts w:ascii="Arial" w:eastAsia="Arial" w:hAnsi="Arial" w:cs="Arial"/>
          <w:b/>
          <w:bCs/>
          <w:sz w:val="22"/>
          <w:szCs w:val="22"/>
          <w:lang w:val="en-US"/>
        </w:rPr>
      </w:pPr>
      <w:r>
        <w:rPr>
          <w:rStyle w:val="None"/>
          <w:rFonts w:ascii="Arial" w:hAnsi="Arial"/>
          <w:b/>
          <w:bCs/>
          <w:sz w:val="22"/>
          <w:szCs w:val="22"/>
          <w:lang w:val="en-US"/>
        </w:rPr>
        <w:lastRenderedPageBreak/>
        <w:t>Supplemental Figure 1: Dose-response curve of ASO for Patient 1 (a) and Dose-response curve of ASO for Patient 2 (b)</w:t>
      </w:r>
    </w:p>
    <w:p w14:paraId="08926379" w14:textId="77777777" w:rsidR="006C2EA8" w:rsidRDefault="006C2EA8" w:rsidP="006C2EA8">
      <w:pPr>
        <w:pStyle w:val="BodyB"/>
        <w:spacing w:after="0" w:line="240" w:lineRule="auto"/>
        <w:rPr>
          <w:rStyle w:val="None"/>
          <w:rFonts w:ascii="Arial" w:eastAsia="Arial" w:hAnsi="Arial" w:cs="Arial"/>
          <w:b/>
          <w:bCs/>
          <w:sz w:val="22"/>
          <w:szCs w:val="22"/>
        </w:rPr>
      </w:pPr>
    </w:p>
    <w:p w14:paraId="72FEDE30" w14:textId="77777777" w:rsidR="006C2EA8" w:rsidRDefault="006C2EA8" w:rsidP="006C2EA8">
      <w:pPr>
        <w:pStyle w:val="BodyB"/>
        <w:spacing w:before="120" w:after="120" w:line="240" w:lineRule="auto"/>
        <w:rPr>
          <w:rStyle w:val="Hyperlink1"/>
        </w:rPr>
      </w:pPr>
      <w:r>
        <w:rPr>
          <w:rStyle w:val="Hyperlink1"/>
          <w:noProof/>
        </w:rPr>
        <w:drawing>
          <wp:inline distT="0" distB="0" distL="0" distR="0" wp14:anchorId="79029B22" wp14:editId="74065CC3">
            <wp:extent cx="4834647" cy="5751990"/>
            <wp:effectExtent l="0" t="0" r="0" b="0"/>
            <wp:docPr id="1073741827" name="officeArt object" descr="A comparison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1073741827" name="A comparison of a graphAI-generated content may be incorrect." descr="A comparison of a graphAI-generated content may be incorrect."/>
                    <pic:cNvPicPr>
                      <a:picLocks noChangeAspect="1"/>
                    </pic:cNvPicPr>
                  </pic:nvPicPr>
                  <pic:blipFill>
                    <a:blip r:embed="rId5"/>
                    <a:stretch>
                      <a:fillRect/>
                    </a:stretch>
                  </pic:blipFill>
                  <pic:spPr>
                    <a:xfrm>
                      <a:off x="0" y="0"/>
                      <a:ext cx="4834647" cy="5751990"/>
                    </a:xfrm>
                    <a:prstGeom prst="rect">
                      <a:avLst/>
                    </a:prstGeom>
                    <a:ln w="12700" cap="flat">
                      <a:noFill/>
                      <a:miter lim="400000"/>
                    </a:ln>
                    <a:effectLst/>
                  </pic:spPr>
                </pic:pic>
              </a:graphicData>
            </a:graphic>
          </wp:inline>
        </w:drawing>
      </w:r>
    </w:p>
    <w:p w14:paraId="369ED159" w14:textId="77777777" w:rsidR="006C2EA8" w:rsidRDefault="006C2EA8" w:rsidP="006C2EA8">
      <w:pPr>
        <w:pStyle w:val="BodyB"/>
        <w:spacing w:before="120" w:after="120" w:line="240" w:lineRule="auto"/>
      </w:pPr>
      <w:r>
        <w:rPr>
          <w:rStyle w:val="None"/>
          <w:rFonts w:ascii="Arial" w:hAnsi="Arial"/>
          <w:b/>
          <w:bCs/>
          <w:sz w:val="22"/>
          <w:szCs w:val="22"/>
          <w:lang w:val="en-US"/>
        </w:rPr>
        <w:t>Legend for Supplemental Figure 1:</w:t>
      </w:r>
      <w:r>
        <w:rPr>
          <w:rStyle w:val="None"/>
          <w:rFonts w:ascii="Arial" w:hAnsi="Arial"/>
          <w:sz w:val="22"/>
          <w:szCs w:val="22"/>
          <w:lang w:val="en-US"/>
        </w:rPr>
        <w:t xml:space="preserve"> </w:t>
      </w:r>
      <w:r>
        <w:rPr>
          <w:rStyle w:val="None"/>
          <w:rFonts w:ascii="Arial" w:hAnsi="Arial"/>
          <w:i/>
          <w:iCs/>
          <w:sz w:val="22"/>
          <w:szCs w:val="22"/>
          <w:lang w:val="en-US"/>
        </w:rPr>
        <w:t>In vitro</w:t>
      </w:r>
      <w:r>
        <w:rPr>
          <w:rStyle w:val="None"/>
          <w:rFonts w:ascii="Arial" w:hAnsi="Arial"/>
          <w:sz w:val="22"/>
          <w:szCs w:val="22"/>
          <w:lang w:val="en-US"/>
        </w:rPr>
        <w:t xml:space="preserve"> potency and allele-selectivity were determined following a dose response of each lead ASO in patient </w:t>
      </w:r>
      <w:proofErr w:type="spellStart"/>
      <w:r>
        <w:rPr>
          <w:rStyle w:val="None"/>
          <w:rFonts w:ascii="Arial" w:hAnsi="Arial"/>
          <w:sz w:val="22"/>
          <w:szCs w:val="22"/>
          <w:lang w:val="en-US"/>
        </w:rPr>
        <w:t>iPSc</w:t>
      </w:r>
      <w:proofErr w:type="spellEnd"/>
      <w:r>
        <w:rPr>
          <w:rStyle w:val="None"/>
          <w:rFonts w:ascii="Arial" w:hAnsi="Arial"/>
          <w:sz w:val="22"/>
          <w:szCs w:val="22"/>
          <w:lang w:val="en-US"/>
        </w:rPr>
        <w:t xml:space="preserve">-derived neurons free uptake at concentrations of 0.065 µM, 0.16 µM, 0.4 µM, 1.024 µM, 2.56 µM, 6.4 µM, 16 µM, and 40 µM Patient 1 (a) or 0.078, 0.3125, 1.25, 5, and 20 µM Patient 2 (b) for 5-7 days. Cells were harvested and RNA isolated using RNA easy 96 well kit (Qiagen) according to the manufacturer’s instructions. Expression of each allele was then measured using tagged probes (“Wild-type transcript” tagged in black and “Pathogenic transcript” tagged in red). </w:t>
      </w:r>
      <w:r>
        <w:rPr>
          <w:rStyle w:val="None"/>
          <w:rFonts w:ascii="Arial" w:hAnsi="Arial"/>
          <w:i/>
          <w:iCs/>
          <w:sz w:val="22"/>
          <w:szCs w:val="22"/>
          <w:lang w:val="en-US"/>
        </w:rPr>
        <w:t>SCN2A</w:t>
      </w:r>
      <w:r>
        <w:rPr>
          <w:rStyle w:val="None"/>
          <w:rFonts w:ascii="Arial" w:hAnsi="Arial"/>
          <w:sz w:val="22"/>
          <w:szCs w:val="22"/>
          <w:lang w:val="en-US"/>
        </w:rPr>
        <w:t xml:space="preserve"> mRNA was quantified using quantitative RT-PCR (TaqMan) assay on an Applied Biosystems 7900H Fast or </w:t>
      </w:r>
      <w:proofErr w:type="spellStart"/>
      <w:r>
        <w:rPr>
          <w:rStyle w:val="None"/>
          <w:rFonts w:ascii="Arial" w:hAnsi="Arial"/>
          <w:sz w:val="22"/>
          <w:szCs w:val="22"/>
          <w:lang w:val="en-US"/>
        </w:rPr>
        <w:t>QuantStudio</w:t>
      </w:r>
      <w:proofErr w:type="spellEnd"/>
      <w:r>
        <w:rPr>
          <w:rStyle w:val="None"/>
          <w:rFonts w:ascii="Arial" w:hAnsi="Arial"/>
          <w:sz w:val="22"/>
          <w:szCs w:val="22"/>
          <w:lang w:val="en-US"/>
        </w:rPr>
        <w:t xml:space="preserve"> 7 Real-Time PCR system. </w:t>
      </w:r>
      <w:r>
        <w:rPr>
          <w:rStyle w:val="None"/>
          <w:rFonts w:ascii="Arial Unicode MS" w:eastAsia="Arial Unicode MS" w:hAnsi="Arial Unicode MS" w:cs="Arial Unicode MS"/>
          <w:sz w:val="22"/>
          <w:szCs w:val="22"/>
          <w:lang w:val="en-US"/>
        </w:rPr>
        <w:br w:type="page"/>
      </w:r>
    </w:p>
    <w:p w14:paraId="05D20B31" w14:textId="77777777" w:rsidR="006C2EA8" w:rsidRDefault="006C2EA8" w:rsidP="006C2EA8">
      <w:pPr>
        <w:pStyle w:val="BodyB"/>
        <w:keepNext/>
        <w:spacing w:before="120" w:after="120" w:line="257" w:lineRule="auto"/>
        <w:rPr>
          <w:rStyle w:val="None"/>
          <w:rFonts w:ascii="Arial" w:eastAsia="Arial" w:hAnsi="Arial" w:cs="Arial"/>
          <w:sz w:val="22"/>
          <w:szCs w:val="22"/>
          <w:lang w:val="en-US"/>
        </w:rPr>
      </w:pPr>
      <w:r>
        <w:rPr>
          <w:rStyle w:val="None"/>
          <w:rFonts w:ascii="Arial" w:hAnsi="Arial"/>
          <w:b/>
          <w:bCs/>
          <w:sz w:val="22"/>
          <w:szCs w:val="22"/>
          <w:lang w:val="en-US"/>
        </w:rPr>
        <w:lastRenderedPageBreak/>
        <w:t>Supplemental Figure 2: ASO Design (a) and ASO Sequence and chemistry (b)</w:t>
      </w:r>
    </w:p>
    <w:p w14:paraId="660411B1" w14:textId="77777777" w:rsidR="006C2EA8" w:rsidRDefault="006C2EA8" w:rsidP="006C2EA8">
      <w:pPr>
        <w:pStyle w:val="BodyB"/>
        <w:spacing w:after="0" w:line="257" w:lineRule="auto"/>
        <w:rPr>
          <w:rStyle w:val="Hyperlink1"/>
        </w:rPr>
      </w:pPr>
      <w:r>
        <w:rPr>
          <w:rStyle w:val="None"/>
          <w:rFonts w:ascii="Arial" w:eastAsia="Arial" w:hAnsi="Arial" w:cs="Arial"/>
          <w:noProof/>
          <w:sz w:val="22"/>
          <w:szCs w:val="22"/>
        </w:rPr>
        <w:drawing>
          <wp:inline distT="0" distB="0" distL="0" distR="0" wp14:anchorId="332196F5" wp14:editId="2AA9010F">
            <wp:extent cx="5943600" cy="2141855"/>
            <wp:effectExtent l="0" t="0" r="0" b="0"/>
            <wp:docPr id="1073741828" name="officeArt object" descr="A screen shot of a computer&#10;&#10;AI-generated content may be incorrect."/>
            <wp:cNvGraphicFramePr/>
            <a:graphic xmlns:a="http://schemas.openxmlformats.org/drawingml/2006/main">
              <a:graphicData uri="http://schemas.openxmlformats.org/drawingml/2006/picture">
                <pic:pic xmlns:pic="http://schemas.openxmlformats.org/drawingml/2006/picture">
                  <pic:nvPicPr>
                    <pic:cNvPr id="1073741828" name="A screen shot of a computerAI-generated content may be incorrect." descr="A screen shot of a computerAI-generated content may be incorrect."/>
                    <pic:cNvPicPr>
                      <a:picLocks noChangeAspect="1"/>
                    </pic:cNvPicPr>
                  </pic:nvPicPr>
                  <pic:blipFill>
                    <a:blip r:embed="rId6"/>
                    <a:stretch>
                      <a:fillRect/>
                    </a:stretch>
                  </pic:blipFill>
                  <pic:spPr>
                    <a:xfrm>
                      <a:off x="0" y="0"/>
                      <a:ext cx="5943600" cy="2141855"/>
                    </a:xfrm>
                    <a:prstGeom prst="rect">
                      <a:avLst/>
                    </a:prstGeom>
                    <a:ln w="12700" cap="flat">
                      <a:noFill/>
                      <a:miter lim="400000"/>
                    </a:ln>
                    <a:effectLst/>
                  </pic:spPr>
                </pic:pic>
              </a:graphicData>
            </a:graphic>
          </wp:inline>
        </w:drawing>
      </w:r>
    </w:p>
    <w:p w14:paraId="4527AAA9" w14:textId="77777777" w:rsidR="006C2EA8" w:rsidRDefault="006C2EA8" w:rsidP="006C2EA8">
      <w:pPr>
        <w:pStyle w:val="BodyB"/>
        <w:spacing w:after="0" w:line="257" w:lineRule="auto"/>
        <w:rPr>
          <w:rStyle w:val="None"/>
          <w:rFonts w:ascii="Arial" w:eastAsia="Arial" w:hAnsi="Arial" w:cs="Arial"/>
          <w:sz w:val="22"/>
          <w:szCs w:val="22"/>
          <w:lang w:val="en-US"/>
        </w:rPr>
      </w:pPr>
    </w:p>
    <w:p w14:paraId="1DCAFCCC" w14:textId="77777777" w:rsidR="006C2EA8" w:rsidRDefault="006C2EA8" w:rsidP="006C2EA8">
      <w:pPr>
        <w:pStyle w:val="BodyB"/>
        <w:spacing w:after="0" w:line="257" w:lineRule="auto"/>
      </w:pPr>
      <w:r>
        <w:rPr>
          <w:rStyle w:val="None"/>
          <w:rFonts w:ascii="Arial" w:hAnsi="Arial"/>
          <w:b/>
          <w:bCs/>
          <w:sz w:val="22"/>
          <w:szCs w:val="22"/>
          <w:lang w:val="en-US"/>
        </w:rPr>
        <w:t>Legend for Supplemental Figure 2:</w:t>
      </w:r>
      <w:r>
        <w:rPr>
          <w:rStyle w:val="None"/>
          <w:rFonts w:ascii="Arial" w:hAnsi="Arial"/>
          <w:sz w:val="22"/>
          <w:szCs w:val="22"/>
          <w:lang w:val="en-US"/>
        </w:rPr>
        <w:t xml:space="preserve"> (a) graphic representation of where the ASO binds relative to the pathogenic mutations, utilizing a benign SNP identified on the wild-type allele. (b) Specific sequence and chemistry of the 2 allele-selective ASOs designed for </w:t>
      </w:r>
      <w:bookmarkStart w:id="3" w:name="_Int_kRwqAO0G"/>
      <w:proofErr w:type="gramStart"/>
      <w:r>
        <w:rPr>
          <w:rStyle w:val="None"/>
          <w:rFonts w:ascii="Arial" w:hAnsi="Arial"/>
          <w:sz w:val="22"/>
          <w:szCs w:val="22"/>
          <w:lang w:val="en-US"/>
        </w:rPr>
        <w:t>Patient</w:t>
      </w:r>
      <w:bookmarkEnd w:id="3"/>
      <w:proofErr w:type="gramEnd"/>
      <w:r>
        <w:rPr>
          <w:rStyle w:val="None"/>
          <w:rFonts w:ascii="Arial" w:hAnsi="Arial"/>
          <w:sz w:val="22"/>
          <w:szCs w:val="22"/>
          <w:lang w:val="en-US"/>
        </w:rPr>
        <w:t xml:space="preserve"> 1 and Patient 2. Allele frequency in the global population from 1000Genomes as per </w:t>
      </w:r>
      <w:hyperlink r:id="rId7" w:history="1">
        <w:r>
          <w:rPr>
            <w:rStyle w:val="Hyperlink2"/>
          </w:rPr>
          <w:t>https://www.ncbi.nlm.nih.gov/snp/rs190030016/</w:t>
        </w:r>
      </w:hyperlink>
      <w:r>
        <w:rPr>
          <w:rStyle w:val="Hyperlink2"/>
        </w:rPr>
        <w:t xml:space="preserve"> and </w:t>
      </w:r>
      <w:hyperlink r:id="rId8" w:history="1">
        <w:r>
          <w:rPr>
            <w:rStyle w:val="Hyperlink2"/>
          </w:rPr>
          <w:t>https://www.ncbi.nlm.nih.gov/snp/rs72874313/</w:t>
        </w:r>
      </w:hyperlink>
      <w:r>
        <w:rPr>
          <w:rStyle w:val="Hyperlink2"/>
        </w:rPr>
        <w:t xml:space="preserve">.  Key for ASO chemical modifications: black = unmodified deoxyribose; blue = 2 methoxyethyl (MOE). Unmarked backbone linkages = phosphorothioate (PS); linkages marked with o = normal phosphodiester (PO). </w:t>
      </w:r>
      <w:proofErr w:type="spellStart"/>
      <w:r>
        <w:rPr>
          <w:rStyle w:val="Hyperlink2"/>
        </w:rPr>
        <w:t>mC</w:t>
      </w:r>
      <w:proofErr w:type="spellEnd"/>
      <w:r>
        <w:rPr>
          <w:rStyle w:val="Hyperlink2"/>
        </w:rPr>
        <w:t xml:space="preserve"> = 5-methylcytosine </w:t>
      </w:r>
      <w:r>
        <w:rPr>
          <w:rStyle w:val="Hyperlink2"/>
          <w:rFonts w:ascii="Arial Unicode MS" w:eastAsia="Arial Unicode MS" w:hAnsi="Arial Unicode MS" w:cs="Arial Unicode MS"/>
        </w:rPr>
        <w:br w:type="page"/>
      </w:r>
    </w:p>
    <w:p w14:paraId="0F50EB10" w14:textId="77777777" w:rsidR="006C2EA8" w:rsidRDefault="006C2EA8" w:rsidP="006C2EA8">
      <w:pPr>
        <w:pStyle w:val="BodyB"/>
        <w:spacing w:after="0" w:line="257" w:lineRule="auto"/>
        <w:rPr>
          <w:rStyle w:val="Hyperlink2"/>
        </w:rPr>
      </w:pPr>
      <w:r>
        <w:rPr>
          <w:rStyle w:val="None"/>
          <w:rFonts w:ascii="Arial" w:hAnsi="Arial"/>
          <w:b/>
          <w:bCs/>
          <w:sz w:val="22"/>
          <w:szCs w:val="22"/>
          <w:lang w:val="en-US"/>
        </w:rPr>
        <w:lastRenderedPageBreak/>
        <w:t>Supplemental Figure 3: Additional Endpoints in Patient 1</w:t>
      </w:r>
    </w:p>
    <w:p w14:paraId="2E568D32" w14:textId="77777777" w:rsidR="006C2EA8" w:rsidRDefault="006C2EA8" w:rsidP="006C2EA8">
      <w:pPr>
        <w:pStyle w:val="BodyB"/>
        <w:spacing w:line="278" w:lineRule="auto"/>
        <w:rPr>
          <w:rStyle w:val="Hyperlink1"/>
        </w:rPr>
      </w:pPr>
      <w:r>
        <w:rPr>
          <w:rStyle w:val="None"/>
          <w:rFonts w:ascii="Arial" w:eastAsia="Arial" w:hAnsi="Arial" w:cs="Arial"/>
          <w:noProof/>
          <w:sz w:val="22"/>
          <w:szCs w:val="22"/>
        </w:rPr>
        <w:drawing>
          <wp:inline distT="0" distB="0" distL="0" distR="0" wp14:anchorId="309A5DF0" wp14:editId="2D129096">
            <wp:extent cx="4140200" cy="6972300"/>
            <wp:effectExtent l="0" t="0" r="0" b="0"/>
            <wp:docPr id="1073741829" name="officeArt object" descr="A graph of different colored and gray bars&#10;&#10;AI-generated content may be incorrect."/>
            <wp:cNvGraphicFramePr/>
            <a:graphic xmlns:a="http://schemas.openxmlformats.org/drawingml/2006/main">
              <a:graphicData uri="http://schemas.openxmlformats.org/drawingml/2006/picture">
                <pic:pic xmlns:pic="http://schemas.openxmlformats.org/drawingml/2006/picture">
                  <pic:nvPicPr>
                    <pic:cNvPr id="1073741829" name="A graph of different colored and gray barsAI-generated content may be incorrect." descr="A graph of different colored and gray barsAI-generated content may be incorrect."/>
                    <pic:cNvPicPr>
                      <a:picLocks noChangeAspect="1"/>
                    </pic:cNvPicPr>
                  </pic:nvPicPr>
                  <pic:blipFill>
                    <a:blip r:embed="rId9"/>
                    <a:stretch>
                      <a:fillRect/>
                    </a:stretch>
                  </pic:blipFill>
                  <pic:spPr>
                    <a:xfrm>
                      <a:off x="0" y="0"/>
                      <a:ext cx="4140200" cy="6972300"/>
                    </a:xfrm>
                    <a:prstGeom prst="rect">
                      <a:avLst/>
                    </a:prstGeom>
                    <a:ln w="12700" cap="flat">
                      <a:noFill/>
                      <a:miter lim="400000"/>
                    </a:ln>
                    <a:effectLst/>
                  </pic:spPr>
                </pic:pic>
              </a:graphicData>
            </a:graphic>
          </wp:inline>
        </w:drawing>
      </w:r>
    </w:p>
    <w:p w14:paraId="49737C79" w14:textId="77777777" w:rsidR="006C2EA8" w:rsidRDefault="006C2EA8" w:rsidP="006C2EA8">
      <w:pPr>
        <w:pStyle w:val="BodyB"/>
        <w:spacing w:line="278" w:lineRule="auto"/>
        <w:rPr>
          <w:rStyle w:val="Hyperlink1"/>
        </w:rPr>
      </w:pPr>
      <w:proofErr w:type="spellStart"/>
      <w:r>
        <w:rPr>
          <w:rStyle w:val="None"/>
          <w:rFonts w:ascii="Arial" w:hAnsi="Arial"/>
          <w:b/>
          <w:bCs/>
          <w:sz w:val="22"/>
          <w:szCs w:val="22"/>
        </w:rPr>
        <w:t>Legend</w:t>
      </w:r>
      <w:proofErr w:type="spellEnd"/>
      <w:r>
        <w:rPr>
          <w:rStyle w:val="None"/>
          <w:rFonts w:ascii="Arial" w:hAnsi="Arial"/>
          <w:b/>
          <w:bCs/>
          <w:sz w:val="22"/>
          <w:szCs w:val="22"/>
          <w:lang w:val="en-US"/>
        </w:rPr>
        <w:t xml:space="preserve"> for Supplemental Figure </w:t>
      </w:r>
      <w:proofErr w:type="gramStart"/>
      <w:r>
        <w:rPr>
          <w:rStyle w:val="None"/>
          <w:rFonts w:ascii="Arial" w:hAnsi="Arial"/>
          <w:b/>
          <w:bCs/>
          <w:sz w:val="22"/>
          <w:szCs w:val="22"/>
          <w:lang w:val="en-US"/>
        </w:rPr>
        <w:t>3</w:t>
      </w:r>
      <w:r>
        <w:rPr>
          <w:rStyle w:val="None"/>
          <w:rFonts w:ascii="Arial" w:hAnsi="Arial"/>
          <w:sz w:val="22"/>
          <w:szCs w:val="22"/>
        </w:rPr>
        <w:t>:</w:t>
      </w:r>
      <w:proofErr w:type="gramEnd"/>
      <w:r>
        <w:rPr>
          <w:rStyle w:val="None"/>
          <w:rFonts w:ascii="Arial" w:hAnsi="Arial"/>
          <w:sz w:val="22"/>
          <w:szCs w:val="22"/>
        </w:rPr>
        <w:t xml:space="preserve"> Communication, aberrant </w:t>
      </w:r>
      <w:proofErr w:type="spellStart"/>
      <w:r>
        <w:rPr>
          <w:rStyle w:val="None"/>
          <w:rFonts w:ascii="Arial" w:hAnsi="Arial"/>
          <w:sz w:val="22"/>
          <w:szCs w:val="22"/>
        </w:rPr>
        <w:t>behavior</w:t>
      </w:r>
      <w:proofErr w:type="spellEnd"/>
      <w:r>
        <w:rPr>
          <w:rStyle w:val="None"/>
          <w:rFonts w:ascii="Arial" w:hAnsi="Arial"/>
          <w:sz w:val="22"/>
          <w:szCs w:val="22"/>
        </w:rPr>
        <w:t xml:space="preserve">, and </w:t>
      </w:r>
      <w:proofErr w:type="spellStart"/>
      <w:r>
        <w:rPr>
          <w:rStyle w:val="None"/>
          <w:rFonts w:ascii="Arial" w:hAnsi="Arial"/>
          <w:sz w:val="22"/>
          <w:szCs w:val="22"/>
        </w:rPr>
        <w:t>sensory</w:t>
      </w:r>
      <w:proofErr w:type="spellEnd"/>
      <w:r>
        <w:rPr>
          <w:rStyle w:val="None"/>
          <w:rFonts w:ascii="Arial" w:hAnsi="Arial"/>
          <w:sz w:val="22"/>
          <w:szCs w:val="22"/>
        </w:rPr>
        <w:t xml:space="preserve"> </w:t>
      </w:r>
      <w:proofErr w:type="spellStart"/>
      <w:r>
        <w:rPr>
          <w:rStyle w:val="None"/>
          <w:rFonts w:ascii="Arial" w:hAnsi="Arial"/>
          <w:sz w:val="22"/>
          <w:szCs w:val="22"/>
        </w:rPr>
        <w:t>processing</w:t>
      </w:r>
      <w:proofErr w:type="spellEnd"/>
      <w:r>
        <w:rPr>
          <w:rStyle w:val="None"/>
          <w:rFonts w:ascii="Arial" w:hAnsi="Arial"/>
          <w:sz w:val="22"/>
          <w:szCs w:val="22"/>
        </w:rPr>
        <w:t xml:space="preserve"> in Patient 1. Patient 1 </w:t>
      </w:r>
      <w:proofErr w:type="spellStart"/>
      <w:r>
        <w:rPr>
          <w:rStyle w:val="None"/>
          <w:rFonts w:ascii="Arial" w:hAnsi="Arial"/>
          <w:sz w:val="22"/>
          <w:szCs w:val="22"/>
        </w:rPr>
        <w:t>had</w:t>
      </w:r>
      <w:proofErr w:type="spellEnd"/>
      <w:r>
        <w:rPr>
          <w:rStyle w:val="None"/>
          <w:rFonts w:ascii="Arial" w:hAnsi="Arial"/>
          <w:sz w:val="22"/>
          <w:szCs w:val="22"/>
        </w:rPr>
        <w:t xml:space="preserve"> </w:t>
      </w:r>
      <w:proofErr w:type="spellStart"/>
      <w:r>
        <w:rPr>
          <w:rStyle w:val="None"/>
          <w:rFonts w:ascii="Arial" w:hAnsi="Arial"/>
          <w:sz w:val="22"/>
          <w:szCs w:val="22"/>
        </w:rPr>
        <w:t>improvements</w:t>
      </w:r>
      <w:proofErr w:type="spellEnd"/>
      <w:r>
        <w:rPr>
          <w:rStyle w:val="None"/>
          <w:rFonts w:ascii="Arial" w:hAnsi="Arial"/>
          <w:sz w:val="22"/>
          <w:szCs w:val="22"/>
        </w:rPr>
        <w:t xml:space="preserve"> in (a) </w:t>
      </w:r>
      <w:proofErr w:type="spellStart"/>
      <w:r>
        <w:rPr>
          <w:rStyle w:val="None"/>
          <w:rFonts w:ascii="Arial" w:hAnsi="Arial"/>
          <w:sz w:val="22"/>
          <w:szCs w:val="22"/>
        </w:rPr>
        <w:t>irritability</w:t>
      </w:r>
      <w:proofErr w:type="spellEnd"/>
      <w:r>
        <w:rPr>
          <w:rStyle w:val="None"/>
          <w:rFonts w:ascii="Arial" w:hAnsi="Arial"/>
          <w:sz w:val="22"/>
          <w:szCs w:val="22"/>
        </w:rPr>
        <w:t xml:space="preserve"> and </w:t>
      </w:r>
      <w:proofErr w:type="spellStart"/>
      <w:r>
        <w:rPr>
          <w:rStyle w:val="None"/>
          <w:rFonts w:ascii="Arial" w:hAnsi="Arial"/>
          <w:sz w:val="22"/>
          <w:szCs w:val="22"/>
        </w:rPr>
        <w:t>hyperactivity</w:t>
      </w:r>
      <w:proofErr w:type="spellEnd"/>
      <w:r>
        <w:rPr>
          <w:rStyle w:val="None"/>
          <w:rFonts w:ascii="Arial" w:hAnsi="Arial"/>
          <w:sz w:val="22"/>
          <w:szCs w:val="22"/>
        </w:rPr>
        <w:t xml:space="preserve">, (b) </w:t>
      </w:r>
      <w:proofErr w:type="spellStart"/>
      <w:r>
        <w:rPr>
          <w:rStyle w:val="None"/>
          <w:rFonts w:ascii="Arial" w:hAnsi="Arial"/>
          <w:sz w:val="22"/>
          <w:szCs w:val="22"/>
        </w:rPr>
        <w:t>stereotyped</w:t>
      </w:r>
      <w:proofErr w:type="spellEnd"/>
      <w:r>
        <w:rPr>
          <w:rStyle w:val="None"/>
          <w:rFonts w:ascii="Arial" w:hAnsi="Arial"/>
          <w:sz w:val="22"/>
          <w:szCs w:val="22"/>
        </w:rPr>
        <w:t xml:space="preserve"> </w:t>
      </w:r>
      <w:proofErr w:type="spellStart"/>
      <w:proofErr w:type="gramStart"/>
      <w:r>
        <w:rPr>
          <w:rStyle w:val="None"/>
          <w:rFonts w:ascii="Arial" w:hAnsi="Arial"/>
          <w:sz w:val="22"/>
          <w:szCs w:val="22"/>
        </w:rPr>
        <w:t>behavior</w:t>
      </w:r>
      <w:proofErr w:type="spellEnd"/>
      <w:r>
        <w:rPr>
          <w:rStyle w:val="None"/>
          <w:rFonts w:ascii="Arial" w:hAnsi="Arial"/>
          <w:sz w:val="22"/>
          <w:szCs w:val="22"/>
        </w:rPr>
        <w:t xml:space="preserve">  and</w:t>
      </w:r>
      <w:proofErr w:type="gramEnd"/>
      <w:r>
        <w:rPr>
          <w:rStyle w:val="None"/>
          <w:rFonts w:ascii="Arial" w:hAnsi="Arial"/>
          <w:sz w:val="22"/>
          <w:szCs w:val="22"/>
        </w:rPr>
        <w:t xml:space="preserve"> self-</w:t>
      </w:r>
      <w:proofErr w:type="spellStart"/>
      <w:r>
        <w:rPr>
          <w:rStyle w:val="None"/>
          <w:rFonts w:ascii="Arial" w:hAnsi="Arial"/>
          <w:sz w:val="22"/>
          <w:szCs w:val="22"/>
        </w:rPr>
        <w:t>injurious</w:t>
      </w:r>
      <w:proofErr w:type="spellEnd"/>
      <w:r>
        <w:rPr>
          <w:rStyle w:val="None"/>
          <w:rFonts w:ascii="Arial" w:hAnsi="Arial"/>
          <w:sz w:val="22"/>
          <w:szCs w:val="22"/>
        </w:rPr>
        <w:t xml:space="preserve"> </w:t>
      </w:r>
      <w:proofErr w:type="spellStart"/>
      <w:r>
        <w:rPr>
          <w:rStyle w:val="None"/>
          <w:rFonts w:ascii="Arial" w:hAnsi="Arial"/>
          <w:sz w:val="22"/>
          <w:szCs w:val="22"/>
        </w:rPr>
        <w:t>behavior</w:t>
      </w:r>
      <w:proofErr w:type="spellEnd"/>
      <w:r>
        <w:rPr>
          <w:rStyle w:val="None"/>
          <w:rFonts w:ascii="Arial" w:hAnsi="Arial"/>
          <w:sz w:val="22"/>
          <w:szCs w:val="22"/>
        </w:rPr>
        <w:t xml:space="preserve">, and (c) </w:t>
      </w:r>
      <w:proofErr w:type="spellStart"/>
      <w:r>
        <w:rPr>
          <w:rStyle w:val="None"/>
          <w:rFonts w:ascii="Arial" w:hAnsi="Arial"/>
          <w:sz w:val="22"/>
          <w:szCs w:val="22"/>
        </w:rPr>
        <w:t>improved</w:t>
      </w:r>
      <w:proofErr w:type="spellEnd"/>
      <w:r>
        <w:rPr>
          <w:rStyle w:val="None"/>
          <w:rFonts w:ascii="Arial" w:hAnsi="Arial"/>
          <w:sz w:val="22"/>
          <w:szCs w:val="22"/>
        </w:rPr>
        <w:t xml:space="preserve"> </w:t>
      </w:r>
      <w:proofErr w:type="spellStart"/>
      <w:r>
        <w:rPr>
          <w:rStyle w:val="None"/>
          <w:rFonts w:ascii="Arial" w:hAnsi="Arial"/>
          <w:sz w:val="22"/>
          <w:szCs w:val="22"/>
        </w:rPr>
        <w:t>sensory</w:t>
      </w:r>
      <w:proofErr w:type="spellEnd"/>
      <w:r>
        <w:rPr>
          <w:rStyle w:val="None"/>
          <w:rFonts w:ascii="Arial" w:hAnsi="Arial"/>
          <w:sz w:val="22"/>
          <w:szCs w:val="22"/>
        </w:rPr>
        <w:t xml:space="preserve"> </w:t>
      </w:r>
      <w:proofErr w:type="spellStart"/>
      <w:r>
        <w:rPr>
          <w:rStyle w:val="None"/>
          <w:rFonts w:ascii="Arial" w:hAnsi="Arial"/>
          <w:sz w:val="22"/>
          <w:szCs w:val="22"/>
        </w:rPr>
        <w:t>processing</w:t>
      </w:r>
      <w:proofErr w:type="spellEnd"/>
      <w:r>
        <w:rPr>
          <w:rStyle w:val="None"/>
          <w:rFonts w:ascii="Arial" w:hAnsi="Arial"/>
          <w:sz w:val="22"/>
          <w:szCs w:val="22"/>
        </w:rPr>
        <w:t xml:space="preserve"> </w:t>
      </w:r>
      <w:proofErr w:type="spellStart"/>
      <w:r>
        <w:rPr>
          <w:rStyle w:val="None"/>
          <w:rFonts w:ascii="Arial" w:hAnsi="Arial"/>
          <w:sz w:val="22"/>
          <w:szCs w:val="22"/>
        </w:rPr>
        <w:t>ability</w:t>
      </w:r>
      <w:proofErr w:type="spellEnd"/>
      <w:r>
        <w:rPr>
          <w:rStyle w:val="None"/>
          <w:rFonts w:ascii="Arial" w:hAnsi="Arial"/>
          <w:sz w:val="22"/>
          <w:szCs w:val="22"/>
        </w:rPr>
        <w:t xml:space="preserve">. </w:t>
      </w:r>
    </w:p>
    <w:p w14:paraId="6E7B0878" w14:textId="77777777" w:rsidR="006C2EA8" w:rsidRDefault="006C2EA8" w:rsidP="006C2EA8">
      <w:pPr>
        <w:pStyle w:val="BodyB"/>
        <w:spacing w:line="278" w:lineRule="auto"/>
      </w:pPr>
      <w:r>
        <w:rPr>
          <w:rStyle w:val="Hyperlink1"/>
          <w:rFonts w:ascii="Arial Unicode MS" w:eastAsia="Arial Unicode MS" w:hAnsi="Arial Unicode MS" w:cs="Arial Unicode MS"/>
        </w:rPr>
        <w:br w:type="page"/>
      </w:r>
    </w:p>
    <w:p w14:paraId="0100CD9F" w14:textId="77777777" w:rsidR="006C2EA8" w:rsidRDefault="006C2EA8" w:rsidP="006C2EA8">
      <w:pPr>
        <w:pStyle w:val="BodyB"/>
        <w:spacing w:line="278" w:lineRule="auto"/>
        <w:rPr>
          <w:rStyle w:val="Hyperlink1"/>
          <w:lang w:val="en-US"/>
        </w:rPr>
      </w:pPr>
      <w:r>
        <w:rPr>
          <w:rStyle w:val="None"/>
          <w:rFonts w:ascii="Arial" w:hAnsi="Arial"/>
          <w:b/>
          <w:bCs/>
          <w:sz w:val="22"/>
          <w:szCs w:val="22"/>
          <w:lang w:val="en-US"/>
        </w:rPr>
        <w:lastRenderedPageBreak/>
        <w:t>Supplemental Figure 4: Additional Endpoints in Patient 2</w:t>
      </w:r>
    </w:p>
    <w:p w14:paraId="16DD0124" w14:textId="77777777" w:rsidR="006C2EA8" w:rsidRDefault="006C2EA8" w:rsidP="006C2EA8">
      <w:pPr>
        <w:pStyle w:val="BodyB"/>
        <w:spacing w:line="278" w:lineRule="auto"/>
        <w:rPr>
          <w:rStyle w:val="None"/>
          <w:rFonts w:ascii="Arial" w:eastAsia="Arial" w:hAnsi="Arial" w:cs="Arial"/>
          <w:b/>
          <w:bCs/>
          <w:sz w:val="22"/>
          <w:szCs w:val="22"/>
        </w:rPr>
      </w:pPr>
      <w:r>
        <w:rPr>
          <w:rStyle w:val="None"/>
          <w:rFonts w:ascii="Arial" w:hAnsi="Arial"/>
          <w:b/>
          <w:bCs/>
          <w:sz w:val="22"/>
          <w:szCs w:val="22"/>
          <w:lang w:val="en-US"/>
        </w:rPr>
        <w:t xml:space="preserve"> </w:t>
      </w:r>
      <w:r>
        <w:rPr>
          <w:rStyle w:val="None"/>
          <w:rFonts w:ascii="Arial" w:eastAsia="Arial" w:hAnsi="Arial" w:cs="Arial"/>
          <w:b/>
          <w:bCs/>
          <w:noProof/>
          <w:sz w:val="22"/>
          <w:szCs w:val="22"/>
        </w:rPr>
        <w:drawing>
          <wp:inline distT="0" distB="0" distL="0" distR="0" wp14:anchorId="3C41A083" wp14:editId="3CB78926">
            <wp:extent cx="5892800" cy="6489700"/>
            <wp:effectExtent l="0" t="0" r="0" b="0"/>
            <wp:docPr id="1073741830" name="officeArt object" descr="Picture 10"/>
            <wp:cNvGraphicFramePr/>
            <a:graphic xmlns:a="http://schemas.openxmlformats.org/drawingml/2006/main">
              <a:graphicData uri="http://schemas.openxmlformats.org/drawingml/2006/picture">
                <pic:pic xmlns:pic="http://schemas.openxmlformats.org/drawingml/2006/picture">
                  <pic:nvPicPr>
                    <pic:cNvPr id="1073741830" name="Picture 10" descr="Picture 10"/>
                    <pic:cNvPicPr>
                      <a:picLocks noChangeAspect="1"/>
                    </pic:cNvPicPr>
                  </pic:nvPicPr>
                  <pic:blipFill>
                    <a:blip r:embed="rId10"/>
                    <a:stretch>
                      <a:fillRect/>
                    </a:stretch>
                  </pic:blipFill>
                  <pic:spPr>
                    <a:xfrm>
                      <a:off x="0" y="0"/>
                      <a:ext cx="5892800" cy="6489700"/>
                    </a:xfrm>
                    <a:prstGeom prst="rect">
                      <a:avLst/>
                    </a:prstGeom>
                    <a:ln w="12700" cap="flat">
                      <a:noFill/>
                      <a:miter lim="400000"/>
                    </a:ln>
                    <a:effectLst/>
                  </pic:spPr>
                </pic:pic>
              </a:graphicData>
            </a:graphic>
          </wp:inline>
        </w:drawing>
      </w:r>
    </w:p>
    <w:p w14:paraId="37817448" w14:textId="77777777" w:rsidR="006C2EA8" w:rsidRDefault="006C2EA8" w:rsidP="006C2EA8">
      <w:pPr>
        <w:pStyle w:val="BodyB"/>
        <w:spacing w:line="278" w:lineRule="auto"/>
        <w:rPr>
          <w:rStyle w:val="None"/>
          <w:rFonts w:ascii="Arial" w:eastAsia="Arial" w:hAnsi="Arial" w:cs="Arial"/>
          <w:b/>
          <w:bCs/>
          <w:sz w:val="22"/>
          <w:szCs w:val="22"/>
          <w:lang w:val="en-US"/>
        </w:rPr>
      </w:pPr>
    </w:p>
    <w:p w14:paraId="7C56C7F4" w14:textId="77777777" w:rsidR="006C2EA8" w:rsidRDefault="006C2EA8" w:rsidP="006C2EA8">
      <w:pPr>
        <w:pStyle w:val="BodyB"/>
        <w:spacing w:line="278" w:lineRule="auto"/>
        <w:rPr>
          <w:rStyle w:val="None"/>
          <w:rFonts w:ascii="Arial" w:eastAsia="Arial" w:hAnsi="Arial" w:cs="Arial"/>
          <w:b/>
          <w:bCs/>
          <w:sz w:val="22"/>
          <w:szCs w:val="22"/>
          <w:lang w:val="en-US"/>
        </w:rPr>
      </w:pPr>
      <w:r>
        <w:rPr>
          <w:rStyle w:val="None"/>
          <w:rFonts w:ascii="Arial" w:hAnsi="Arial"/>
          <w:b/>
          <w:bCs/>
          <w:sz w:val="22"/>
          <w:szCs w:val="22"/>
          <w:lang w:val="en-US"/>
        </w:rPr>
        <w:t xml:space="preserve">Legend for Supplemental Figure 4: </w:t>
      </w:r>
    </w:p>
    <w:p w14:paraId="2841E36A" w14:textId="77777777" w:rsidR="006C2EA8" w:rsidRDefault="006C2EA8" w:rsidP="006C2EA8">
      <w:pPr>
        <w:pStyle w:val="BodyB"/>
        <w:spacing w:line="278" w:lineRule="auto"/>
      </w:pPr>
      <w:r>
        <w:rPr>
          <w:rStyle w:val="None"/>
          <w:rFonts w:ascii="Arial" w:hAnsi="Arial"/>
          <w:b/>
          <w:bCs/>
          <w:sz w:val="22"/>
          <w:szCs w:val="22"/>
          <w:lang w:val="en-US"/>
        </w:rPr>
        <w:t>a. Vineland Adaptive Behavior Scales – Version 3 (Vineland-3)</w:t>
      </w:r>
      <w:r>
        <w:rPr>
          <w:rStyle w:val="Hyperlink2"/>
        </w:rPr>
        <w:t xml:space="preserve"> The Vineland-3 is a valid and reliable measure of a person's adaptive level of functioning from birth to 90 years of age. In addition to standard scores and age-equivalents, growth score values (GSVs, person ability scores) are available for all subdomain scores allowing reliable assessment of change even in </w:t>
      </w:r>
      <w:r>
        <w:rPr>
          <w:rStyle w:val="Hyperlink2"/>
          <w:rFonts w:ascii="Arial Unicode MS" w:eastAsia="Arial Unicode MS" w:hAnsi="Arial Unicode MS" w:cs="Arial Unicode MS"/>
        </w:rPr>
        <w:br w:type="page"/>
      </w:r>
    </w:p>
    <w:p w14:paraId="02BE1215" w14:textId="77777777" w:rsidR="006C2EA8" w:rsidRDefault="006C2EA8" w:rsidP="006C2EA8">
      <w:pPr>
        <w:pStyle w:val="BodyB"/>
        <w:spacing w:line="278" w:lineRule="auto"/>
        <w:rPr>
          <w:rStyle w:val="Hyperlink1"/>
          <w:lang w:val="en-US"/>
        </w:rPr>
      </w:pPr>
      <w:r>
        <w:rPr>
          <w:rStyle w:val="Hyperlink2"/>
        </w:rPr>
        <w:lastRenderedPageBreak/>
        <w:t>those who floor the measure or appear to make no progress when using standard scores due to functional level far below chronological age. Cog = cognitive, EL = expressive language, RL = receptive language, FM = fine motor, GM = gross motor, W = written, Per = personal, D = Domestic, Com = community, IR = interpersonal relationships, PL = play and leisure, CS = coping skills.</w:t>
      </w:r>
    </w:p>
    <w:p w14:paraId="50C8686D" w14:textId="77777777" w:rsidR="006C2EA8" w:rsidRDefault="006C2EA8" w:rsidP="006C2EA8">
      <w:pPr>
        <w:pStyle w:val="BodyB"/>
        <w:spacing w:line="278" w:lineRule="auto"/>
        <w:rPr>
          <w:rStyle w:val="Hyperlink1"/>
          <w:lang w:val="en-US"/>
        </w:rPr>
      </w:pPr>
      <w:r>
        <w:rPr>
          <w:rStyle w:val="None"/>
          <w:rFonts w:ascii="Arial" w:hAnsi="Arial"/>
          <w:b/>
          <w:bCs/>
          <w:sz w:val="22"/>
          <w:szCs w:val="22"/>
          <w:lang w:val="en-US"/>
        </w:rPr>
        <w:t>b. Bristol Stool Form Scale</w:t>
      </w:r>
      <w:r>
        <w:rPr>
          <w:rStyle w:val="Hyperlink2"/>
        </w:rPr>
        <w:t xml:space="preserve"> </w:t>
      </w:r>
      <w:bookmarkStart w:id="4" w:name="_Int_x5LmnKs1"/>
      <w:proofErr w:type="gramStart"/>
      <w:r>
        <w:rPr>
          <w:rStyle w:val="Hyperlink2"/>
        </w:rPr>
        <w:t>The</w:t>
      </w:r>
      <w:bookmarkEnd w:id="4"/>
      <w:proofErr w:type="gramEnd"/>
      <w:r>
        <w:rPr>
          <w:rStyle w:val="Hyperlink2"/>
        </w:rPr>
        <w:t xml:space="preserve"> Bristol stool scale is a diagnostic medical tool designed to classify the form of human feces into seven categories. It has been used to track and diagnose irritable bowel syndrome and is sensitive to change in intestinal transit time following several medications. Post-ASO, Patient 2 showed improvement in bowel movements, specifically with respect to irritable bowel and intestinal transit. A score of 3-4 on this scale represents normal bowel movements, while 7 is indicative of diarrhea and 1 is indicative of constipation. Patient 2 had normalized bowel movements (Score of 5) and required minimal suppository use.</w:t>
      </w:r>
    </w:p>
    <w:p w14:paraId="335AEB4D" w14:textId="77777777" w:rsidR="006C2EA8" w:rsidRDefault="006C2EA8" w:rsidP="006C2EA8">
      <w:pPr>
        <w:pStyle w:val="BodyB"/>
        <w:spacing w:line="278" w:lineRule="auto"/>
        <w:rPr>
          <w:rStyle w:val="Hyperlink1"/>
          <w:lang w:val="en-US"/>
        </w:rPr>
      </w:pPr>
      <w:r>
        <w:rPr>
          <w:rStyle w:val="None"/>
          <w:rFonts w:ascii="Arial" w:hAnsi="Arial"/>
          <w:b/>
          <w:bCs/>
          <w:sz w:val="22"/>
          <w:szCs w:val="22"/>
          <w:lang w:val="en-US"/>
        </w:rPr>
        <w:t xml:space="preserve">c. ABC Aberrant Behavior Checklist </w:t>
      </w:r>
      <w:r>
        <w:rPr>
          <w:rStyle w:val="Hyperlink2"/>
        </w:rPr>
        <w:t>– Community Edition (ABC-C) The Aberrant Behavior Checklist- Community Edition (ABC-C) is a 58-item parent/caregiver rating scale used to assess the severity of a range of problem behaviors commonly observed in individuals with intellectual disability across five dimensions or subscales: irritability, hyperactivity, lethargy/withdrawal, stereotypy, and inappropriate speech [59].  At 12-month post-treatment, Patient 2 exhibited improvements in irritability, social withdrawal, and stereotyped behavior.</w:t>
      </w:r>
    </w:p>
    <w:p w14:paraId="4201C150" w14:textId="77777777" w:rsidR="006C2EA8" w:rsidRDefault="006C2EA8" w:rsidP="006C2EA8">
      <w:pPr>
        <w:pStyle w:val="BodyB"/>
        <w:spacing w:line="278" w:lineRule="auto"/>
        <w:rPr>
          <w:rStyle w:val="Hyperlink1"/>
          <w:lang w:val="en-US"/>
        </w:rPr>
      </w:pPr>
      <w:r>
        <w:rPr>
          <w:rStyle w:val="None"/>
          <w:rFonts w:ascii="Arial" w:hAnsi="Arial"/>
          <w:b/>
          <w:bCs/>
          <w:sz w:val="22"/>
          <w:szCs w:val="22"/>
          <w:lang w:val="en-US"/>
        </w:rPr>
        <w:t>d. Dyskinetic Cerebral Palsy Functional Impact Scale (D-FIS)</w:t>
      </w:r>
    </w:p>
    <w:p w14:paraId="5861F9D2" w14:textId="77777777" w:rsidR="006C2EA8" w:rsidRDefault="006C2EA8" w:rsidP="006C2EA8">
      <w:pPr>
        <w:pStyle w:val="BodyB"/>
        <w:spacing w:line="278" w:lineRule="auto"/>
      </w:pPr>
      <w:r>
        <w:rPr>
          <w:rStyle w:val="Hyperlink2"/>
        </w:rPr>
        <w:t>The D-FIS is a parent-reported measure used to assess the impact of abnormal muscle tone, such as spasticity (increased tone or stiffness), floppiness (decreased tone), or dyskinesia (fluctuating tone) on the patient’s ability to perform daily activities. Over time, Patient 2 exhibited improvement in different domains of the D-FIS scale.</w:t>
      </w:r>
      <w:r>
        <w:rPr>
          <w:rStyle w:val="Hyperlink2"/>
          <w:rFonts w:ascii="Arial Unicode MS" w:eastAsia="Arial Unicode MS" w:hAnsi="Arial Unicode MS" w:cs="Arial Unicode MS"/>
        </w:rPr>
        <w:br w:type="page"/>
      </w:r>
    </w:p>
    <w:p w14:paraId="41B9CC60" w14:textId="77777777" w:rsidR="006C2EA8" w:rsidRDefault="006C2EA8" w:rsidP="006C2EA8">
      <w:pPr>
        <w:pStyle w:val="BodyB"/>
        <w:spacing w:after="0" w:line="240" w:lineRule="auto"/>
        <w:rPr>
          <w:rStyle w:val="None"/>
          <w:rFonts w:ascii="Arial" w:eastAsia="Arial" w:hAnsi="Arial" w:cs="Arial"/>
          <w:b/>
          <w:bCs/>
          <w:sz w:val="22"/>
          <w:szCs w:val="22"/>
          <w:lang w:val="en-US"/>
        </w:rPr>
      </w:pPr>
      <w:r>
        <w:rPr>
          <w:rStyle w:val="None"/>
          <w:rFonts w:ascii="Arial" w:hAnsi="Arial"/>
          <w:b/>
          <w:bCs/>
          <w:sz w:val="22"/>
          <w:szCs w:val="22"/>
          <w:lang w:val="en-US"/>
        </w:rPr>
        <w:lastRenderedPageBreak/>
        <w:t>Supplemental Figure 5: Electroencephalography (EEG) Acquisition and Preprocessing</w:t>
      </w:r>
    </w:p>
    <w:p w14:paraId="0FE2459C" w14:textId="77777777" w:rsidR="006C2EA8" w:rsidRDefault="006C2EA8" w:rsidP="006C2EA8">
      <w:pPr>
        <w:pStyle w:val="BodyB"/>
        <w:spacing w:after="0" w:line="257" w:lineRule="auto"/>
        <w:rPr>
          <w:rStyle w:val="None"/>
          <w:rFonts w:ascii="Arial" w:eastAsia="Arial" w:hAnsi="Arial" w:cs="Arial"/>
          <w:sz w:val="22"/>
          <w:szCs w:val="22"/>
          <w:lang w:val="en-US"/>
        </w:rPr>
      </w:pPr>
    </w:p>
    <w:p w14:paraId="76953721" w14:textId="77777777" w:rsidR="006C2EA8" w:rsidRDefault="006C2EA8" w:rsidP="006C2EA8">
      <w:pPr>
        <w:pStyle w:val="BodyB"/>
        <w:spacing w:after="0" w:line="257" w:lineRule="auto"/>
        <w:rPr>
          <w:rStyle w:val="Hyperlink1"/>
        </w:rPr>
      </w:pPr>
      <w:r>
        <w:rPr>
          <w:rStyle w:val="apple-converted-space"/>
          <w:noProof/>
        </w:rPr>
        <w:drawing>
          <wp:inline distT="0" distB="0" distL="0" distR="0" wp14:anchorId="68153C30" wp14:editId="11B2DEEC">
            <wp:extent cx="5943600" cy="3514725"/>
            <wp:effectExtent l="0" t="0" r="0" b="0"/>
            <wp:docPr id="1073741832" name="officeArt object" descr="A graph of a graph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1073741832" name="A graph of a graph of a graphAI-generated content may be incorrect." descr="A graph of a graph of a graphAI-generated content may be incorrect."/>
                    <pic:cNvPicPr>
                      <a:picLocks noChangeAspect="1"/>
                    </pic:cNvPicPr>
                  </pic:nvPicPr>
                  <pic:blipFill>
                    <a:blip r:embed="rId11"/>
                    <a:stretch>
                      <a:fillRect/>
                    </a:stretch>
                  </pic:blipFill>
                  <pic:spPr>
                    <a:xfrm>
                      <a:off x="0" y="0"/>
                      <a:ext cx="5943600" cy="3514725"/>
                    </a:xfrm>
                    <a:prstGeom prst="rect">
                      <a:avLst/>
                    </a:prstGeom>
                    <a:ln w="12700" cap="flat">
                      <a:noFill/>
                      <a:miter lim="400000"/>
                    </a:ln>
                    <a:effectLst/>
                  </pic:spPr>
                </pic:pic>
              </a:graphicData>
            </a:graphic>
          </wp:inline>
        </w:drawing>
      </w:r>
    </w:p>
    <w:p w14:paraId="5570D570" w14:textId="77777777" w:rsidR="006C2EA8" w:rsidRDefault="006C2EA8" w:rsidP="006C2EA8">
      <w:pPr>
        <w:pStyle w:val="BodyB"/>
        <w:spacing w:line="278" w:lineRule="auto"/>
        <w:jc w:val="both"/>
        <w:rPr>
          <w:rStyle w:val="None"/>
          <w:rFonts w:ascii="Arial" w:eastAsia="Arial" w:hAnsi="Arial" w:cs="Arial"/>
          <w:b/>
          <w:bCs/>
          <w:sz w:val="22"/>
          <w:szCs w:val="22"/>
        </w:rPr>
      </w:pPr>
      <w:proofErr w:type="spellStart"/>
      <w:r>
        <w:rPr>
          <w:rStyle w:val="None"/>
          <w:rFonts w:ascii="Arial" w:hAnsi="Arial"/>
          <w:b/>
          <w:bCs/>
          <w:sz w:val="22"/>
          <w:szCs w:val="22"/>
        </w:rPr>
        <w:t>Legend</w:t>
      </w:r>
      <w:proofErr w:type="spellEnd"/>
      <w:r>
        <w:rPr>
          <w:rStyle w:val="None"/>
          <w:rFonts w:ascii="Arial" w:hAnsi="Arial"/>
          <w:b/>
          <w:bCs/>
          <w:sz w:val="22"/>
          <w:szCs w:val="22"/>
        </w:rPr>
        <w:t xml:space="preserve"> for </w:t>
      </w:r>
      <w:proofErr w:type="spellStart"/>
      <w:r>
        <w:rPr>
          <w:rStyle w:val="None"/>
          <w:rFonts w:ascii="Arial" w:hAnsi="Arial"/>
          <w:b/>
          <w:bCs/>
          <w:sz w:val="22"/>
          <w:szCs w:val="22"/>
        </w:rPr>
        <w:t>Supplemental</w:t>
      </w:r>
      <w:proofErr w:type="spellEnd"/>
      <w:r>
        <w:rPr>
          <w:rStyle w:val="None"/>
          <w:rFonts w:ascii="Arial" w:hAnsi="Arial"/>
          <w:b/>
          <w:bCs/>
          <w:sz w:val="22"/>
          <w:szCs w:val="22"/>
        </w:rPr>
        <w:t xml:space="preserve"> Figure 5 :</w:t>
      </w:r>
    </w:p>
    <w:p w14:paraId="64B90B9E" w14:textId="77777777" w:rsidR="006C2EA8" w:rsidRDefault="006C2EA8" w:rsidP="006C2EA8">
      <w:pPr>
        <w:pStyle w:val="BodyB"/>
        <w:spacing w:line="278" w:lineRule="auto"/>
        <w:jc w:val="both"/>
      </w:pPr>
      <w:r>
        <w:rPr>
          <w:rStyle w:val="Hyperlink1"/>
        </w:rPr>
        <w:t>(A)</w:t>
      </w:r>
      <w:r>
        <w:rPr>
          <w:rStyle w:val="None"/>
          <w:rFonts w:ascii="Arial" w:hAnsi="Arial"/>
          <w:b/>
          <w:bCs/>
          <w:sz w:val="22"/>
          <w:szCs w:val="22"/>
        </w:rPr>
        <w:t> </w:t>
      </w:r>
      <w:r>
        <w:rPr>
          <w:rStyle w:val="Hyperlink1"/>
        </w:rPr>
        <w:t xml:space="preserve">EEG </w:t>
      </w:r>
      <w:proofErr w:type="spellStart"/>
      <w:r>
        <w:rPr>
          <w:rStyle w:val="Hyperlink1"/>
        </w:rPr>
        <w:t>metrics</w:t>
      </w:r>
      <w:proofErr w:type="spellEnd"/>
      <w:r>
        <w:rPr>
          <w:rStyle w:val="Hyperlink1"/>
        </w:rPr>
        <w:t xml:space="preserve"> </w:t>
      </w:r>
      <w:proofErr w:type="spellStart"/>
      <w:r>
        <w:rPr>
          <w:rStyle w:val="Hyperlink1"/>
        </w:rPr>
        <w:t>across</w:t>
      </w:r>
      <w:proofErr w:type="spellEnd"/>
      <w:r>
        <w:rPr>
          <w:rStyle w:val="Hyperlink1"/>
        </w:rPr>
        <w:t xml:space="preserve"> </w:t>
      </w:r>
      <w:proofErr w:type="spellStart"/>
      <w:r>
        <w:rPr>
          <w:rStyle w:val="Hyperlink1"/>
        </w:rPr>
        <w:t>each</w:t>
      </w:r>
      <w:proofErr w:type="spellEnd"/>
      <w:r>
        <w:rPr>
          <w:rStyle w:val="Hyperlink1"/>
        </w:rPr>
        <w:t xml:space="preserve"> session (0=</w:t>
      </w:r>
      <w:proofErr w:type="spellStart"/>
      <w:r>
        <w:rPr>
          <w:rStyle w:val="Hyperlink1"/>
        </w:rPr>
        <w:t>baseline</w:t>
      </w:r>
      <w:proofErr w:type="spellEnd"/>
      <w:r>
        <w:rPr>
          <w:rStyle w:val="Hyperlink1"/>
        </w:rPr>
        <w:t xml:space="preserve">). EEG </w:t>
      </w:r>
      <w:proofErr w:type="spellStart"/>
      <w:r>
        <w:rPr>
          <w:rStyle w:val="Hyperlink1"/>
        </w:rPr>
        <w:t>was</w:t>
      </w:r>
      <w:proofErr w:type="spellEnd"/>
      <w:r>
        <w:rPr>
          <w:rStyle w:val="Hyperlink1"/>
        </w:rPr>
        <w:t xml:space="preserve"> </w:t>
      </w:r>
      <w:proofErr w:type="spellStart"/>
      <w:r>
        <w:rPr>
          <w:rStyle w:val="Hyperlink1"/>
        </w:rPr>
        <w:t>calculated</w:t>
      </w:r>
      <w:proofErr w:type="spellEnd"/>
      <w:r>
        <w:rPr>
          <w:rStyle w:val="Hyperlink1"/>
        </w:rPr>
        <w:t xml:space="preserve"> </w:t>
      </w:r>
      <w:proofErr w:type="spellStart"/>
      <w:r>
        <w:rPr>
          <w:rStyle w:val="Hyperlink1"/>
        </w:rPr>
        <w:t>from</w:t>
      </w:r>
      <w:proofErr w:type="spellEnd"/>
      <w:r>
        <w:rPr>
          <w:rStyle w:val="Hyperlink1"/>
        </w:rPr>
        <w:t xml:space="preserve"> 5 minute </w:t>
      </w:r>
      <w:proofErr w:type="spellStart"/>
      <w:r>
        <w:rPr>
          <w:rStyle w:val="Hyperlink1"/>
        </w:rPr>
        <w:t>epochs</w:t>
      </w:r>
      <w:proofErr w:type="spellEnd"/>
      <w:r>
        <w:rPr>
          <w:rStyle w:val="Hyperlink1"/>
        </w:rPr>
        <w:t xml:space="preserve"> for </w:t>
      </w:r>
      <w:proofErr w:type="spellStart"/>
      <w:r>
        <w:rPr>
          <w:rStyle w:val="Hyperlink1"/>
        </w:rPr>
        <w:t>each</w:t>
      </w:r>
      <w:proofErr w:type="spellEnd"/>
      <w:r>
        <w:rPr>
          <w:rStyle w:val="Hyperlink1"/>
        </w:rPr>
        <w:t xml:space="preserve"> session. </w:t>
      </w:r>
      <w:proofErr w:type="spellStart"/>
      <w:r>
        <w:rPr>
          <w:rStyle w:val="Hyperlink1"/>
        </w:rPr>
        <w:t>Metrics</w:t>
      </w:r>
      <w:proofErr w:type="spellEnd"/>
      <w:r>
        <w:rPr>
          <w:rStyle w:val="Hyperlink1"/>
        </w:rPr>
        <w:t xml:space="preserve"> </w:t>
      </w:r>
      <w:proofErr w:type="spellStart"/>
      <w:r>
        <w:rPr>
          <w:rStyle w:val="Hyperlink1"/>
        </w:rPr>
        <w:t>included</w:t>
      </w:r>
      <w:proofErr w:type="spellEnd"/>
      <w:r>
        <w:rPr>
          <w:rStyle w:val="Hyperlink1"/>
        </w:rPr>
        <w:t xml:space="preserve"> relative power in canonical </w:t>
      </w:r>
      <w:proofErr w:type="spellStart"/>
      <w:r>
        <w:rPr>
          <w:rStyle w:val="Hyperlink1"/>
        </w:rPr>
        <w:t>frequency</w:t>
      </w:r>
      <w:proofErr w:type="spellEnd"/>
      <w:r>
        <w:rPr>
          <w:rStyle w:val="Hyperlink1"/>
        </w:rPr>
        <w:t xml:space="preserve"> </w:t>
      </w:r>
      <w:proofErr w:type="gramStart"/>
      <w:r>
        <w:rPr>
          <w:rStyle w:val="Hyperlink1"/>
        </w:rPr>
        <w:t>bands:</w:t>
      </w:r>
      <w:proofErr w:type="gramEnd"/>
      <w:r>
        <w:rPr>
          <w:rStyle w:val="Hyperlink1"/>
        </w:rPr>
        <w:t xml:space="preserve"> delta (1–4 Hz), </w:t>
      </w:r>
      <w:proofErr w:type="spellStart"/>
      <w:r>
        <w:rPr>
          <w:rStyle w:val="Hyperlink1"/>
        </w:rPr>
        <w:t>theta</w:t>
      </w:r>
      <w:proofErr w:type="spellEnd"/>
      <w:r>
        <w:rPr>
          <w:rStyle w:val="Hyperlink1"/>
        </w:rPr>
        <w:t xml:space="preserve"> (4–8 Hz), alpha (8–13 Hz), beta (13–30 Hz), and gamma (30–50 Hz) (A) as </w:t>
      </w:r>
      <w:proofErr w:type="spellStart"/>
      <w:r>
        <w:rPr>
          <w:rStyle w:val="Hyperlink1"/>
        </w:rPr>
        <w:t>well</w:t>
      </w:r>
      <w:proofErr w:type="spellEnd"/>
      <w:r>
        <w:rPr>
          <w:rStyle w:val="Hyperlink1"/>
        </w:rPr>
        <w:t xml:space="preserve"> as alpha/delta (AD) ratio and relative alpha </w:t>
      </w:r>
      <w:proofErr w:type="spellStart"/>
      <w:r>
        <w:rPr>
          <w:rStyle w:val="Hyperlink1"/>
        </w:rPr>
        <w:t>variability</w:t>
      </w:r>
      <w:proofErr w:type="spellEnd"/>
      <w:r>
        <w:rPr>
          <w:rStyle w:val="Hyperlink1"/>
        </w:rPr>
        <w:t xml:space="preserve"> (RAV) (B). </w:t>
      </w:r>
      <w:proofErr w:type="spellStart"/>
      <w:r>
        <w:rPr>
          <w:rStyle w:val="Hyperlink1"/>
        </w:rPr>
        <w:t>Violin</w:t>
      </w:r>
      <w:proofErr w:type="spellEnd"/>
      <w:r>
        <w:rPr>
          <w:rStyle w:val="Hyperlink1"/>
        </w:rPr>
        <w:t xml:space="preserve"> plots, </w:t>
      </w:r>
      <w:proofErr w:type="spellStart"/>
      <w:r>
        <w:rPr>
          <w:rStyle w:val="Hyperlink1"/>
        </w:rPr>
        <w:t>which</w:t>
      </w:r>
      <w:proofErr w:type="spellEnd"/>
      <w:r>
        <w:rPr>
          <w:rStyle w:val="Hyperlink1"/>
        </w:rPr>
        <w:t xml:space="preserve"> display the </w:t>
      </w:r>
      <w:proofErr w:type="spellStart"/>
      <w:r>
        <w:rPr>
          <w:rStyle w:val="Hyperlink1"/>
        </w:rPr>
        <w:t>median</w:t>
      </w:r>
      <w:proofErr w:type="spellEnd"/>
      <w:r>
        <w:rPr>
          <w:rStyle w:val="Hyperlink1"/>
        </w:rPr>
        <w:t xml:space="preserve">, interquartile range, and 1.5x interquartile range </w:t>
      </w:r>
      <w:proofErr w:type="spellStart"/>
      <w:r>
        <w:rPr>
          <w:rStyle w:val="Hyperlink1"/>
        </w:rPr>
        <w:t>along</w:t>
      </w:r>
      <w:proofErr w:type="spellEnd"/>
      <w:r>
        <w:rPr>
          <w:rStyle w:val="Hyperlink1"/>
        </w:rPr>
        <w:t xml:space="preserve"> </w:t>
      </w:r>
      <w:proofErr w:type="spellStart"/>
      <w:r>
        <w:rPr>
          <w:rStyle w:val="Hyperlink1"/>
        </w:rPr>
        <w:t>with</w:t>
      </w:r>
      <w:proofErr w:type="spellEnd"/>
      <w:r>
        <w:rPr>
          <w:rStyle w:val="Hyperlink1"/>
        </w:rPr>
        <w:t xml:space="preserve"> a kernel </w:t>
      </w:r>
      <w:proofErr w:type="spellStart"/>
      <w:r>
        <w:rPr>
          <w:rStyle w:val="Hyperlink1"/>
        </w:rPr>
        <w:t>density</w:t>
      </w:r>
      <w:proofErr w:type="spellEnd"/>
      <w:r>
        <w:rPr>
          <w:rStyle w:val="Hyperlink1"/>
        </w:rPr>
        <w:t xml:space="preserve"> estimation are </w:t>
      </w:r>
      <w:proofErr w:type="spellStart"/>
      <w:r>
        <w:rPr>
          <w:rStyle w:val="Hyperlink1"/>
        </w:rPr>
        <w:t>shown</w:t>
      </w:r>
      <w:proofErr w:type="spellEnd"/>
      <w:r>
        <w:rPr>
          <w:rStyle w:val="Hyperlink1"/>
        </w:rPr>
        <w:t>. *</w:t>
      </w:r>
      <w:proofErr w:type="spellStart"/>
      <w:r>
        <w:rPr>
          <w:rStyle w:val="Hyperlink1"/>
        </w:rPr>
        <w:t>indicates</w:t>
      </w:r>
      <w:proofErr w:type="spellEnd"/>
      <w:r>
        <w:rPr>
          <w:rStyle w:val="Hyperlink1"/>
        </w:rPr>
        <w:t xml:space="preserve"> </w:t>
      </w:r>
      <w:proofErr w:type="spellStart"/>
      <w:r>
        <w:rPr>
          <w:rStyle w:val="Hyperlink1"/>
        </w:rPr>
        <w:t>significance</w:t>
      </w:r>
      <w:proofErr w:type="spellEnd"/>
      <w:r>
        <w:rPr>
          <w:rStyle w:val="Hyperlink1"/>
        </w:rPr>
        <w:t xml:space="preserve"> of RAV (β = 0.087, SE = 0.040, z = 2.20, p = 0.028, 95% CI [0.009, 0.165]). EEG data </w:t>
      </w:r>
      <w:proofErr w:type="spellStart"/>
      <w:r>
        <w:rPr>
          <w:rStyle w:val="Hyperlink1"/>
        </w:rPr>
        <w:t>were</w:t>
      </w:r>
      <w:proofErr w:type="spellEnd"/>
      <w:r>
        <w:rPr>
          <w:rStyle w:val="Hyperlink1"/>
        </w:rPr>
        <w:t xml:space="preserve"> </w:t>
      </w:r>
      <w:proofErr w:type="spellStart"/>
      <w:r>
        <w:rPr>
          <w:rStyle w:val="Hyperlink1"/>
        </w:rPr>
        <w:t>collected</w:t>
      </w:r>
      <w:proofErr w:type="spellEnd"/>
      <w:r>
        <w:rPr>
          <w:rStyle w:val="Hyperlink1"/>
        </w:rPr>
        <w:t xml:space="preserve"> </w:t>
      </w:r>
      <w:proofErr w:type="spellStart"/>
      <w:r>
        <w:rPr>
          <w:rStyle w:val="Hyperlink1"/>
        </w:rPr>
        <w:t>using</w:t>
      </w:r>
      <w:proofErr w:type="spellEnd"/>
      <w:r>
        <w:rPr>
          <w:rStyle w:val="Hyperlink1"/>
        </w:rPr>
        <w:t xml:space="preserve"> </w:t>
      </w:r>
      <w:proofErr w:type="spellStart"/>
      <w:r>
        <w:rPr>
          <w:rStyle w:val="Hyperlink1"/>
        </w:rPr>
        <w:t>Natus</w:t>
      </w:r>
      <w:proofErr w:type="spellEnd"/>
      <w:r>
        <w:rPr>
          <w:rStyle w:val="Hyperlink1"/>
        </w:rPr>
        <w:t xml:space="preserve"> and Nihon </w:t>
      </w:r>
      <w:proofErr w:type="spellStart"/>
      <w:r>
        <w:rPr>
          <w:rStyle w:val="Hyperlink1"/>
        </w:rPr>
        <w:t>Kohden</w:t>
      </w:r>
      <w:proofErr w:type="spellEnd"/>
      <w:r>
        <w:rPr>
          <w:rStyle w:val="Hyperlink1"/>
        </w:rPr>
        <w:t xml:space="preserve"> </w:t>
      </w:r>
      <w:proofErr w:type="spellStart"/>
      <w:r>
        <w:rPr>
          <w:rStyle w:val="Hyperlink1"/>
        </w:rPr>
        <w:t>systems</w:t>
      </w:r>
      <w:proofErr w:type="spellEnd"/>
      <w:r>
        <w:rPr>
          <w:rStyle w:val="Hyperlink1"/>
        </w:rPr>
        <w:t xml:space="preserve">, </w:t>
      </w:r>
      <w:proofErr w:type="spellStart"/>
      <w:r>
        <w:rPr>
          <w:rStyle w:val="Hyperlink1"/>
        </w:rPr>
        <w:t>with</w:t>
      </w:r>
      <w:proofErr w:type="spellEnd"/>
      <w:r>
        <w:rPr>
          <w:rStyle w:val="Hyperlink1"/>
        </w:rPr>
        <w:t xml:space="preserve"> session 0 as a </w:t>
      </w:r>
      <w:proofErr w:type="spellStart"/>
      <w:r>
        <w:rPr>
          <w:rStyle w:val="Hyperlink1"/>
        </w:rPr>
        <w:t>baseline</w:t>
      </w:r>
      <w:proofErr w:type="spellEnd"/>
      <w:r>
        <w:rPr>
          <w:rStyle w:val="Hyperlink1"/>
        </w:rPr>
        <w:t xml:space="preserve"> and </w:t>
      </w:r>
      <w:proofErr w:type="spellStart"/>
      <w:r>
        <w:rPr>
          <w:rStyle w:val="Hyperlink1"/>
        </w:rPr>
        <w:t>after</w:t>
      </w:r>
      <w:proofErr w:type="spellEnd"/>
      <w:r>
        <w:rPr>
          <w:rStyle w:val="Hyperlink1"/>
        </w:rPr>
        <w:t xml:space="preserve"> ASO administration.  </w:t>
      </w:r>
      <w:proofErr w:type="spellStart"/>
      <w:r>
        <w:rPr>
          <w:rStyle w:val="Hyperlink1"/>
        </w:rPr>
        <w:t>Recordings</w:t>
      </w:r>
      <w:proofErr w:type="spellEnd"/>
      <w:r>
        <w:rPr>
          <w:rStyle w:val="Hyperlink1"/>
        </w:rPr>
        <w:t xml:space="preserve"> </w:t>
      </w:r>
      <w:proofErr w:type="spellStart"/>
      <w:r>
        <w:rPr>
          <w:rStyle w:val="Hyperlink1"/>
        </w:rPr>
        <w:t>employed</w:t>
      </w:r>
      <w:proofErr w:type="spellEnd"/>
      <w:r>
        <w:rPr>
          <w:rStyle w:val="Hyperlink1"/>
        </w:rPr>
        <w:t xml:space="preserve"> a standard international 10-20 montage at 256 Hz (</w:t>
      </w:r>
      <w:proofErr w:type="spellStart"/>
      <w:r>
        <w:rPr>
          <w:rStyle w:val="Hyperlink1"/>
        </w:rPr>
        <w:t>Natus</w:t>
      </w:r>
      <w:proofErr w:type="spellEnd"/>
      <w:r>
        <w:rPr>
          <w:rStyle w:val="Hyperlink1"/>
        </w:rPr>
        <w:t xml:space="preserve">) or 200 Hz (Nihon </w:t>
      </w:r>
      <w:proofErr w:type="spellStart"/>
      <w:r>
        <w:rPr>
          <w:rStyle w:val="Hyperlink1"/>
        </w:rPr>
        <w:t>Kohden</w:t>
      </w:r>
      <w:proofErr w:type="spellEnd"/>
      <w:r>
        <w:rPr>
          <w:rStyle w:val="Hyperlink1"/>
        </w:rPr>
        <w:t xml:space="preserve">) sampling rate. The </w:t>
      </w:r>
      <w:proofErr w:type="spellStart"/>
      <w:r>
        <w:rPr>
          <w:rStyle w:val="Hyperlink1"/>
        </w:rPr>
        <w:t>resulting</w:t>
      </w:r>
      <w:proofErr w:type="spellEnd"/>
      <w:r>
        <w:rPr>
          <w:rStyle w:val="Hyperlink1"/>
        </w:rPr>
        <w:t xml:space="preserve"> </w:t>
      </w:r>
      <w:proofErr w:type="spellStart"/>
      <w:r>
        <w:rPr>
          <w:rStyle w:val="Hyperlink1"/>
        </w:rPr>
        <w:t>signals</w:t>
      </w:r>
      <w:proofErr w:type="spellEnd"/>
      <w:r>
        <w:rPr>
          <w:rStyle w:val="Hyperlink1"/>
        </w:rPr>
        <w:t xml:space="preserve"> </w:t>
      </w:r>
      <w:proofErr w:type="spellStart"/>
      <w:r>
        <w:rPr>
          <w:rStyle w:val="Hyperlink1"/>
        </w:rPr>
        <w:t>were</w:t>
      </w:r>
      <w:proofErr w:type="spellEnd"/>
      <w:r>
        <w:rPr>
          <w:rStyle w:val="Hyperlink1"/>
        </w:rPr>
        <w:t xml:space="preserve"> </w:t>
      </w:r>
      <w:proofErr w:type="spellStart"/>
      <w:r>
        <w:rPr>
          <w:rStyle w:val="Hyperlink1"/>
        </w:rPr>
        <w:t>bandpass</w:t>
      </w:r>
      <w:proofErr w:type="spellEnd"/>
      <w:r>
        <w:rPr>
          <w:rStyle w:val="Hyperlink1"/>
        </w:rPr>
        <w:t xml:space="preserve"> </w:t>
      </w:r>
      <w:proofErr w:type="spellStart"/>
      <w:r>
        <w:rPr>
          <w:rStyle w:val="Hyperlink1"/>
        </w:rPr>
        <w:t>filtered</w:t>
      </w:r>
      <w:proofErr w:type="spellEnd"/>
      <w:r>
        <w:rPr>
          <w:rStyle w:val="Hyperlink1"/>
        </w:rPr>
        <w:t xml:space="preserve"> (1–70 Hz, FIR) and </w:t>
      </w:r>
      <w:proofErr w:type="spellStart"/>
      <w:r>
        <w:rPr>
          <w:rStyle w:val="Hyperlink1"/>
        </w:rPr>
        <w:t>notch</w:t>
      </w:r>
      <w:proofErr w:type="spellEnd"/>
      <w:r>
        <w:rPr>
          <w:rStyle w:val="Hyperlink1"/>
        </w:rPr>
        <w:t xml:space="preserve"> </w:t>
      </w:r>
      <w:proofErr w:type="spellStart"/>
      <w:r>
        <w:rPr>
          <w:rStyle w:val="Hyperlink1"/>
        </w:rPr>
        <w:t>filtered</w:t>
      </w:r>
      <w:proofErr w:type="spellEnd"/>
      <w:r>
        <w:rPr>
          <w:rStyle w:val="Hyperlink1"/>
        </w:rPr>
        <w:t xml:space="preserve"> at 60 Hz to </w:t>
      </w:r>
      <w:proofErr w:type="spellStart"/>
      <w:r>
        <w:rPr>
          <w:rStyle w:val="Hyperlink1"/>
        </w:rPr>
        <w:t>attenuate</w:t>
      </w:r>
      <w:proofErr w:type="spellEnd"/>
      <w:r>
        <w:rPr>
          <w:rStyle w:val="Hyperlink1"/>
        </w:rPr>
        <w:t xml:space="preserve"> line noise. </w:t>
      </w:r>
      <w:proofErr w:type="spellStart"/>
      <w:r>
        <w:rPr>
          <w:rStyle w:val="Hyperlink1"/>
        </w:rPr>
        <w:t>Each</w:t>
      </w:r>
      <w:proofErr w:type="spellEnd"/>
      <w:r>
        <w:rPr>
          <w:rStyle w:val="Hyperlink1"/>
        </w:rPr>
        <w:t xml:space="preserve"> EEG </w:t>
      </w:r>
      <w:proofErr w:type="spellStart"/>
      <w:r>
        <w:rPr>
          <w:rStyle w:val="Hyperlink1"/>
        </w:rPr>
        <w:t>was</w:t>
      </w:r>
      <w:proofErr w:type="spellEnd"/>
      <w:r>
        <w:rPr>
          <w:rStyle w:val="Hyperlink1"/>
        </w:rPr>
        <w:t xml:space="preserve"> </w:t>
      </w:r>
      <w:proofErr w:type="spellStart"/>
      <w:r>
        <w:rPr>
          <w:rStyle w:val="Hyperlink1"/>
        </w:rPr>
        <w:t>manually</w:t>
      </w:r>
      <w:proofErr w:type="spellEnd"/>
      <w:r>
        <w:rPr>
          <w:rStyle w:val="Hyperlink1"/>
        </w:rPr>
        <w:t xml:space="preserve"> </w:t>
      </w:r>
      <w:proofErr w:type="spellStart"/>
      <w:r>
        <w:rPr>
          <w:rStyle w:val="Hyperlink1"/>
        </w:rPr>
        <w:t>reviewed</w:t>
      </w:r>
      <w:proofErr w:type="spellEnd"/>
      <w:r>
        <w:rPr>
          <w:rStyle w:val="Hyperlink1"/>
        </w:rPr>
        <w:t xml:space="preserve"> by </w:t>
      </w:r>
      <w:proofErr w:type="spellStart"/>
      <w:r>
        <w:rPr>
          <w:rStyle w:val="Hyperlink1"/>
        </w:rPr>
        <w:t>Board-certified</w:t>
      </w:r>
      <w:proofErr w:type="spellEnd"/>
      <w:r>
        <w:rPr>
          <w:rStyle w:val="Hyperlink1"/>
        </w:rPr>
        <w:t xml:space="preserve"> </w:t>
      </w:r>
      <w:proofErr w:type="spellStart"/>
      <w:r>
        <w:rPr>
          <w:rStyle w:val="Hyperlink1"/>
        </w:rPr>
        <w:t>epileptologists</w:t>
      </w:r>
      <w:proofErr w:type="spellEnd"/>
      <w:r>
        <w:rPr>
          <w:rStyle w:val="Hyperlink1"/>
        </w:rPr>
        <w:t xml:space="preserve"> and </w:t>
      </w:r>
      <w:proofErr w:type="spellStart"/>
      <w:r>
        <w:rPr>
          <w:rStyle w:val="Hyperlink1"/>
        </w:rPr>
        <w:t>significant</w:t>
      </w:r>
      <w:proofErr w:type="spellEnd"/>
      <w:r>
        <w:rPr>
          <w:rStyle w:val="Hyperlink1"/>
        </w:rPr>
        <w:t xml:space="preserve"> </w:t>
      </w:r>
      <w:proofErr w:type="spellStart"/>
      <w:r>
        <w:rPr>
          <w:rStyle w:val="Hyperlink1"/>
        </w:rPr>
        <w:t>artifact</w:t>
      </w:r>
      <w:proofErr w:type="spellEnd"/>
      <w:r>
        <w:rPr>
          <w:rStyle w:val="Hyperlink1"/>
        </w:rPr>
        <w:t xml:space="preserve"> as </w:t>
      </w:r>
      <w:proofErr w:type="spellStart"/>
      <w:r>
        <w:rPr>
          <w:rStyle w:val="Hyperlink1"/>
        </w:rPr>
        <w:t>well</w:t>
      </w:r>
      <w:proofErr w:type="spellEnd"/>
      <w:r>
        <w:rPr>
          <w:rStyle w:val="Hyperlink1"/>
        </w:rPr>
        <w:t xml:space="preserve"> as </w:t>
      </w:r>
      <w:proofErr w:type="spellStart"/>
      <w:r>
        <w:rPr>
          <w:rStyle w:val="Hyperlink1"/>
        </w:rPr>
        <w:t>sleep</w:t>
      </w:r>
      <w:proofErr w:type="spellEnd"/>
      <w:r>
        <w:rPr>
          <w:rStyle w:val="Hyperlink1"/>
        </w:rPr>
        <w:t xml:space="preserve"> </w:t>
      </w:r>
      <w:proofErr w:type="spellStart"/>
      <w:r>
        <w:rPr>
          <w:rStyle w:val="Hyperlink1"/>
        </w:rPr>
        <w:t>were</w:t>
      </w:r>
      <w:proofErr w:type="spellEnd"/>
      <w:r>
        <w:rPr>
          <w:rStyle w:val="Hyperlink1"/>
        </w:rPr>
        <w:t xml:space="preserve"> </w:t>
      </w:r>
      <w:proofErr w:type="spellStart"/>
      <w:r>
        <w:rPr>
          <w:rStyle w:val="Hyperlink1"/>
        </w:rPr>
        <w:t>annotated</w:t>
      </w:r>
      <w:proofErr w:type="spellEnd"/>
      <w:r>
        <w:rPr>
          <w:rStyle w:val="Hyperlink1"/>
        </w:rPr>
        <w:t xml:space="preserve"> and </w:t>
      </w:r>
      <w:proofErr w:type="spellStart"/>
      <w:r>
        <w:rPr>
          <w:rStyle w:val="Hyperlink1"/>
        </w:rPr>
        <w:t>removed</w:t>
      </w:r>
      <w:proofErr w:type="spellEnd"/>
      <w:r>
        <w:rPr>
          <w:rStyle w:val="Hyperlink1"/>
        </w:rPr>
        <w:t xml:space="preserve"> </w:t>
      </w:r>
      <w:proofErr w:type="spellStart"/>
      <w:r>
        <w:rPr>
          <w:rStyle w:val="Hyperlink1"/>
        </w:rPr>
        <w:t>from</w:t>
      </w:r>
      <w:proofErr w:type="spellEnd"/>
      <w:r>
        <w:rPr>
          <w:rStyle w:val="Hyperlink1"/>
        </w:rPr>
        <w:t xml:space="preserve"> </w:t>
      </w:r>
      <w:proofErr w:type="spellStart"/>
      <w:r>
        <w:rPr>
          <w:rStyle w:val="Hyperlink1"/>
        </w:rPr>
        <w:t>analysis</w:t>
      </w:r>
      <w:proofErr w:type="spellEnd"/>
      <w:r>
        <w:rPr>
          <w:rStyle w:val="Hyperlink1"/>
        </w:rPr>
        <w:t xml:space="preserve">. Spectral </w:t>
      </w:r>
      <w:proofErr w:type="spellStart"/>
      <w:r>
        <w:rPr>
          <w:rStyle w:val="Hyperlink1"/>
        </w:rPr>
        <w:t>features</w:t>
      </w:r>
      <w:proofErr w:type="spellEnd"/>
      <w:r>
        <w:rPr>
          <w:rStyle w:val="Hyperlink1"/>
        </w:rPr>
        <w:t xml:space="preserve"> </w:t>
      </w:r>
      <w:proofErr w:type="spellStart"/>
      <w:r>
        <w:rPr>
          <w:rStyle w:val="Hyperlink1"/>
        </w:rPr>
        <w:t>were</w:t>
      </w:r>
      <w:proofErr w:type="spellEnd"/>
      <w:r>
        <w:rPr>
          <w:rStyle w:val="Hyperlink1"/>
        </w:rPr>
        <w:t xml:space="preserve"> </w:t>
      </w:r>
      <w:proofErr w:type="spellStart"/>
      <w:r>
        <w:rPr>
          <w:rStyle w:val="Hyperlink1"/>
        </w:rPr>
        <w:t>computed</w:t>
      </w:r>
      <w:proofErr w:type="spellEnd"/>
      <w:r>
        <w:rPr>
          <w:rStyle w:val="Hyperlink1"/>
        </w:rPr>
        <w:t xml:space="preserve"> </w:t>
      </w:r>
      <w:proofErr w:type="spellStart"/>
      <w:r>
        <w:rPr>
          <w:rStyle w:val="Hyperlink1"/>
        </w:rPr>
        <w:t>from</w:t>
      </w:r>
      <w:proofErr w:type="spellEnd"/>
      <w:r>
        <w:rPr>
          <w:rStyle w:val="Hyperlink1"/>
        </w:rPr>
        <w:t xml:space="preserve"> non-</w:t>
      </w:r>
      <w:proofErr w:type="spellStart"/>
      <w:r>
        <w:rPr>
          <w:rStyle w:val="Hyperlink1"/>
        </w:rPr>
        <w:t>overlapping</w:t>
      </w:r>
      <w:proofErr w:type="spellEnd"/>
      <w:r>
        <w:rPr>
          <w:rStyle w:val="Hyperlink1"/>
        </w:rPr>
        <w:t xml:space="preserve"> 5-minute </w:t>
      </w:r>
      <w:proofErr w:type="spellStart"/>
      <w:r>
        <w:rPr>
          <w:rStyle w:val="Hyperlink1"/>
        </w:rPr>
        <w:t>epochs</w:t>
      </w:r>
      <w:proofErr w:type="spellEnd"/>
      <w:r>
        <w:rPr>
          <w:rStyle w:val="Hyperlink1"/>
        </w:rPr>
        <w:t xml:space="preserve"> </w:t>
      </w:r>
      <w:proofErr w:type="spellStart"/>
      <w:r>
        <w:rPr>
          <w:rStyle w:val="Hyperlink1"/>
        </w:rPr>
        <w:t>using</w:t>
      </w:r>
      <w:proofErr w:type="spellEnd"/>
      <w:r>
        <w:rPr>
          <w:rStyle w:val="Hyperlink1"/>
        </w:rPr>
        <w:t xml:space="preserve"> </w:t>
      </w:r>
      <w:proofErr w:type="spellStart"/>
      <w:r>
        <w:rPr>
          <w:rStyle w:val="Hyperlink1"/>
        </w:rPr>
        <w:t>Welch’s</w:t>
      </w:r>
      <w:proofErr w:type="spellEnd"/>
      <w:r>
        <w:rPr>
          <w:rStyle w:val="Hyperlink1"/>
        </w:rPr>
        <w:t xml:space="preserve"> </w:t>
      </w:r>
      <w:proofErr w:type="spellStart"/>
      <w:r>
        <w:rPr>
          <w:rStyle w:val="Hyperlink1"/>
        </w:rPr>
        <w:t>method</w:t>
      </w:r>
      <w:proofErr w:type="spellEnd"/>
      <w:r>
        <w:rPr>
          <w:rStyle w:val="Hyperlink1"/>
        </w:rPr>
        <w:t xml:space="preserve">. A mixed </w:t>
      </w:r>
      <w:proofErr w:type="spellStart"/>
      <w:r>
        <w:rPr>
          <w:rStyle w:val="Hyperlink1"/>
        </w:rPr>
        <w:t>effects</w:t>
      </w:r>
      <w:proofErr w:type="spellEnd"/>
      <w:r>
        <w:rPr>
          <w:rStyle w:val="Hyperlink1"/>
        </w:rPr>
        <w:t xml:space="preserve"> </w:t>
      </w:r>
      <w:proofErr w:type="spellStart"/>
      <w:r>
        <w:rPr>
          <w:rStyle w:val="Hyperlink1"/>
        </w:rPr>
        <w:t>linear</w:t>
      </w:r>
      <w:proofErr w:type="spellEnd"/>
      <w:r>
        <w:rPr>
          <w:rStyle w:val="Hyperlink1"/>
        </w:rPr>
        <w:t xml:space="preserve"> model </w:t>
      </w:r>
      <w:proofErr w:type="spellStart"/>
      <w:r>
        <w:rPr>
          <w:rStyle w:val="Hyperlink1"/>
        </w:rPr>
        <w:t>was</w:t>
      </w:r>
      <w:proofErr w:type="spellEnd"/>
      <w:r>
        <w:rPr>
          <w:rStyle w:val="Hyperlink1"/>
        </w:rPr>
        <w:t xml:space="preserve"> fit </w:t>
      </w:r>
      <w:proofErr w:type="spellStart"/>
      <w:r>
        <w:rPr>
          <w:rStyle w:val="Hyperlink1"/>
        </w:rPr>
        <w:t>with</w:t>
      </w:r>
      <w:proofErr w:type="spellEnd"/>
      <w:r>
        <w:rPr>
          <w:rStyle w:val="Hyperlink1"/>
        </w:rPr>
        <w:t xml:space="preserve"> </w:t>
      </w:r>
      <w:proofErr w:type="spellStart"/>
      <w:r>
        <w:rPr>
          <w:rStyle w:val="Hyperlink1"/>
        </w:rPr>
        <w:t>each</w:t>
      </w:r>
      <w:proofErr w:type="spellEnd"/>
      <w:r>
        <w:rPr>
          <w:rStyle w:val="Hyperlink1"/>
        </w:rPr>
        <w:t xml:space="preserve"> </w:t>
      </w:r>
      <w:proofErr w:type="spellStart"/>
      <w:r>
        <w:rPr>
          <w:rStyle w:val="Hyperlink1"/>
        </w:rPr>
        <w:t>metric</w:t>
      </w:r>
      <w:proofErr w:type="spellEnd"/>
      <w:r>
        <w:rPr>
          <w:rStyle w:val="Hyperlink1"/>
        </w:rPr>
        <w:t xml:space="preserve"> as the </w:t>
      </w:r>
      <w:proofErr w:type="spellStart"/>
      <w:r>
        <w:rPr>
          <w:rStyle w:val="Hyperlink1"/>
        </w:rPr>
        <w:t>dependent</w:t>
      </w:r>
      <w:proofErr w:type="spellEnd"/>
      <w:r>
        <w:rPr>
          <w:rStyle w:val="Hyperlink1"/>
        </w:rPr>
        <w:t xml:space="preserve"> variable and </w:t>
      </w:r>
      <w:proofErr w:type="spellStart"/>
      <w:r>
        <w:rPr>
          <w:rStyle w:val="Hyperlink1"/>
        </w:rPr>
        <w:t>each</w:t>
      </w:r>
      <w:proofErr w:type="spellEnd"/>
      <w:r>
        <w:rPr>
          <w:rStyle w:val="Hyperlink1"/>
        </w:rPr>
        <w:t xml:space="preserve"> 5 minute </w:t>
      </w:r>
      <w:proofErr w:type="spellStart"/>
      <w:r>
        <w:rPr>
          <w:rStyle w:val="Hyperlink1"/>
        </w:rPr>
        <w:t>epoch</w:t>
      </w:r>
      <w:proofErr w:type="spellEnd"/>
      <w:r>
        <w:rPr>
          <w:rStyle w:val="Hyperlink1"/>
        </w:rPr>
        <w:t xml:space="preserve"> </w:t>
      </w:r>
      <w:proofErr w:type="spellStart"/>
      <w:r>
        <w:rPr>
          <w:rStyle w:val="Hyperlink1"/>
        </w:rPr>
        <w:t>nested</w:t>
      </w:r>
      <w:proofErr w:type="spellEnd"/>
      <w:r>
        <w:rPr>
          <w:rStyle w:val="Hyperlink1"/>
        </w:rPr>
        <w:t xml:space="preserve"> </w:t>
      </w:r>
      <w:proofErr w:type="spellStart"/>
      <w:r>
        <w:rPr>
          <w:rStyle w:val="Hyperlink1"/>
        </w:rPr>
        <w:t>within</w:t>
      </w:r>
      <w:proofErr w:type="spellEnd"/>
      <w:r>
        <w:rPr>
          <w:rStyle w:val="Hyperlink1"/>
        </w:rPr>
        <w:t xml:space="preserve"> </w:t>
      </w:r>
      <w:proofErr w:type="spellStart"/>
      <w:r>
        <w:rPr>
          <w:rStyle w:val="Hyperlink1"/>
        </w:rPr>
        <w:t>each</w:t>
      </w:r>
      <w:proofErr w:type="spellEnd"/>
      <w:r>
        <w:rPr>
          <w:rStyle w:val="Hyperlink1"/>
        </w:rPr>
        <w:t xml:space="preserve"> session, </w:t>
      </w:r>
      <w:proofErr w:type="spellStart"/>
      <w:r>
        <w:rPr>
          <w:rStyle w:val="Hyperlink1"/>
        </w:rPr>
        <w:t>with</w:t>
      </w:r>
      <w:proofErr w:type="spellEnd"/>
      <w:r>
        <w:rPr>
          <w:rStyle w:val="Hyperlink1"/>
        </w:rPr>
        <w:t xml:space="preserve"> </w:t>
      </w:r>
      <w:proofErr w:type="spellStart"/>
      <w:r>
        <w:rPr>
          <w:rStyle w:val="Hyperlink1"/>
        </w:rPr>
        <w:t>each</w:t>
      </w:r>
      <w:proofErr w:type="spellEnd"/>
      <w:r>
        <w:rPr>
          <w:rStyle w:val="Hyperlink1"/>
        </w:rPr>
        <w:t xml:space="preserve"> session </w:t>
      </w:r>
      <w:proofErr w:type="spellStart"/>
      <w:r>
        <w:rPr>
          <w:rStyle w:val="Hyperlink1"/>
        </w:rPr>
        <w:t>modeled</w:t>
      </w:r>
      <w:proofErr w:type="spellEnd"/>
      <w:r>
        <w:rPr>
          <w:rStyle w:val="Hyperlink1"/>
        </w:rPr>
        <w:t xml:space="preserve"> as a </w:t>
      </w:r>
      <w:proofErr w:type="spellStart"/>
      <w:r>
        <w:rPr>
          <w:rStyle w:val="Hyperlink1"/>
        </w:rPr>
        <w:t>random</w:t>
      </w:r>
      <w:proofErr w:type="spellEnd"/>
      <w:r>
        <w:rPr>
          <w:rStyle w:val="Hyperlink1"/>
        </w:rPr>
        <w:t xml:space="preserve"> </w:t>
      </w:r>
      <w:proofErr w:type="spellStart"/>
      <w:r>
        <w:rPr>
          <w:rStyle w:val="Hyperlink1"/>
        </w:rPr>
        <w:t>effect</w:t>
      </w:r>
      <w:proofErr w:type="spellEnd"/>
      <w:r>
        <w:rPr>
          <w:rStyle w:val="Hyperlink1"/>
        </w:rPr>
        <w:t xml:space="preserve">. The relative power as </w:t>
      </w:r>
      <w:proofErr w:type="spellStart"/>
      <w:r>
        <w:rPr>
          <w:rStyle w:val="Hyperlink1"/>
        </w:rPr>
        <w:t>well</w:t>
      </w:r>
      <w:proofErr w:type="spellEnd"/>
      <w:r>
        <w:rPr>
          <w:rStyle w:val="Hyperlink1"/>
        </w:rPr>
        <w:t xml:space="preserve"> as ADR and RAV values are </w:t>
      </w:r>
      <w:proofErr w:type="spellStart"/>
      <w:r>
        <w:rPr>
          <w:rStyle w:val="Hyperlink1"/>
        </w:rPr>
        <w:t>shown</w:t>
      </w:r>
      <w:proofErr w:type="spellEnd"/>
      <w:r>
        <w:rPr>
          <w:rStyle w:val="Hyperlink1"/>
        </w:rPr>
        <w:t xml:space="preserve"> </w:t>
      </w:r>
      <w:proofErr w:type="spellStart"/>
      <w:r>
        <w:rPr>
          <w:rStyle w:val="Hyperlink1"/>
        </w:rPr>
        <w:t>with</w:t>
      </w:r>
      <w:proofErr w:type="spellEnd"/>
      <w:r>
        <w:rPr>
          <w:rStyle w:val="Hyperlink1"/>
        </w:rPr>
        <w:t xml:space="preserve"> </w:t>
      </w:r>
      <w:proofErr w:type="spellStart"/>
      <w:r>
        <w:rPr>
          <w:rStyle w:val="Hyperlink1"/>
        </w:rPr>
        <w:t>violin</w:t>
      </w:r>
      <w:proofErr w:type="spellEnd"/>
      <w:r>
        <w:rPr>
          <w:rStyle w:val="Hyperlink1"/>
        </w:rPr>
        <w:t xml:space="preserve"> plots, </w:t>
      </w:r>
      <w:proofErr w:type="spellStart"/>
      <w:r>
        <w:rPr>
          <w:rStyle w:val="Hyperlink1"/>
        </w:rPr>
        <w:t>which</w:t>
      </w:r>
      <w:proofErr w:type="spellEnd"/>
      <w:r>
        <w:rPr>
          <w:rStyle w:val="Hyperlink1"/>
        </w:rPr>
        <w:t xml:space="preserve"> display the </w:t>
      </w:r>
      <w:proofErr w:type="spellStart"/>
      <w:r>
        <w:rPr>
          <w:rStyle w:val="Hyperlink1"/>
        </w:rPr>
        <w:t>median</w:t>
      </w:r>
      <w:proofErr w:type="spellEnd"/>
      <w:r>
        <w:rPr>
          <w:rStyle w:val="Hyperlink1"/>
        </w:rPr>
        <w:t xml:space="preserve">, interquartile range, and 1.5x interquartile range </w:t>
      </w:r>
      <w:proofErr w:type="spellStart"/>
      <w:r>
        <w:rPr>
          <w:rStyle w:val="Hyperlink1"/>
        </w:rPr>
        <w:t>along</w:t>
      </w:r>
      <w:proofErr w:type="spellEnd"/>
      <w:r>
        <w:rPr>
          <w:rStyle w:val="Hyperlink1"/>
        </w:rPr>
        <w:t xml:space="preserve"> </w:t>
      </w:r>
      <w:proofErr w:type="spellStart"/>
      <w:r>
        <w:rPr>
          <w:rStyle w:val="Hyperlink1"/>
        </w:rPr>
        <w:t>with</w:t>
      </w:r>
      <w:proofErr w:type="spellEnd"/>
      <w:r>
        <w:rPr>
          <w:rStyle w:val="Hyperlink1"/>
        </w:rPr>
        <w:t xml:space="preserve"> a kernel </w:t>
      </w:r>
      <w:proofErr w:type="spellStart"/>
      <w:r>
        <w:rPr>
          <w:rStyle w:val="Hyperlink1"/>
        </w:rPr>
        <w:t>density</w:t>
      </w:r>
      <w:proofErr w:type="spellEnd"/>
      <w:r>
        <w:rPr>
          <w:rStyle w:val="Hyperlink1"/>
        </w:rPr>
        <w:t xml:space="preserve"> estimation.  No </w:t>
      </w:r>
      <w:proofErr w:type="spellStart"/>
      <w:r>
        <w:rPr>
          <w:rStyle w:val="Hyperlink1"/>
        </w:rPr>
        <w:t>significant</w:t>
      </w:r>
      <w:proofErr w:type="spellEnd"/>
      <w:r>
        <w:rPr>
          <w:rStyle w:val="Hyperlink1"/>
        </w:rPr>
        <w:t xml:space="preserve"> </w:t>
      </w:r>
      <w:proofErr w:type="spellStart"/>
      <w:r>
        <w:rPr>
          <w:rStyle w:val="Hyperlink1"/>
        </w:rPr>
        <w:t>difference</w:t>
      </w:r>
      <w:proofErr w:type="spellEnd"/>
      <w:r>
        <w:rPr>
          <w:rStyle w:val="Hyperlink1"/>
        </w:rPr>
        <w:t xml:space="preserve"> </w:t>
      </w:r>
      <w:proofErr w:type="spellStart"/>
      <w:r>
        <w:rPr>
          <w:rStyle w:val="Hyperlink1"/>
        </w:rPr>
        <w:t>was</w:t>
      </w:r>
      <w:proofErr w:type="spellEnd"/>
      <w:r>
        <w:rPr>
          <w:rStyle w:val="Hyperlink1"/>
        </w:rPr>
        <w:t xml:space="preserve"> </w:t>
      </w:r>
      <w:proofErr w:type="spellStart"/>
      <w:r>
        <w:rPr>
          <w:rStyle w:val="Hyperlink1"/>
        </w:rPr>
        <w:t>seen</w:t>
      </w:r>
      <w:proofErr w:type="spellEnd"/>
      <w:r>
        <w:rPr>
          <w:rStyle w:val="Hyperlink1"/>
        </w:rPr>
        <w:t xml:space="preserve"> </w:t>
      </w:r>
      <w:proofErr w:type="spellStart"/>
      <w:r>
        <w:rPr>
          <w:rStyle w:val="Hyperlink1"/>
        </w:rPr>
        <w:t>between</w:t>
      </w:r>
      <w:proofErr w:type="spellEnd"/>
      <w:r>
        <w:rPr>
          <w:rStyle w:val="Hyperlink1"/>
        </w:rPr>
        <w:t xml:space="preserve"> the relative power in all </w:t>
      </w:r>
      <w:proofErr w:type="spellStart"/>
      <w:r>
        <w:rPr>
          <w:rStyle w:val="Hyperlink1"/>
        </w:rPr>
        <w:t>frequency</w:t>
      </w:r>
      <w:proofErr w:type="spellEnd"/>
      <w:r>
        <w:rPr>
          <w:rStyle w:val="Hyperlink1"/>
        </w:rPr>
        <w:t xml:space="preserve"> bands (A) </w:t>
      </w:r>
      <w:proofErr w:type="spellStart"/>
      <w:r>
        <w:rPr>
          <w:rStyle w:val="Hyperlink1"/>
        </w:rPr>
        <w:t>nor</w:t>
      </w:r>
      <w:proofErr w:type="spellEnd"/>
      <w:r>
        <w:rPr>
          <w:rStyle w:val="Hyperlink1"/>
        </w:rPr>
        <w:t xml:space="preserve"> </w:t>
      </w:r>
      <w:proofErr w:type="spellStart"/>
      <w:r>
        <w:rPr>
          <w:rStyle w:val="Hyperlink1"/>
        </w:rPr>
        <w:t>was</w:t>
      </w:r>
      <w:proofErr w:type="spellEnd"/>
      <w:r>
        <w:rPr>
          <w:rStyle w:val="Hyperlink1"/>
        </w:rPr>
        <w:t xml:space="preserve"> </w:t>
      </w:r>
      <w:proofErr w:type="spellStart"/>
      <w:r>
        <w:rPr>
          <w:rStyle w:val="Hyperlink1"/>
        </w:rPr>
        <w:t>there</w:t>
      </w:r>
      <w:proofErr w:type="spellEnd"/>
      <w:r>
        <w:rPr>
          <w:rStyle w:val="Hyperlink1"/>
        </w:rPr>
        <w:t xml:space="preserve"> a </w:t>
      </w:r>
      <w:proofErr w:type="spellStart"/>
      <w:r>
        <w:rPr>
          <w:rStyle w:val="Hyperlink1"/>
        </w:rPr>
        <w:t>significant</w:t>
      </w:r>
      <w:proofErr w:type="spellEnd"/>
      <w:r>
        <w:rPr>
          <w:rStyle w:val="Hyperlink1"/>
        </w:rPr>
        <w:t xml:space="preserve"> </w:t>
      </w:r>
      <w:proofErr w:type="spellStart"/>
      <w:r>
        <w:rPr>
          <w:rStyle w:val="Hyperlink1"/>
        </w:rPr>
        <w:t>difference</w:t>
      </w:r>
      <w:proofErr w:type="spellEnd"/>
      <w:r>
        <w:rPr>
          <w:rStyle w:val="Hyperlink1"/>
        </w:rPr>
        <w:t xml:space="preserve"> </w:t>
      </w:r>
      <w:proofErr w:type="spellStart"/>
      <w:r>
        <w:rPr>
          <w:rStyle w:val="Hyperlink1"/>
        </w:rPr>
        <w:t>between</w:t>
      </w:r>
      <w:proofErr w:type="spellEnd"/>
      <w:r>
        <w:rPr>
          <w:rStyle w:val="Hyperlink1"/>
        </w:rPr>
        <w:t xml:space="preserve"> the ADR (Figure B). There </w:t>
      </w:r>
      <w:proofErr w:type="spellStart"/>
      <w:r>
        <w:rPr>
          <w:rStyle w:val="Hyperlink1"/>
        </w:rPr>
        <w:t>was</w:t>
      </w:r>
      <w:proofErr w:type="spellEnd"/>
      <w:r>
        <w:rPr>
          <w:rStyle w:val="Hyperlink1"/>
        </w:rPr>
        <w:t xml:space="preserve">, </w:t>
      </w:r>
      <w:proofErr w:type="spellStart"/>
      <w:r>
        <w:rPr>
          <w:rStyle w:val="Hyperlink1"/>
        </w:rPr>
        <w:t>however</w:t>
      </w:r>
      <w:proofErr w:type="spellEnd"/>
      <w:r>
        <w:rPr>
          <w:rStyle w:val="Hyperlink1"/>
        </w:rPr>
        <w:t xml:space="preserve">, </w:t>
      </w:r>
      <w:proofErr w:type="spellStart"/>
      <w:r>
        <w:rPr>
          <w:rStyle w:val="Hyperlink1"/>
        </w:rPr>
        <w:t>significant</w:t>
      </w:r>
      <w:proofErr w:type="spellEnd"/>
      <w:r>
        <w:rPr>
          <w:rStyle w:val="Hyperlink1"/>
        </w:rPr>
        <w:t xml:space="preserve"> </w:t>
      </w:r>
      <w:proofErr w:type="spellStart"/>
      <w:r>
        <w:rPr>
          <w:rStyle w:val="Hyperlink1"/>
        </w:rPr>
        <w:t>increased</w:t>
      </w:r>
      <w:proofErr w:type="spellEnd"/>
      <w:r>
        <w:rPr>
          <w:rStyle w:val="Hyperlink1"/>
        </w:rPr>
        <w:t xml:space="preserve"> RAV for the EEG </w:t>
      </w:r>
      <w:proofErr w:type="spellStart"/>
      <w:r>
        <w:rPr>
          <w:rStyle w:val="Hyperlink1"/>
        </w:rPr>
        <w:t>collected</w:t>
      </w:r>
      <w:proofErr w:type="spellEnd"/>
      <w:r>
        <w:rPr>
          <w:rStyle w:val="Hyperlink1"/>
        </w:rPr>
        <w:t xml:space="preserve"> </w:t>
      </w:r>
      <w:proofErr w:type="spellStart"/>
      <w:r>
        <w:rPr>
          <w:rStyle w:val="Hyperlink1"/>
        </w:rPr>
        <w:t>after</w:t>
      </w:r>
      <w:proofErr w:type="spellEnd"/>
      <w:r>
        <w:rPr>
          <w:rStyle w:val="Hyperlink1"/>
        </w:rPr>
        <w:t xml:space="preserve"> the last session (β = 0.087, SE = 0.040, z = 2.20, p = 0.028, 95% CI [0.009, 0.165]) (B).  The EEG </w:t>
      </w:r>
      <w:proofErr w:type="spellStart"/>
      <w:r>
        <w:rPr>
          <w:rStyle w:val="Hyperlink1"/>
        </w:rPr>
        <w:t>frequency</w:t>
      </w:r>
      <w:proofErr w:type="spellEnd"/>
      <w:r>
        <w:rPr>
          <w:rStyle w:val="Hyperlink1"/>
        </w:rPr>
        <w:t xml:space="preserve"> </w:t>
      </w:r>
      <w:proofErr w:type="spellStart"/>
      <w:r>
        <w:rPr>
          <w:rStyle w:val="Hyperlink1"/>
        </w:rPr>
        <w:t>analysis</w:t>
      </w:r>
      <w:proofErr w:type="spellEnd"/>
      <w:r>
        <w:rPr>
          <w:rStyle w:val="Hyperlink1"/>
        </w:rPr>
        <w:t xml:space="preserve"> </w:t>
      </w:r>
      <w:proofErr w:type="spellStart"/>
      <w:r>
        <w:rPr>
          <w:rStyle w:val="Hyperlink1"/>
        </w:rPr>
        <w:t>suggests</w:t>
      </w:r>
      <w:proofErr w:type="spellEnd"/>
      <w:r>
        <w:rPr>
          <w:rStyle w:val="Hyperlink1"/>
        </w:rPr>
        <w:t xml:space="preserve"> an </w:t>
      </w:r>
      <w:proofErr w:type="spellStart"/>
      <w:r>
        <w:rPr>
          <w:rStyle w:val="Hyperlink1"/>
        </w:rPr>
        <w:t>increase</w:t>
      </w:r>
      <w:proofErr w:type="spellEnd"/>
      <w:r>
        <w:rPr>
          <w:rStyle w:val="Hyperlink1"/>
        </w:rPr>
        <w:t xml:space="preserve"> in relative alpha </w:t>
      </w:r>
      <w:proofErr w:type="spellStart"/>
      <w:r>
        <w:rPr>
          <w:rStyle w:val="Hyperlink1"/>
        </w:rPr>
        <w:t>variability</w:t>
      </w:r>
      <w:proofErr w:type="spellEnd"/>
      <w:r>
        <w:rPr>
          <w:rStyle w:val="Hyperlink1"/>
        </w:rPr>
        <w:t xml:space="preserve"> at the last session, </w:t>
      </w:r>
      <w:proofErr w:type="spellStart"/>
      <w:r>
        <w:rPr>
          <w:rStyle w:val="Hyperlink1"/>
        </w:rPr>
        <w:t>which</w:t>
      </w:r>
      <w:proofErr w:type="spellEnd"/>
      <w:r>
        <w:rPr>
          <w:rStyle w:val="Hyperlink1"/>
        </w:rPr>
        <w:t xml:space="preserve"> </w:t>
      </w:r>
      <w:proofErr w:type="spellStart"/>
      <w:r>
        <w:rPr>
          <w:rStyle w:val="Hyperlink1"/>
        </w:rPr>
        <w:t>may</w:t>
      </w:r>
      <w:proofErr w:type="spellEnd"/>
      <w:r>
        <w:rPr>
          <w:rStyle w:val="Hyperlink1"/>
        </w:rPr>
        <w:t xml:space="preserve"> </w:t>
      </w:r>
      <w:proofErr w:type="spellStart"/>
      <w:r>
        <w:rPr>
          <w:rStyle w:val="Hyperlink1"/>
        </w:rPr>
        <w:t>suggest</w:t>
      </w:r>
      <w:proofErr w:type="spellEnd"/>
      <w:r>
        <w:rPr>
          <w:rStyle w:val="Hyperlink1"/>
        </w:rPr>
        <w:t xml:space="preserve"> an </w:t>
      </w:r>
      <w:proofErr w:type="spellStart"/>
      <w:r>
        <w:rPr>
          <w:rStyle w:val="Hyperlink1"/>
        </w:rPr>
        <w:t>improvement</w:t>
      </w:r>
      <w:proofErr w:type="spellEnd"/>
      <w:r>
        <w:rPr>
          <w:rStyle w:val="Hyperlink1"/>
        </w:rPr>
        <w:t xml:space="preserve"> in cortical </w:t>
      </w:r>
      <w:proofErr w:type="spellStart"/>
      <w:r>
        <w:rPr>
          <w:rStyle w:val="Hyperlink1"/>
        </w:rPr>
        <w:t>function</w:t>
      </w:r>
      <w:proofErr w:type="spellEnd"/>
      <w:r>
        <w:rPr>
          <w:rStyle w:val="Hyperlink1"/>
        </w:rPr>
        <w:t>.</w:t>
      </w:r>
    </w:p>
    <w:p w14:paraId="420FD04A" w14:textId="77777777" w:rsidR="00A91650" w:rsidRDefault="00A91650"/>
    <w:sectPr w:rsidR="00A91650" w:rsidSect="006C2EA8">
      <w:headerReference w:type="default" r:id="rId12"/>
      <w:footerReference w:type="default" r:id="rId13"/>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Aptos Display">
    <w:charset w:val="00"/>
    <w:family w:val="swiss"/>
    <w:pitch w:val="variable"/>
    <w:sig w:usb0="20000287" w:usb1="00000003" w:usb2="00000000" w:usb3="00000000" w:csb0="0000019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7DCAA" w14:textId="77777777" w:rsidR="006C2EA8" w:rsidRDefault="006C2EA8">
    <w:pPr>
      <w:pStyle w:val="Header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EC347" w14:textId="77777777" w:rsidR="006C2EA8" w:rsidRDefault="006C2EA8">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EA8"/>
    <w:rsid w:val="000E2EDD"/>
    <w:rsid w:val="002A164E"/>
    <w:rsid w:val="006C2EA8"/>
    <w:rsid w:val="007971A6"/>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04D1"/>
  <w15:chartTrackingRefBased/>
  <w15:docId w15:val="{95F4391F-FFBB-454D-B8D1-833745F7E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2EA8"/>
    <w:pPr>
      <w:pBdr>
        <w:top w:val="nil"/>
        <w:left w:val="nil"/>
        <w:bottom w:val="nil"/>
        <w:right w:val="nil"/>
        <w:between w:val="nil"/>
        <w:bar w:val="nil"/>
      </w:pBdr>
      <w:spacing w:after="0" w:line="240" w:lineRule="auto"/>
    </w:pPr>
    <w:rPr>
      <w:rFonts w:ascii="Times New Roman" w:eastAsia="Arial Unicode MS" w:hAnsi="Times New Roman" w:cs="Times New Roman"/>
      <w:kern w:val="0"/>
      <w:bdr w:val="nil"/>
      <w:lang w:val="en-US"/>
      <w14:ligatures w14:val="none"/>
    </w:rPr>
  </w:style>
  <w:style w:type="paragraph" w:styleId="Heading1">
    <w:name w:val="heading 1"/>
    <w:basedOn w:val="Normal"/>
    <w:next w:val="Normal"/>
    <w:link w:val="Heading1Char"/>
    <w:uiPriority w:val="9"/>
    <w:qFormat/>
    <w:rsid w:val="006C2EA8"/>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360" w:after="80" w:line="278" w:lineRule="auto"/>
      <w:outlineLvl w:val="0"/>
    </w:pPr>
    <w:rPr>
      <w:rFonts w:asciiTheme="majorHAnsi" w:eastAsiaTheme="majorEastAsia" w:hAnsiTheme="majorHAnsi" w:cstheme="majorBidi"/>
      <w:color w:val="0F4761" w:themeColor="accent1" w:themeShade="BF"/>
      <w:kern w:val="2"/>
      <w:sz w:val="40"/>
      <w:szCs w:val="40"/>
      <w:bdr w:val="none" w:sz="0" w:space="0" w:color="auto"/>
      <w:lang w:val="en-IN"/>
      <w14:ligatures w14:val="standardContextual"/>
    </w:rPr>
  </w:style>
  <w:style w:type="paragraph" w:styleId="Heading2">
    <w:name w:val="heading 2"/>
    <w:basedOn w:val="Normal"/>
    <w:next w:val="Normal"/>
    <w:link w:val="Heading2Char"/>
    <w:uiPriority w:val="9"/>
    <w:semiHidden/>
    <w:unhideWhenUsed/>
    <w:qFormat/>
    <w:rsid w:val="006C2EA8"/>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78" w:lineRule="auto"/>
      <w:outlineLvl w:val="1"/>
    </w:pPr>
    <w:rPr>
      <w:rFonts w:asciiTheme="majorHAnsi" w:eastAsiaTheme="majorEastAsia" w:hAnsiTheme="majorHAnsi" w:cstheme="majorBidi"/>
      <w:color w:val="0F4761" w:themeColor="accent1" w:themeShade="BF"/>
      <w:kern w:val="2"/>
      <w:sz w:val="32"/>
      <w:szCs w:val="32"/>
      <w:bdr w:val="none" w:sz="0" w:space="0" w:color="auto"/>
      <w:lang w:val="en-IN"/>
      <w14:ligatures w14:val="standardContextual"/>
    </w:rPr>
  </w:style>
  <w:style w:type="paragraph" w:styleId="Heading3">
    <w:name w:val="heading 3"/>
    <w:basedOn w:val="Normal"/>
    <w:next w:val="Normal"/>
    <w:link w:val="Heading3Char"/>
    <w:uiPriority w:val="9"/>
    <w:semiHidden/>
    <w:unhideWhenUsed/>
    <w:qFormat/>
    <w:rsid w:val="006C2EA8"/>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78" w:lineRule="auto"/>
      <w:outlineLvl w:val="2"/>
    </w:pPr>
    <w:rPr>
      <w:rFonts w:asciiTheme="minorHAnsi" w:eastAsiaTheme="majorEastAsia" w:hAnsiTheme="minorHAnsi" w:cstheme="majorBidi"/>
      <w:color w:val="0F4761" w:themeColor="accent1" w:themeShade="BF"/>
      <w:kern w:val="2"/>
      <w:sz w:val="28"/>
      <w:szCs w:val="28"/>
      <w:bdr w:val="none" w:sz="0" w:space="0" w:color="auto"/>
      <w:lang w:val="en-IN"/>
      <w14:ligatures w14:val="standardContextual"/>
    </w:rPr>
  </w:style>
  <w:style w:type="paragraph" w:styleId="Heading4">
    <w:name w:val="heading 4"/>
    <w:basedOn w:val="Normal"/>
    <w:next w:val="Normal"/>
    <w:link w:val="Heading4Char"/>
    <w:uiPriority w:val="9"/>
    <w:semiHidden/>
    <w:unhideWhenUsed/>
    <w:qFormat/>
    <w:rsid w:val="006C2EA8"/>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78" w:lineRule="auto"/>
      <w:outlineLvl w:val="3"/>
    </w:pPr>
    <w:rPr>
      <w:rFonts w:asciiTheme="minorHAnsi" w:eastAsiaTheme="majorEastAsia" w:hAnsiTheme="minorHAnsi" w:cstheme="majorBidi"/>
      <w:i/>
      <w:iCs/>
      <w:color w:val="0F4761" w:themeColor="accent1" w:themeShade="BF"/>
      <w:kern w:val="2"/>
      <w:bdr w:val="none" w:sz="0" w:space="0" w:color="auto"/>
      <w:lang w:val="en-IN"/>
      <w14:ligatures w14:val="standardContextual"/>
    </w:rPr>
  </w:style>
  <w:style w:type="paragraph" w:styleId="Heading5">
    <w:name w:val="heading 5"/>
    <w:basedOn w:val="Normal"/>
    <w:next w:val="Normal"/>
    <w:link w:val="Heading5Char"/>
    <w:uiPriority w:val="9"/>
    <w:semiHidden/>
    <w:unhideWhenUsed/>
    <w:qFormat/>
    <w:rsid w:val="006C2EA8"/>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78" w:lineRule="auto"/>
      <w:outlineLvl w:val="4"/>
    </w:pPr>
    <w:rPr>
      <w:rFonts w:asciiTheme="minorHAnsi" w:eastAsiaTheme="majorEastAsia" w:hAnsiTheme="minorHAnsi" w:cstheme="majorBidi"/>
      <w:color w:val="0F4761" w:themeColor="accent1" w:themeShade="BF"/>
      <w:kern w:val="2"/>
      <w:bdr w:val="none" w:sz="0" w:space="0" w:color="auto"/>
      <w:lang w:val="en-IN"/>
      <w14:ligatures w14:val="standardContextual"/>
    </w:rPr>
  </w:style>
  <w:style w:type="paragraph" w:styleId="Heading6">
    <w:name w:val="heading 6"/>
    <w:basedOn w:val="Normal"/>
    <w:next w:val="Normal"/>
    <w:link w:val="Heading6Char"/>
    <w:uiPriority w:val="9"/>
    <w:semiHidden/>
    <w:unhideWhenUsed/>
    <w:qFormat/>
    <w:rsid w:val="006C2EA8"/>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78" w:lineRule="auto"/>
      <w:outlineLvl w:val="5"/>
    </w:pPr>
    <w:rPr>
      <w:rFonts w:asciiTheme="minorHAnsi" w:eastAsiaTheme="majorEastAsia" w:hAnsiTheme="minorHAnsi" w:cstheme="majorBidi"/>
      <w:i/>
      <w:iCs/>
      <w:color w:val="595959" w:themeColor="text1" w:themeTint="A6"/>
      <w:kern w:val="2"/>
      <w:bdr w:val="none" w:sz="0" w:space="0" w:color="auto"/>
      <w:lang w:val="en-IN"/>
      <w14:ligatures w14:val="standardContextual"/>
    </w:rPr>
  </w:style>
  <w:style w:type="paragraph" w:styleId="Heading7">
    <w:name w:val="heading 7"/>
    <w:basedOn w:val="Normal"/>
    <w:next w:val="Normal"/>
    <w:link w:val="Heading7Char"/>
    <w:uiPriority w:val="9"/>
    <w:semiHidden/>
    <w:unhideWhenUsed/>
    <w:qFormat/>
    <w:rsid w:val="006C2EA8"/>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78" w:lineRule="auto"/>
      <w:outlineLvl w:val="6"/>
    </w:pPr>
    <w:rPr>
      <w:rFonts w:asciiTheme="minorHAnsi" w:eastAsiaTheme="majorEastAsia" w:hAnsiTheme="minorHAnsi" w:cstheme="majorBidi"/>
      <w:color w:val="595959" w:themeColor="text1" w:themeTint="A6"/>
      <w:kern w:val="2"/>
      <w:bdr w:val="none" w:sz="0" w:space="0" w:color="auto"/>
      <w:lang w:val="en-IN"/>
      <w14:ligatures w14:val="standardContextual"/>
    </w:rPr>
  </w:style>
  <w:style w:type="paragraph" w:styleId="Heading8">
    <w:name w:val="heading 8"/>
    <w:basedOn w:val="Normal"/>
    <w:next w:val="Normal"/>
    <w:link w:val="Heading8Char"/>
    <w:uiPriority w:val="9"/>
    <w:semiHidden/>
    <w:unhideWhenUsed/>
    <w:qFormat/>
    <w:rsid w:val="006C2EA8"/>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78" w:lineRule="auto"/>
      <w:outlineLvl w:val="7"/>
    </w:pPr>
    <w:rPr>
      <w:rFonts w:asciiTheme="minorHAnsi" w:eastAsiaTheme="majorEastAsia" w:hAnsiTheme="minorHAnsi" w:cstheme="majorBidi"/>
      <w:i/>
      <w:iCs/>
      <w:color w:val="272727" w:themeColor="text1" w:themeTint="D8"/>
      <w:kern w:val="2"/>
      <w:bdr w:val="none" w:sz="0" w:space="0" w:color="auto"/>
      <w:lang w:val="en-IN"/>
      <w14:ligatures w14:val="standardContextual"/>
    </w:rPr>
  </w:style>
  <w:style w:type="paragraph" w:styleId="Heading9">
    <w:name w:val="heading 9"/>
    <w:basedOn w:val="Normal"/>
    <w:next w:val="Normal"/>
    <w:link w:val="Heading9Char"/>
    <w:uiPriority w:val="9"/>
    <w:semiHidden/>
    <w:unhideWhenUsed/>
    <w:qFormat/>
    <w:rsid w:val="006C2EA8"/>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78" w:lineRule="auto"/>
      <w:outlineLvl w:val="8"/>
    </w:pPr>
    <w:rPr>
      <w:rFonts w:asciiTheme="minorHAnsi" w:eastAsiaTheme="majorEastAsia" w:hAnsiTheme="minorHAnsi" w:cstheme="majorBidi"/>
      <w:color w:val="272727" w:themeColor="text1" w:themeTint="D8"/>
      <w:kern w:val="2"/>
      <w:bdr w:val="none" w:sz="0" w:space="0" w:color="auto"/>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2E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2E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2E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2E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2E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2E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2E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2E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2EA8"/>
    <w:rPr>
      <w:rFonts w:eastAsiaTheme="majorEastAsia" w:cstheme="majorBidi"/>
      <w:color w:val="272727" w:themeColor="text1" w:themeTint="D8"/>
    </w:rPr>
  </w:style>
  <w:style w:type="paragraph" w:styleId="Title">
    <w:name w:val="Title"/>
    <w:basedOn w:val="Normal"/>
    <w:next w:val="Normal"/>
    <w:link w:val="TitleChar"/>
    <w:uiPriority w:val="10"/>
    <w:qFormat/>
    <w:rsid w:val="006C2EA8"/>
    <w:pPr>
      <w:pBdr>
        <w:top w:val="none" w:sz="0" w:space="0" w:color="auto"/>
        <w:left w:val="none" w:sz="0" w:space="0" w:color="auto"/>
        <w:bottom w:val="none" w:sz="0" w:space="0" w:color="auto"/>
        <w:right w:val="none" w:sz="0" w:space="0" w:color="auto"/>
        <w:between w:val="none" w:sz="0" w:space="0" w:color="auto"/>
        <w:bar w:val="none" w:sz="0" w:color="auto"/>
      </w:pBdr>
      <w:spacing w:after="80"/>
      <w:contextualSpacing/>
    </w:pPr>
    <w:rPr>
      <w:rFonts w:asciiTheme="majorHAnsi" w:eastAsiaTheme="majorEastAsia" w:hAnsiTheme="majorHAnsi" w:cstheme="majorBidi"/>
      <w:spacing w:val="-10"/>
      <w:kern w:val="28"/>
      <w:sz w:val="56"/>
      <w:szCs w:val="56"/>
      <w:bdr w:val="none" w:sz="0" w:space="0" w:color="auto"/>
      <w:lang w:val="en-IN"/>
      <w14:ligatures w14:val="standardContextual"/>
    </w:rPr>
  </w:style>
  <w:style w:type="character" w:customStyle="1" w:styleId="TitleChar">
    <w:name w:val="Title Char"/>
    <w:basedOn w:val="DefaultParagraphFont"/>
    <w:link w:val="Title"/>
    <w:uiPriority w:val="10"/>
    <w:rsid w:val="006C2E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2EA8"/>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pPr>
    <w:rPr>
      <w:rFonts w:asciiTheme="minorHAnsi" w:eastAsiaTheme="majorEastAsia" w:hAnsiTheme="minorHAnsi" w:cstheme="majorBidi"/>
      <w:color w:val="595959" w:themeColor="text1" w:themeTint="A6"/>
      <w:spacing w:val="15"/>
      <w:kern w:val="2"/>
      <w:sz w:val="28"/>
      <w:szCs w:val="28"/>
      <w:bdr w:val="none" w:sz="0" w:space="0" w:color="auto"/>
      <w:lang w:val="en-IN"/>
      <w14:ligatures w14:val="standardContextual"/>
    </w:rPr>
  </w:style>
  <w:style w:type="character" w:customStyle="1" w:styleId="SubtitleChar">
    <w:name w:val="Subtitle Char"/>
    <w:basedOn w:val="DefaultParagraphFont"/>
    <w:link w:val="Subtitle"/>
    <w:uiPriority w:val="11"/>
    <w:rsid w:val="006C2E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2EA8"/>
    <w:pPr>
      <w:pBdr>
        <w:top w:val="none" w:sz="0" w:space="0" w:color="auto"/>
        <w:left w:val="none" w:sz="0" w:space="0" w:color="auto"/>
        <w:bottom w:val="none" w:sz="0" w:space="0" w:color="auto"/>
        <w:right w:val="none" w:sz="0" w:space="0" w:color="auto"/>
        <w:between w:val="none" w:sz="0" w:space="0" w:color="auto"/>
        <w:bar w:val="none" w:sz="0" w:color="auto"/>
      </w:pBdr>
      <w:spacing w:before="160" w:after="160" w:line="278" w:lineRule="auto"/>
      <w:jc w:val="center"/>
    </w:pPr>
    <w:rPr>
      <w:rFonts w:asciiTheme="minorHAnsi" w:eastAsiaTheme="minorHAnsi" w:hAnsiTheme="minorHAnsi" w:cstheme="minorBidi"/>
      <w:i/>
      <w:iCs/>
      <w:color w:val="404040" w:themeColor="text1" w:themeTint="BF"/>
      <w:kern w:val="2"/>
      <w:bdr w:val="none" w:sz="0" w:space="0" w:color="auto"/>
      <w:lang w:val="en-IN"/>
      <w14:ligatures w14:val="standardContextual"/>
    </w:rPr>
  </w:style>
  <w:style w:type="character" w:customStyle="1" w:styleId="QuoteChar">
    <w:name w:val="Quote Char"/>
    <w:basedOn w:val="DefaultParagraphFont"/>
    <w:link w:val="Quote"/>
    <w:uiPriority w:val="29"/>
    <w:rsid w:val="006C2EA8"/>
    <w:rPr>
      <w:i/>
      <w:iCs/>
      <w:color w:val="404040" w:themeColor="text1" w:themeTint="BF"/>
    </w:rPr>
  </w:style>
  <w:style w:type="paragraph" w:styleId="ListParagraph">
    <w:name w:val="List Paragraph"/>
    <w:basedOn w:val="Normal"/>
    <w:uiPriority w:val="34"/>
    <w:qFormat/>
    <w:rsid w:val="006C2EA8"/>
    <w:p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ind w:left="720"/>
      <w:contextualSpacing/>
    </w:pPr>
    <w:rPr>
      <w:rFonts w:asciiTheme="minorHAnsi" w:eastAsiaTheme="minorHAnsi" w:hAnsiTheme="minorHAnsi" w:cstheme="minorBidi"/>
      <w:kern w:val="2"/>
      <w:bdr w:val="none" w:sz="0" w:space="0" w:color="auto"/>
      <w:lang w:val="en-IN"/>
      <w14:ligatures w14:val="standardContextual"/>
    </w:rPr>
  </w:style>
  <w:style w:type="character" w:styleId="IntenseEmphasis">
    <w:name w:val="Intense Emphasis"/>
    <w:basedOn w:val="DefaultParagraphFont"/>
    <w:uiPriority w:val="21"/>
    <w:qFormat/>
    <w:rsid w:val="006C2EA8"/>
    <w:rPr>
      <w:i/>
      <w:iCs/>
      <w:color w:val="0F4761" w:themeColor="accent1" w:themeShade="BF"/>
    </w:rPr>
  </w:style>
  <w:style w:type="paragraph" w:styleId="IntenseQuote">
    <w:name w:val="Intense Quote"/>
    <w:basedOn w:val="Normal"/>
    <w:next w:val="Normal"/>
    <w:link w:val="IntenseQuoteChar"/>
    <w:uiPriority w:val="30"/>
    <w:qFormat/>
    <w:rsid w:val="006C2EA8"/>
    <w:pPr>
      <w:pBdr>
        <w:top w:val="single" w:sz="4" w:space="10" w:color="0F4761" w:themeColor="accent1" w:themeShade="BF"/>
        <w:left w:val="none" w:sz="0" w:space="0" w:color="auto"/>
        <w:bottom w:val="single" w:sz="4" w:space="10" w:color="0F4761" w:themeColor="accent1" w:themeShade="BF"/>
        <w:right w:val="none" w:sz="0" w:space="0" w:color="auto"/>
        <w:between w:val="none" w:sz="0" w:space="0" w:color="auto"/>
        <w:bar w:val="none" w:sz="0" w:color="auto"/>
      </w:pBdr>
      <w:spacing w:before="360" w:after="360" w:line="278" w:lineRule="auto"/>
      <w:ind w:left="864" w:right="864"/>
      <w:jc w:val="center"/>
    </w:pPr>
    <w:rPr>
      <w:rFonts w:asciiTheme="minorHAnsi" w:eastAsiaTheme="minorHAnsi" w:hAnsiTheme="minorHAnsi" w:cstheme="minorBidi"/>
      <w:i/>
      <w:iCs/>
      <w:color w:val="0F4761" w:themeColor="accent1" w:themeShade="BF"/>
      <w:kern w:val="2"/>
      <w:bdr w:val="none" w:sz="0" w:space="0" w:color="auto"/>
      <w:lang w:val="en-IN"/>
      <w14:ligatures w14:val="standardContextual"/>
    </w:rPr>
  </w:style>
  <w:style w:type="character" w:customStyle="1" w:styleId="IntenseQuoteChar">
    <w:name w:val="Intense Quote Char"/>
    <w:basedOn w:val="DefaultParagraphFont"/>
    <w:link w:val="IntenseQuote"/>
    <w:uiPriority w:val="30"/>
    <w:rsid w:val="006C2EA8"/>
    <w:rPr>
      <w:i/>
      <w:iCs/>
      <w:color w:val="0F4761" w:themeColor="accent1" w:themeShade="BF"/>
    </w:rPr>
  </w:style>
  <w:style w:type="character" w:styleId="IntenseReference">
    <w:name w:val="Intense Reference"/>
    <w:basedOn w:val="DefaultParagraphFont"/>
    <w:uiPriority w:val="32"/>
    <w:qFormat/>
    <w:rsid w:val="006C2EA8"/>
    <w:rPr>
      <w:b/>
      <w:bCs/>
      <w:smallCaps/>
      <w:color w:val="0F4761" w:themeColor="accent1" w:themeShade="BF"/>
      <w:spacing w:val="5"/>
    </w:rPr>
  </w:style>
  <w:style w:type="paragraph" w:customStyle="1" w:styleId="HeaderFooter">
    <w:name w:val="Header &amp; Footer"/>
    <w:rsid w:val="006C2EA8"/>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kern w:val="0"/>
      <w:bdr w:val="nil"/>
      <w:lang w:val="en-US"/>
      <w14:textOutline w14:w="0" w14:cap="flat" w14:cmpd="sng" w14:algn="ctr">
        <w14:noFill/>
        <w14:prstDash w14:val="solid"/>
        <w14:bevel/>
      </w14:textOutline>
      <w14:ligatures w14:val="none"/>
    </w:rPr>
  </w:style>
  <w:style w:type="paragraph" w:customStyle="1" w:styleId="BodyB">
    <w:name w:val="Body B"/>
    <w:rsid w:val="006C2EA8"/>
    <w:pPr>
      <w:pBdr>
        <w:top w:val="nil"/>
        <w:left w:val="nil"/>
        <w:bottom w:val="nil"/>
        <w:right w:val="nil"/>
        <w:between w:val="nil"/>
        <w:bar w:val="nil"/>
      </w:pBdr>
      <w:spacing w:line="279" w:lineRule="auto"/>
    </w:pPr>
    <w:rPr>
      <w:rFonts w:ascii="Aptos" w:eastAsia="Aptos" w:hAnsi="Aptos" w:cs="Aptos"/>
      <w:color w:val="000000"/>
      <w:kern w:val="0"/>
      <w:u w:color="000000"/>
      <w:bdr w:val="nil"/>
      <w:lang w:val="fr-FR"/>
      <w14:textOutline w14:w="12700" w14:cap="flat" w14:cmpd="sng" w14:algn="ctr">
        <w14:noFill/>
        <w14:prstDash w14:val="solid"/>
        <w14:miter w14:lim="400000"/>
      </w14:textOutline>
      <w14:ligatures w14:val="none"/>
    </w:rPr>
  </w:style>
  <w:style w:type="character" w:customStyle="1" w:styleId="apple-converted-space">
    <w:name w:val="apple-converted-space"/>
    <w:rsid w:val="006C2EA8"/>
    <w:rPr>
      <w:lang w:val="en-US"/>
    </w:rPr>
  </w:style>
  <w:style w:type="character" w:customStyle="1" w:styleId="None">
    <w:name w:val="None"/>
    <w:rsid w:val="006C2EA8"/>
  </w:style>
  <w:style w:type="character" w:customStyle="1" w:styleId="Hyperlink1">
    <w:name w:val="Hyperlink.1"/>
    <w:basedOn w:val="None"/>
    <w:rsid w:val="006C2EA8"/>
    <w:rPr>
      <w:rFonts w:ascii="Arial" w:eastAsia="Arial" w:hAnsi="Arial" w:cs="Arial"/>
      <w:sz w:val="22"/>
      <w:szCs w:val="22"/>
    </w:rPr>
  </w:style>
  <w:style w:type="character" w:customStyle="1" w:styleId="Hyperlink2">
    <w:name w:val="Hyperlink.2"/>
    <w:basedOn w:val="None"/>
    <w:rsid w:val="006C2EA8"/>
    <w:rPr>
      <w:rFonts w:ascii="Arial" w:eastAsia="Arial" w:hAnsi="Arial" w:cs="Arial"/>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snp/rs72874313/"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www.ncbi.nlm.nih.gov/snp/rs190030016/"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6.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image" Target="media/image1.png"/><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1540</Words>
  <Characters>8704</Characters>
  <Application>Microsoft Office Word</Application>
  <DocSecurity>0</DocSecurity>
  <Lines>136</Lines>
  <Paragraphs>24</Paragraphs>
  <ScaleCrop>false</ScaleCrop>
  <Company/>
  <LinksUpToDate>false</LinksUpToDate>
  <CharactersWithSpaces>10235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2025-10-17T18:17:00Z</dcterms:created>
  <dcterms:modified xsi:type="dcterms:W3CDTF">2025-10-17T18:17:00Z</dcterms:modified>
</cp:coreProperties>
</file>