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21B7BB" w14:textId="77777777" w:rsidR="00C16868" w:rsidRPr="00574D8A" w:rsidRDefault="00C16868" w:rsidP="00C16868">
      <w:pPr>
        <w:rPr>
          <w:b/>
          <w:bCs/>
        </w:rPr>
      </w:pPr>
      <w:r w:rsidRPr="00574D8A">
        <w:rPr>
          <w:rFonts w:eastAsia="Calibri" w:cs="Calibri"/>
          <w:b/>
          <w:bCs/>
        </w:rPr>
        <w:t xml:space="preserve">Multi-omics characterisation of </w:t>
      </w:r>
      <w:r w:rsidRPr="00574D8A">
        <w:rPr>
          <w:rFonts w:eastAsia="Calibri" w:cs="Calibri"/>
          <w:b/>
          <w:bCs/>
          <w:i/>
          <w:iCs/>
        </w:rPr>
        <w:t>Daphnia magna</w:t>
      </w:r>
      <w:r w:rsidRPr="00574D8A">
        <w:rPr>
          <w:rFonts w:eastAsia="Calibri" w:cs="Calibri"/>
          <w:b/>
          <w:bCs/>
        </w:rPr>
        <w:t xml:space="preserve"> exposed to PFAS and microplastics: transcriptome and gut microbiome datasets</w:t>
      </w:r>
    </w:p>
    <w:p w14:paraId="4BA59FB7" w14:textId="77777777" w:rsidR="00574D8A" w:rsidRDefault="00574D8A" w:rsidP="00C16868">
      <w:pPr>
        <w:pStyle w:val="Heading3"/>
        <w:spacing w:before="0" w:after="0"/>
      </w:pPr>
    </w:p>
    <w:p w14:paraId="2FF7060D" w14:textId="77777777" w:rsidR="00C16868" w:rsidRDefault="00C16868" w:rsidP="00C16868">
      <w:pPr>
        <w:rPr>
          <w:vertAlign w:val="superscript"/>
        </w:rPr>
      </w:pPr>
      <w:r>
        <w:t>Muhammad Abdullahi</w:t>
      </w:r>
      <w:r w:rsidRPr="26DD63E6">
        <w:rPr>
          <w:vertAlign w:val="superscript"/>
        </w:rPr>
        <w:t>1</w:t>
      </w:r>
      <w:r>
        <w:t>, Sam Benktwitz-Bedford</w:t>
      </w:r>
      <w:r w:rsidRPr="26DD63E6">
        <w:rPr>
          <w:vertAlign w:val="superscript"/>
        </w:rPr>
        <w:t>1</w:t>
      </w:r>
      <w:r w:rsidRPr="26DD63E6">
        <w:t xml:space="preserve">, </w:t>
      </w:r>
      <w:r>
        <w:t>Tayebeh Soltanighias</w:t>
      </w:r>
      <w:r w:rsidRPr="26DD63E6">
        <w:rPr>
          <w:vertAlign w:val="superscript"/>
        </w:rPr>
        <w:t>1</w:t>
      </w:r>
      <w:r>
        <w:t>, Abubakar Umar</w:t>
      </w:r>
      <w:r w:rsidRPr="26DD63E6">
        <w:rPr>
          <w:vertAlign w:val="superscript"/>
        </w:rPr>
        <w:t>2</w:t>
      </w:r>
      <w:r w:rsidRPr="26DD63E6">
        <w:t>,</w:t>
      </w:r>
      <w:r w:rsidRPr="26DD63E6">
        <w:rPr>
          <w:vertAlign w:val="superscript"/>
        </w:rPr>
        <w:t xml:space="preserve"> </w:t>
      </w:r>
      <w:r>
        <w:t>Luisa Orsini</w:t>
      </w:r>
      <w:r w:rsidRPr="26DD63E6">
        <w:rPr>
          <w:vertAlign w:val="superscript"/>
        </w:rPr>
        <w:t>1</w:t>
      </w:r>
    </w:p>
    <w:p w14:paraId="32AFDC5E" w14:textId="77777777" w:rsidR="00C16868" w:rsidRDefault="00C16868" w:rsidP="00C16868">
      <w:pPr>
        <w:rPr>
          <w:b/>
          <w:bCs/>
        </w:rPr>
      </w:pPr>
    </w:p>
    <w:p w14:paraId="1FA5CC1B" w14:textId="77777777" w:rsidR="00C16868" w:rsidRDefault="00C16868" w:rsidP="00C16868">
      <w:pPr>
        <w:rPr>
          <w:b/>
          <w:bCs/>
        </w:rPr>
      </w:pPr>
      <w:r w:rsidRPr="69302735">
        <w:rPr>
          <w:b/>
          <w:bCs/>
        </w:rPr>
        <w:t>Affiliations</w:t>
      </w:r>
    </w:p>
    <w:p w14:paraId="3693E600" w14:textId="77777777" w:rsidR="00C16868" w:rsidRDefault="00C16868" w:rsidP="00C16868">
      <w:bookmarkStart w:id="0" w:name="_Hlk210927616"/>
      <w:r w:rsidRPr="6894B686">
        <w:rPr>
          <w:vertAlign w:val="superscript"/>
        </w:rPr>
        <w:t>1</w:t>
      </w:r>
      <w:r>
        <w:t xml:space="preserve">School of Biosciences and Centre for Environmental Research and Justice (CERJ), University of Birmingham, Birmingham, UK </w:t>
      </w:r>
    </w:p>
    <w:bookmarkEnd w:id="0"/>
    <w:p w14:paraId="62EB5EB2" w14:textId="77777777" w:rsidR="00C16868" w:rsidRDefault="00C16868" w:rsidP="00C16868">
      <w:r w:rsidRPr="6894B686">
        <w:rPr>
          <w:vertAlign w:val="superscript"/>
        </w:rPr>
        <w:t>2</w:t>
      </w:r>
      <w:r>
        <w:t>School of Geography, Earth &amp; Environmental Sciences, University of Birmingham, Birmingham, UK</w:t>
      </w:r>
    </w:p>
    <w:p w14:paraId="7A9CC48D" w14:textId="77777777" w:rsidR="00C16868" w:rsidRDefault="00C16868" w:rsidP="00C16868"/>
    <w:p w14:paraId="6B2D5905" w14:textId="77777777" w:rsidR="00C16868" w:rsidRPr="00261FD9" w:rsidRDefault="00C16868" w:rsidP="00C16868">
      <w:r>
        <w:t xml:space="preserve">Corresponding author(s): Luisa Orsini (l.orsini@bham.ac.uk)  </w:t>
      </w:r>
    </w:p>
    <w:p w14:paraId="0D8B71BD" w14:textId="77777777" w:rsidR="00C16868" w:rsidRDefault="00C16868">
      <w:pPr>
        <w:spacing w:after="160" w:line="259" w:lineRule="auto"/>
        <w:jc w:val="left"/>
      </w:pPr>
      <w:r>
        <w:br w:type="page"/>
      </w:r>
    </w:p>
    <w:p w14:paraId="1DB8F527" w14:textId="5932D111" w:rsidR="00C16868" w:rsidRPr="00C16868" w:rsidRDefault="00C16868" w:rsidP="00C16868">
      <w:pPr>
        <w:rPr>
          <w:b/>
          <w:bCs/>
        </w:rPr>
      </w:pPr>
      <w:r w:rsidRPr="00C16868">
        <w:rPr>
          <w:b/>
          <w:bCs/>
        </w:rPr>
        <w:lastRenderedPageBreak/>
        <w:t xml:space="preserve">Supplementary table and figures </w:t>
      </w:r>
    </w:p>
    <w:p w14:paraId="5BA1A42B" w14:textId="77777777" w:rsidR="00C16868" w:rsidRDefault="00C16868" w:rsidP="00C16868">
      <w:r w:rsidRPr="64998C05">
        <w:rPr>
          <w:rFonts w:eastAsia="Calibri" w:cs="Calibri"/>
          <w:b/>
          <w:bCs/>
        </w:rPr>
        <w:t>Supplementary Table 1. Gene read counts by day, treatment, and replicate.</w:t>
      </w:r>
      <w:r w:rsidRPr="64998C05">
        <w:rPr>
          <w:rFonts w:eastAsia="Calibri" w:cs="Calibri"/>
        </w:rPr>
        <w:t xml:space="preserve"> Read counts for all genes identified in the dataset, separated by sampling day, treatment, and replicate. </w:t>
      </w:r>
      <w:r w:rsidRPr="64998C05">
        <w:rPr>
          <w:rFonts w:eastAsia="Calibri" w:cs="Calibri"/>
          <w:i/>
          <w:iCs/>
        </w:rPr>
        <w:t>Tab 1</w:t>
      </w:r>
      <w:r w:rsidRPr="64998C05">
        <w:rPr>
          <w:rFonts w:eastAsia="Calibri" w:cs="Calibri"/>
        </w:rPr>
        <w:t xml:space="preserve"> contains data for genotype LRV0_1; </w:t>
      </w:r>
      <w:r w:rsidRPr="64998C05">
        <w:rPr>
          <w:rFonts w:eastAsia="Calibri" w:cs="Calibri"/>
          <w:i/>
          <w:iCs/>
        </w:rPr>
        <w:t>Tab 2</w:t>
      </w:r>
      <w:r w:rsidRPr="64998C05">
        <w:rPr>
          <w:rFonts w:eastAsia="Calibri" w:cs="Calibri"/>
        </w:rPr>
        <w:t xml:space="preserve"> contains data for genotype LRII36_01.</w:t>
      </w:r>
      <w:r>
        <w:t xml:space="preserve"> </w:t>
      </w:r>
    </w:p>
    <w:p w14:paraId="6323FF01" w14:textId="77777777" w:rsidR="00C16868" w:rsidRDefault="00C16868" w:rsidP="00C16868"/>
    <w:p w14:paraId="76FAAD17" w14:textId="77777777" w:rsidR="00C16868" w:rsidRDefault="00C16868" w:rsidP="00C16868">
      <w:pPr>
        <w:rPr>
          <w:i/>
          <w:iCs/>
        </w:rPr>
      </w:pPr>
      <w:r w:rsidRPr="2ADB17D2">
        <w:rPr>
          <w:i/>
          <w:iCs/>
        </w:rPr>
        <w:t>See Abdullahi et al. Supplementary Table 1</w:t>
      </w:r>
    </w:p>
    <w:p w14:paraId="09CF427F" w14:textId="77777777" w:rsidR="00C16868" w:rsidRDefault="00C16868" w:rsidP="00C16868">
      <w:pPr>
        <w:rPr>
          <w:i/>
          <w:iCs/>
        </w:rPr>
      </w:pPr>
    </w:p>
    <w:p w14:paraId="6F36AE6B" w14:textId="77777777" w:rsidR="00C16868" w:rsidRDefault="00C16868" w:rsidP="00C16868">
      <w:r w:rsidRPr="64998C05">
        <w:rPr>
          <w:rFonts w:eastAsia="Calibri" w:cs="Calibri"/>
          <w:b/>
          <w:bCs/>
        </w:rPr>
        <w:t xml:space="preserve">Supplementary Table </w:t>
      </w:r>
      <w:r>
        <w:rPr>
          <w:rFonts w:eastAsia="Calibri" w:cs="Calibri"/>
          <w:b/>
          <w:bCs/>
        </w:rPr>
        <w:t>2</w:t>
      </w:r>
      <w:r w:rsidRPr="64998C05">
        <w:rPr>
          <w:rFonts w:eastAsia="Calibri" w:cs="Calibri"/>
          <w:b/>
          <w:bCs/>
        </w:rPr>
        <w:t xml:space="preserve">. </w:t>
      </w:r>
      <w:r>
        <w:rPr>
          <w:rFonts w:eastAsia="Calibri" w:cs="Calibri"/>
          <w:b/>
          <w:bCs/>
        </w:rPr>
        <w:t>ASV</w:t>
      </w:r>
      <w:r w:rsidRPr="64998C05">
        <w:rPr>
          <w:rFonts w:eastAsia="Calibri" w:cs="Calibri"/>
          <w:b/>
          <w:bCs/>
        </w:rPr>
        <w:t xml:space="preserve"> counts by day, treatment, and replicate.</w:t>
      </w:r>
      <w:r w:rsidRPr="64998C05">
        <w:rPr>
          <w:rFonts w:eastAsia="Calibri" w:cs="Calibri"/>
        </w:rPr>
        <w:t xml:space="preserve"> </w:t>
      </w:r>
      <w:r>
        <w:rPr>
          <w:rFonts w:eastAsia="Calibri" w:cs="Calibri"/>
        </w:rPr>
        <w:t>C</w:t>
      </w:r>
      <w:r w:rsidRPr="64998C05">
        <w:rPr>
          <w:rFonts w:eastAsia="Calibri" w:cs="Calibri"/>
        </w:rPr>
        <w:t xml:space="preserve">ounts for all </w:t>
      </w:r>
      <w:r>
        <w:rPr>
          <w:rFonts w:eastAsia="Calibri" w:cs="Calibri"/>
        </w:rPr>
        <w:t>ASV</w:t>
      </w:r>
      <w:r w:rsidRPr="64998C05">
        <w:rPr>
          <w:rFonts w:eastAsia="Calibri" w:cs="Calibri"/>
        </w:rPr>
        <w:t xml:space="preserve"> in the dataset, separated by sampling day, treatment, and replicate. </w:t>
      </w:r>
      <w:r w:rsidRPr="64998C05">
        <w:rPr>
          <w:rFonts w:eastAsia="Calibri" w:cs="Calibri"/>
          <w:i/>
          <w:iCs/>
        </w:rPr>
        <w:t>Tab 1</w:t>
      </w:r>
      <w:r w:rsidRPr="64998C05">
        <w:rPr>
          <w:rFonts w:eastAsia="Calibri" w:cs="Calibri"/>
        </w:rPr>
        <w:t xml:space="preserve"> contains data for genotype LRV0_1; </w:t>
      </w:r>
      <w:r w:rsidRPr="64998C05">
        <w:rPr>
          <w:rFonts w:eastAsia="Calibri" w:cs="Calibri"/>
          <w:i/>
          <w:iCs/>
        </w:rPr>
        <w:t>Tab 2</w:t>
      </w:r>
      <w:r w:rsidRPr="64998C05">
        <w:rPr>
          <w:rFonts w:eastAsia="Calibri" w:cs="Calibri"/>
        </w:rPr>
        <w:t xml:space="preserve"> contains data for genotype LRII36_01.</w:t>
      </w:r>
      <w:r>
        <w:t xml:space="preserve"> </w:t>
      </w:r>
    </w:p>
    <w:p w14:paraId="1FCE2620" w14:textId="77777777" w:rsidR="00C16868" w:rsidRDefault="00C16868" w:rsidP="00C16868"/>
    <w:p w14:paraId="429958CA" w14:textId="77777777" w:rsidR="00C16868" w:rsidRDefault="00C16868" w:rsidP="00C16868">
      <w:pPr>
        <w:rPr>
          <w:i/>
          <w:iCs/>
        </w:rPr>
      </w:pPr>
      <w:r w:rsidRPr="2ADB17D2">
        <w:rPr>
          <w:i/>
          <w:iCs/>
        </w:rPr>
        <w:t xml:space="preserve">See Abdullahi et al. Supplementary Table </w:t>
      </w:r>
      <w:r>
        <w:rPr>
          <w:i/>
          <w:iCs/>
        </w:rPr>
        <w:t>2</w:t>
      </w:r>
    </w:p>
    <w:p w14:paraId="0FF01BF2" w14:textId="77777777" w:rsidR="00C16868" w:rsidRPr="006F3244" w:rsidRDefault="00C16868" w:rsidP="00C16868"/>
    <w:p w14:paraId="096CCF3C" w14:textId="77777777" w:rsidR="00C16868" w:rsidRDefault="00C16868" w:rsidP="00C16868"/>
    <w:p w14:paraId="2E56ECBE" w14:textId="77777777" w:rsidR="00C16868" w:rsidRDefault="00C16868" w:rsidP="00C16868">
      <w:pPr>
        <w:sectPr w:rsidR="00C16868" w:rsidSect="00C16868">
          <w:pgSz w:w="11906" w:h="16838"/>
          <w:pgMar w:top="1361" w:right="1786" w:bottom="1361" w:left="1786" w:header="709" w:footer="709" w:gutter="0"/>
          <w:lnNumType w:countBy="1" w:restart="continuous"/>
          <w:cols w:space="708"/>
          <w:docGrid w:linePitch="360"/>
        </w:sectPr>
      </w:pPr>
    </w:p>
    <w:p w14:paraId="57C4F47D" w14:textId="77777777" w:rsidR="00C16868" w:rsidRDefault="00C16868" w:rsidP="00C16868">
      <w:pPr>
        <w:spacing w:before="240" w:after="240"/>
      </w:pPr>
      <w:r w:rsidRPr="11355964">
        <w:rPr>
          <w:rFonts w:eastAsia="Calibri" w:cs="Calibri"/>
          <w:b/>
          <w:bCs/>
        </w:rPr>
        <w:lastRenderedPageBreak/>
        <w:t xml:space="preserve">Figure S1. Principal Component Analysis (PCA) by treatment and sampling day for the </w:t>
      </w:r>
      <w:r w:rsidRPr="00EB067D">
        <w:rPr>
          <w:rFonts w:eastAsia="Calibri" w:cs="Calibri"/>
          <w:b/>
          <w:bCs/>
          <w:i/>
          <w:iCs/>
        </w:rPr>
        <w:t>Daphnia</w:t>
      </w:r>
      <w:r w:rsidRPr="11355964">
        <w:rPr>
          <w:rFonts w:eastAsia="Calibri" w:cs="Calibri"/>
          <w:b/>
          <w:bCs/>
        </w:rPr>
        <w:t xml:space="preserve"> transcriptome. </w:t>
      </w:r>
      <w:r w:rsidRPr="11355964">
        <w:rPr>
          <w:rFonts w:eastAsia="Calibri" w:cs="Calibri"/>
        </w:rPr>
        <w:t>PCA plots are shown separately for each exposure condition (PFOS, PFOA, PET, PFOS+PFOA, PFOS+PET, PFOA+PET, PFOS+PFOA+PET) and treatment day, including both genotypes—</w:t>
      </w:r>
      <w:r w:rsidRPr="00EB067D">
        <w:rPr>
          <w:rFonts w:eastAsia="Calibri" w:cs="Calibri"/>
          <w:i/>
          <w:iCs/>
        </w:rPr>
        <w:t>LRV0_1</w:t>
      </w:r>
      <w:r w:rsidRPr="11355964">
        <w:rPr>
          <w:rFonts w:eastAsia="Calibri" w:cs="Calibri"/>
        </w:rPr>
        <w:t xml:space="preserve"> (black) and </w:t>
      </w:r>
      <w:r w:rsidRPr="00EB067D">
        <w:rPr>
          <w:rFonts w:eastAsia="Calibri" w:cs="Calibri"/>
          <w:i/>
          <w:iCs/>
        </w:rPr>
        <w:t>LRII36_1</w:t>
      </w:r>
      <w:r w:rsidRPr="11355964">
        <w:rPr>
          <w:rFonts w:eastAsia="Calibri" w:cs="Calibri"/>
        </w:rPr>
        <w:t xml:space="preserve"> (red)—with their biological replicates. Control samples are represented by open symbols, while treated samples are represented by filled symbols.</w:t>
      </w:r>
    </w:p>
    <w:p w14:paraId="39E4337B" w14:textId="77777777" w:rsidR="00C16868" w:rsidRDefault="00C16868" w:rsidP="00C16868">
      <w:r>
        <w:rPr>
          <w:noProof/>
        </w:rPr>
        <w:drawing>
          <wp:inline distT="0" distB="0" distL="0" distR="0" wp14:anchorId="328624E6" wp14:editId="5F4246F9">
            <wp:extent cx="5705727" cy="4044225"/>
            <wp:effectExtent l="0" t="0" r="0" b="0"/>
            <wp:docPr id="490657128" name="Picture 1" descr="A diagram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657128" name="Picture 1" descr="A diagram of a graph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12336" cy="404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7C7E2" w14:textId="77777777" w:rsidR="00C16868" w:rsidRDefault="00C16868" w:rsidP="00C16868">
      <w:r>
        <w:br w:type="page"/>
      </w:r>
    </w:p>
    <w:p w14:paraId="13DBE68C" w14:textId="5F1547E2" w:rsidR="00C16868" w:rsidRPr="00EB067D" w:rsidRDefault="00C16868" w:rsidP="00C16868">
      <w:pPr>
        <w:spacing w:before="240" w:after="240"/>
        <w:rPr>
          <w:rFonts w:eastAsiaTheme="minorEastAsia" w:cs="Calibri"/>
          <w:color w:val="000000" w:themeColor="text1"/>
        </w:rPr>
      </w:pPr>
      <w:r w:rsidRPr="09A1308A">
        <w:rPr>
          <w:rFonts w:eastAsia="Calibri" w:cs="Calibri"/>
          <w:b/>
          <w:bCs/>
        </w:rPr>
        <w:lastRenderedPageBreak/>
        <w:t>Figure S2.</w:t>
      </w:r>
      <w:r w:rsidRPr="09A1308A">
        <w:rPr>
          <w:rFonts w:eastAsia="Calibri" w:cs="Calibri"/>
        </w:rPr>
        <w:t xml:space="preserve"> </w:t>
      </w:r>
      <w:r w:rsidR="00EB067D" w:rsidRPr="00EB067D">
        <w:rPr>
          <w:rFonts w:eastAsia="Calibri" w:cs="Calibri"/>
          <w:b/>
          <w:bCs/>
        </w:rPr>
        <w:t>Alpha diversity</w:t>
      </w:r>
      <w:r w:rsidR="00EB067D">
        <w:rPr>
          <w:rFonts w:eastAsia="Calibri" w:cs="Calibri"/>
        </w:rPr>
        <w:t xml:space="preserve">. </w:t>
      </w:r>
      <w:r w:rsidRPr="09A1308A">
        <w:rPr>
          <w:rFonts w:eastAsia="Calibri" w:cs="Calibri"/>
        </w:rPr>
        <w:t xml:space="preserve">Alpha diversity </w:t>
      </w:r>
      <w:r>
        <w:rPr>
          <w:rFonts w:eastAsia="Calibri" w:cs="Calibri"/>
        </w:rPr>
        <w:t xml:space="preserve">between control (shaded pattern) and treatment (solid patterns) </w:t>
      </w:r>
      <w:r w:rsidRPr="09A1308A">
        <w:rPr>
          <w:rFonts w:eastAsia="Calibri" w:cs="Calibri"/>
        </w:rPr>
        <w:t xml:space="preserve">of the two </w:t>
      </w:r>
      <w:r w:rsidRPr="09A1308A">
        <w:rPr>
          <w:rFonts w:eastAsia="Calibri" w:cs="Calibri"/>
          <w:i/>
          <w:iCs/>
        </w:rPr>
        <w:t>D. magna</w:t>
      </w:r>
      <w:r w:rsidRPr="09A1308A">
        <w:rPr>
          <w:rFonts w:eastAsia="Calibri" w:cs="Calibri"/>
        </w:rPr>
        <w:t xml:space="preserve"> genotypes—</w:t>
      </w:r>
      <w:r w:rsidRPr="001156AE">
        <w:rPr>
          <w:rFonts w:eastAsia="Calibri" w:cs="Calibri"/>
          <w:i/>
          <w:iCs/>
        </w:rPr>
        <w:t>LRV0_1</w:t>
      </w:r>
      <w:r w:rsidRPr="09A1308A">
        <w:rPr>
          <w:rFonts w:eastAsia="Calibri" w:cs="Calibri"/>
        </w:rPr>
        <w:t xml:space="preserve"> (black) and </w:t>
      </w:r>
      <w:r w:rsidRPr="001156AE">
        <w:rPr>
          <w:rFonts w:eastAsia="Calibri" w:cs="Calibri"/>
          <w:i/>
          <w:iCs/>
        </w:rPr>
        <w:t>LRII36_01</w:t>
      </w:r>
      <w:r w:rsidRPr="09A1308A">
        <w:rPr>
          <w:rFonts w:eastAsia="Calibri" w:cs="Calibri"/>
        </w:rPr>
        <w:t xml:space="preserve"> (red)—shown with their biological replicates, displayed by treatment and day.</w:t>
      </w:r>
      <w:r w:rsidRPr="09A1308A">
        <w:rPr>
          <w:rFonts w:eastAsia="Calibri" w:cs="Calibri"/>
          <w:b/>
          <w:bCs/>
        </w:rPr>
        <w:t xml:space="preserve"> </w:t>
      </w:r>
      <w:r w:rsidRPr="00EB067D">
        <w:rPr>
          <w:rFonts w:eastAsiaTheme="minorEastAsia" w:cs="Calibri"/>
        </w:rPr>
        <w:t xml:space="preserve">The </w:t>
      </w:r>
      <w:r w:rsidRPr="00EB067D">
        <w:rPr>
          <w:rFonts w:eastAsiaTheme="minorEastAsia" w:cs="Calibri"/>
          <w:color w:val="000000" w:themeColor="text1"/>
        </w:rPr>
        <w:t>paired Wilcoxon tests (P&lt;0.05)</w:t>
      </w:r>
      <w:r w:rsidR="00EB067D">
        <w:rPr>
          <w:rFonts w:eastAsiaTheme="minorEastAsia" w:cs="Calibri"/>
          <w:color w:val="000000" w:themeColor="text1"/>
        </w:rPr>
        <w:t xml:space="preserve"> </w:t>
      </w:r>
      <w:r w:rsidRPr="00EB067D">
        <w:rPr>
          <w:rFonts w:eastAsiaTheme="minorEastAsia" w:cs="Calibri"/>
          <w:color w:val="000000" w:themeColor="text1"/>
        </w:rPr>
        <w:t>was non-significant for all pairwise comparisons.</w:t>
      </w:r>
    </w:p>
    <w:p w14:paraId="76283A3D" w14:textId="77777777" w:rsidR="00C16868" w:rsidRDefault="00C16868" w:rsidP="00C16868">
      <w:pPr>
        <w:spacing w:before="240" w:after="240"/>
      </w:pPr>
      <w:r>
        <w:rPr>
          <w:noProof/>
        </w:rPr>
        <w:drawing>
          <wp:inline distT="0" distB="0" distL="0" distR="0" wp14:anchorId="0CA999DF" wp14:editId="2B2428EB">
            <wp:extent cx="5286375" cy="3400425"/>
            <wp:effectExtent l="0" t="0" r="0" b="0"/>
            <wp:docPr id="2087976280" name="drawing" descr="A chart with red and black squar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976280" name="drawing" descr="A chart with red and black square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F1B8B" w14:textId="77777777" w:rsidR="00C16868" w:rsidRDefault="00C16868" w:rsidP="00C16868">
      <w:pPr>
        <w:spacing w:before="240" w:after="240"/>
      </w:pPr>
      <w:r>
        <w:br w:type="page"/>
      </w:r>
    </w:p>
    <w:p w14:paraId="75E04DD4" w14:textId="4E738DE1" w:rsidR="00C16868" w:rsidRDefault="00C16868" w:rsidP="00C16868">
      <w:pPr>
        <w:spacing w:before="240" w:after="240"/>
      </w:pPr>
      <w:r w:rsidRPr="09A1308A">
        <w:rPr>
          <w:b/>
          <w:bCs/>
        </w:rPr>
        <w:lastRenderedPageBreak/>
        <w:t>Figure S3.</w:t>
      </w:r>
      <w:r w:rsidRPr="09A1308A">
        <w:rPr>
          <w:rFonts w:eastAsia="Calibri" w:cs="Calibri"/>
          <w:b/>
          <w:bCs/>
        </w:rPr>
        <w:t xml:space="preserve"> Principal </w:t>
      </w:r>
      <w:r>
        <w:rPr>
          <w:rFonts w:eastAsia="Calibri" w:cs="Calibri"/>
          <w:b/>
          <w:bCs/>
        </w:rPr>
        <w:t>Coordinates</w:t>
      </w:r>
      <w:r w:rsidRPr="09A1308A">
        <w:rPr>
          <w:rFonts w:eastAsia="Calibri" w:cs="Calibri"/>
          <w:b/>
          <w:bCs/>
        </w:rPr>
        <w:t xml:space="preserve"> Analysis (PC</w:t>
      </w:r>
      <w:r>
        <w:rPr>
          <w:rFonts w:eastAsia="Calibri" w:cs="Calibri"/>
          <w:b/>
          <w:bCs/>
        </w:rPr>
        <w:t>o</w:t>
      </w:r>
      <w:r w:rsidRPr="09A1308A">
        <w:rPr>
          <w:rFonts w:eastAsia="Calibri" w:cs="Calibri"/>
          <w:b/>
          <w:bCs/>
        </w:rPr>
        <w:t xml:space="preserve">A) </w:t>
      </w:r>
      <w:r>
        <w:rPr>
          <w:rFonts w:eastAsia="Calibri" w:cs="Calibri"/>
          <w:b/>
          <w:bCs/>
        </w:rPr>
        <w:t xml:space="preserve">of microbiome profiles across three </w:t>
      </w:r>
      <w:r w:rsidRPr="09A1308A">
        <w:rPr>
          <w:rFonts w:eastAsia="Calibri" w:cs="Calibri"/>
          <w:b/>
          <w:bCs/>
        </w:rPr>
        <w:t>sampling day</w:t>
      </w:r>
      <w:r>
        <w:rPr>
          <w:rFonts w:eastAsia="Calibri" w:cs="Calibri"/>
          <w:b/>
          <w:bCs/>
        </w:rPr>
        <w:t>s</w:t>
      </w:r>
      <w:r w:rsidRPr="09A1308A">
        <w:rPr>
          <w:rFonts w:eastAsia="Calibri" w:cs="Calibri"/>
          <w:b/>
          <w:bCs/>
        </w:rPr>
        <w:t xml:space="preserve">. </w:t>
      </w:r>
      <w:r w:rsidRPr="09A1308A">
        <w:rPr>
          <w:rFonts w:eastAsia="Calibri" w:cs="Calibri"/>
        </w:rPr>
        <w:t>PC</w:t>
      </w:r>
      <w:r>
        <w:rPr>
          <w:rFonts w:eastAsia="Calibri" w:cs="Calibri"/>
        </w:rPr>
        <w:t>o</w:t>
      </w:r>
      <w:r w:rsidRPr="09A1308A">
        <w:rPr>
          <w:rFonts w:eastAsia="Calibri" w:cs="Calibri"/>
        </w:rPr>
        <w:t xml:space="preserve">A plots </w:t>
      </w:r>
      <w:r>
        <w:rPr>
          <w:rFonts w:eastAsia="Calibri" w:cs="Calibri"/>
        </w:rPr>
        <w:t xml:space="preserve">of beta diversity between control and exposed </w:t>
      </w:r>
      <w:r w:rsidRPr="00AC18D4">
        <w:rPr>
          <w:rFonts w:eastAsia="Calibri" w:cs="Calibri"/>
          <w:i/>
          <w:iCs/>
        </w:rPr>
        <w:t>Daphnia</w:t>
      </w:r>
      <w:r>
        <w:rPr>
          <w:rFonts w:eastAsia="Calibri" w:cs="Calibri"/>
        </w:rPr>
        <w:t xml:space="preserve"> genotypes </w:t>
      </w:r>
      <w:r w:rsidRPr="09A1308A">
        <w:rPr>
          <w:rFonts w:eastAsia="Calibri" w:cs="Calibri"/>
        </w:rPr>
        <w:t>—</w:t>
      </w:r>
      <w:r w:rsidRPr="00A549E7">
        <w:rPr>
          <w:rFonts w:eastAsia="Calibri" w:cs="Calibri"/>
          <w:i/>
          <w:iCs/>
        </w:rPr>
        <w:t xml:space="preserve">LRV0_1 </w:t>
      </w:r>
      <w:r w:rsidRPr="09A1308A">
        <w:rPr>
          <w:rFonts w:eastAsia="Calibri" w:cs="Calibri"/>
        </w:rPr>
        <w:t xml:space="preserve">(black) and </w:t>
      </w:r>
      <w:r w:rsidRPr="00A549E7">
        <w:rPr>
          <w:rFonts w:eastAsia="Calibri" w:cs="Calibri"/>
          <w:i/>
          <w:iCs/>
        </w:rPr>
        <w:t>LRII36_</w:t>
      </w:r>
      <w:r>
        <w:rPr>
          <w:rFonts w:eastAsia="Calibri" w:cs="Calibri"/>
          <w:i/>
          <w:iCs/>
        </w:rPr>
        <w:t>0</w:t>
      </w:r>
      <w:r w:rsidRPr="00A549E7">
        <w:rPr>
          <w:rFonts w:eastAsia="Calibri" w:cs="Calibri"/>
          <w:i/>
          <w:iCs/>
        </w:rPr>
        <w:t>1</w:t>
      </w:r>
      <w:r w:rsidRPr="09A1308A">
        <w:rPr>
          <w:rFonts w:eastAsia="Calibri" w:cs="Calibri"/>
        </w:rPr>
        <w:t xml:space="preserve"> (red)—shown for each exposure condition (PFOS, PFOA, PET, PFOS+PFOA, PFOS+PET, PFOA+PET, PFOS+PFOA+PET) and treatment day</w:t>
      </w:r>
      <w:r w:rsidR="00EB067D">
        <w:rPr>
          <w:rFonts w:eastAsia="Calibri" w:cs="Calibri"/>
        </w:rPr>
        <w:t>.</w:t>
      </w:r>
      <w:r w:rsidRPr="09A1308A">
        <w:rPr>
          <w:rFonts w:eastAsia="Calibri" w:cs="Calibri"/>
        </w:rPr>
        <w:t xml:space="preserve"> Control samples are represented by open symbols, while treated samples are represented by filled symbols.</w:t>
      </w:r>
    </w:p>
    <w:p w14:paraId="3916AFE9" w14:textId="77777777" w:rsidR="00C16868" w:rsidRDefault="00C16868" w:rsidP="00C16868">
      <w:r>
        <w:rPr>
          <w:noProof/>
        </w:rPr>
        <w:drawing>
          <wp:inline distT="0" distB="0" distL="0" distR="0" wp14:anchorId="24E7EC40" wp14:editId="4423C407">
            <wp:extent cx="5286375" cy="3819525"/>
            <wp:effectExtent l="0" t="0" r="0" b="0"/>
            <wp:docPr id="1760141374" name="drawing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141374" name="drawing" descr="A screenshot of a graph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C4578" w14:textId="7F5FB61B" w:rsidR="000A1D5F" w:rsidRDefault="000A1D5F"/>
    <w:sectPr w:rsidR="000A1D5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868"/>
    <w:rsid w:val="000A1D5F"/>
    <w:rsid w:val="003C3963"/>
    <w:rsid w:val="00574D8A"/>
    <w:rsid w:val="005C2567"/>
    <w:rsid w:val="00882BC1"/>
    <w:rsid w:val="00C16868"/>
    <w:rsid w:val="00EB0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ED7BD7"/>
  <w15:chartTrackingRefBased/>
  <w15:docId w15:val="{D3E03CC3-F62C-4B20-8C46-F1A808D61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6868"/>
    <w:pPr>
      <w:spacing w:after="0" w:line="240" w:lineRule="auto"/>
      <w:jc w:val="both"/>
    </w:pPr>
    <w:rPr>
      <w:rFonts w:ascii="Calibri" w:eastAsia="Times New Roman" w:hAnsi="Calibri" w:cs="Times New Roman"/>
      <w:kern w:val="0"/>
      <w:lang w:eastAsia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C16868"/>
    <w:pPr>
      <w:keepNext/>
      <w:keepLines/>
      <w:spacing w:before="360" w:after="80" w:line="259" w:lineRule="auto"/>
      <w:jc w:val="left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16868"/>
    <w:pPr>
      <w:keepNext/>
      <w:keepLines/>
      <w:spacing w:before="160" w:after="80" w:line="259" w:lineRule="auto"/>
      <w:jc w:val="left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16868"/>
    <w:pPr>
      <w:keepNext/>
      <w:keepLines/>
      <w:spacing w:before="160" w:after="80" w:line="259" w:lineRule="auto"/>
      <w:jc w:val="left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16868"/>
    <w:pPr>
      <w:keepNext/>
      <w:keepLines/>
      <w:spacing w:before="80" w:after="40" w:line="259" w:lineRule="auto"/>
      <w:jc w:val="left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eastAsia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16868"/>
    <w:pPr>
      <w:keepNext/>
      <w:keepLines/>
      <w:spacing w:before="80" w:after="40" w:line="259" w:lineRule="auto"/>
      <w:jc w:val="left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eastAsia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16868"/>
    <w:pPr>
      <w:keepNext/>
      <w:keepLines/>
      <w:spacing w:before="40" w:line="259" w:lineRule="auto"/>
      <w:jc w:val="left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eastAsia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16868"/>
    <w:pPr>
      <w:keepNext/>
      <w:keepLines/>
      <w:spacing w:before="40" w:line="259" w:lineRule="auto"/>
      <w:jc w:val="left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eastAsia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16868"/>
    <w:pPr>
      <w:keepNext/>
      <w:keepLines/>
      <w:spacing w:line="259" w:lineRule="auto"/>
      <w:jc w:val="left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eastAsia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16868"/>
    <w:pPr>
      <w:keepNext/>
      <w:keepLines/>
      <w:spacing w:line="259" w:lineRule="auto"/>
      <w:jc w:val="left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eastAsia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1686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1686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1686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1686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1686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1686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1686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1686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1686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16868"/>
    <w:pPr>
      <w:spacing w:after="80"/>
      <w:contextualSpacing/>
      <w:jc w:val="left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C168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16868"/>
    <w:pPr>
      <w:numPr>
        <w:ilvl w:val="1"/>
      </w:numPr>
      <w:spacing w:after="160" w:line="259" w:lineRule="auto"/>
      <w:jc w:val="left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C1686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16868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eastAsia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C1686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16868"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C1686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1686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eastAsia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1686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16868"/>
    <w:rPr>
      <w:b/>
      <w:bCs/>
      <w:smallCaps/>
      <w:color w:val="0F4761" w:themeColor="accent1" w:themeShade="BF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C168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1008</TotalTime>
  <Pages>5</Pages>
  <Words>354</Words>
  <Characters>2021</Characters>
  <Application>Microsoft Office Word</Application>
  <DocSecurity>0</DocSecurity>
  <Lines>16</Lines>
  <Paragraphs>4</Paragraphs>
  <ScaleCrop>false</ScaleCrop>
  <Company>University of Birmingham</Company>
  <LinksUpToDate>false</LinksUpToDate>
  <CharactersWithSpaces>2371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Luisa Orsini (Biosciences)</dc:creator>
  <cp:keywords/>
  <dc:description/>
  <cp:lastModifiedBy>Luisa Orsini (Biosciences)</cp:lastModifiedBy>
  <cp:revision>3</cp:revision>
  <dcterms:created xsi:type="dcterms:W3CDTF">2025-10-11T18:35:00Z</dcterms:created>
  <dcterms:modified xsi:type="dcterms:W3CDTF">2025-10-12T11:24:00Z</dcterms:modified>
</cp:coreProperties>
</file>