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F45140" w14:textId="77777777" w:rsidR="00155631" w:rsidRDefault="00000000" w:rsidP="005E6F8D">
      <w:pPr>
        <w:rPr>
          <w:rFonts w:ascii="Times New Roman" w:eastAsia="宋体" w:hAnsi="Times New Roman" w:cs="Times New Roman"/>
          <w:b/>
          <w:bCs/>
          <w:sz w:val="24"/>
          <w:szCs w:val="24"/>
        </w:rPr>
      </w:pPr>
      <w:bookmarkStart w:id="0" w:name="_Hlk207192833"/>
      <w:bookmarkEnd w:id="0"/>
      <w:r>
        <w:rPr>
          <w:rFonts w:ascii="Times New Roman" w:eastAsia="宋体" w:hAnsi="Times New Roman" w:cs="Times New Roman"/>
          <w:b/>
          <w:bCs/>
          <w:sz w:val="24"/>
          <w:szCs w:val="24"/>
        </w:rPr>
        <w:t>Supplementary Information</w:t>
      </w:r>
    </w:p>
    <w:p w14:paraId="38DDFCCF" w14:textId="77777777" w:rsidR="00155631" w:rsidRDefault="00155631" w:rsidP="005E6F8D">
      <w:pPr>
        <w:rPr>
          <w:rFonts w:ascii="Times New Roman" w:eastAsia="宋体" w:hAnsi="Times New Roman" w:cs="Times New Roman"/>
          <w:b/>
          <w:bCs/>
          <w:sz w:val="24"/>
          <w:szCs w:val="24"/>
        </w:rPr>
      </w:pPr>
    </w:p>
    <w:p w14:paraId="37387514" w14:textId="77777777" w:rsidR="00155631" w:rsidRDefault="00000000" w:rsidP="005E6F8D">
      <w:pPr>
        <w:rPr>
          <w:rFonts w:ascii="Times New Roman" w:eastAsia="宋体" w:hAnsi="Times New Roman" w:cs="Times New Roman"/>
          <w:b/>
          <w:bCs/>
          <w:sz w:val="28"/>
          <w:szCs w:val="28"/>
        </w:rPr>
      </w:pPr>
      <w:r>
        <w:rPr>
          <w:rFonts w:ascii="Times New Roman" w:eastAsia="宋体" w:hAnsi="Times New Roman" w:cs="Times New Roman" w:hint="eastAsia"/>
          <w:b/>
          <w:bCs/>
          <w:sz w:val="28"/>
          <w:szCs w:val="28"/>
        </w:rPr>
        <w:t xml:space="preserve">Topologically Entangled Hydrogels with Self-Evolving </w:t>
      </w:r>
      <w:proofErr w:type="spellStart"/>
      <w:r>
        <w:rPr>
          <w:rFonts w:ascii="Times New Roman" w:eastAsia="宋体" w:hAnsi="Times New Roman" w:cs="Times New Roman" w:hint="eastAsia"/>
          <w:b/>
          <w:bCs/>
          <w:sz w:val="28"/>
          <w:szCs w:val="28"/>
        </w:rPr>
        <w:t>Ultraplasticity</w:t>
      </w:r>
      <w:proofErr w:type="spellEnd"/>
      <w:r>
        <w:rPr>
          <w:rFonts w:ascii="Times New Roman" w:eastAsia="宋体" w:hAnsi="Times New Roman" w:cs="Times New Roman" w:hint="eastAsia"/>
          <w:b/>
          <w:bCs/>
          <w:sz w:val="28"/>
          <w:szCs w:val="28"/>
        </w:rPr>
        <w:t>-to-</w:t>
      </w:r>
      <w:proofErr w:type="spellStart"/>
      <w:r>
        <w:rPr>
          <w:rFonts w:ascii="Times New Roman" w:eastAsia="宋体" w:hAnsi="Times New Roman" w:cs="Times New Roman" w:hint="eastAsia"/>
          <w:b/>
          <w:bCs/>
          <w:sz w:val="28"/>
          <w:szCs w:val="28"/>
        </w:rPr>
        <w:t>Hyperelasticity</w:t>
      </w:r>
      <w:proofErr w:type="spellEnd"/>
    </w:p>
    <w:p w14:paraId="0BF05EFA" w14:textId="77777777" w:rsidR="00155631" w:rsidRDefault="00000000">
      <w:pPr>
        <w:widowControl/>
        <w:jc w:val="left"/>
        <w:rPr>
          <w:rFonts w:ascii="Times New Roman" w:eastAsia="宋体" w:hAnsi="Times New Roman" w:cs="Times New Roman"/>
          <w:szCs w:val="21"/>
        </w:rPr>
      </w:pPr>
      <w:r>
        <w:rPr>
          <w:rFonts w:ascii="Times New Roman" w:eastAsia="宋体" w:hAnsi="Times New Roman" w:cs="Times New Roman"/>
          <w:szCs w:val="21"/>
        </w:rPr>
        <w:br w:type="page"/>
      </w:r>
    </w:p>
    <w:p w14:paraId="1F786714"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This file includes:</w:t>
      </w:r>
    </w:p>
    <w:p w14:paraId="69171DF7" w14:textId="77777777"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sz w:val="24"/>
          <w:szCs w:val="24"/>
        </w:rPr>
        <w:t>1. Supplementary Materials and Methods (Table 1, eq. S1 – S15)</w:t>
      </w:r>
    </w:p>
    <w:p w14:paraId="36E5734F" w14:textId="77777777"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sz w:val="24"/>
          <w:szCs w:val="24"/>
        </w:rPr>
        <w:t>2. Supplementary Formulas (eq. 1 – eq. 9)</w:t>
      </w:r>
    </w:p>
    <w:p w14:paraId="1B856ABA" w14:textId="6ABF1D8E"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sz w:val="24"/>
          <w:szCs w:val="24"/>
        </w:rPr>
        <w:t>3. Supplementary Figures (Fig. 1 - 6</w:t>
      </w:r>
      <w:r w:rsidR="00B8208C">
        <w:rPr>
          <w:rFonts w:ascii="Times New Roman" w:eastAsia="宋体" w:hAnsi="Times New Roman" w:cs="Times New Roman" w:hint="eastAsia"/>
          <w:sz w:val="24"/>
          <w:szCs w:val="24"/>
        </w:rPr>
        <w:t>3</w:t>
      </w:r>
      <w:r>
        <w:rPr>
          <w:rFonts w:ascii="Times New Roman" w:eastAsia="宋体" w:hAnsi="Times New Roman" w:cs="Times New Roman"/>
          <w:sz w:val="24"/>
          <w:szCs w:val="24"/>
        </w:rPr>
        <w:t>), Results and Discussions</w:t>
      </w:r>
    </w:p>
    <w:p w14:paraId="33CD8EEC" w14:textId="68B97F07"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sz w:val="24"/>
          <w:szCs w:val="24"/>
        </w:rPr>
        <w:t xml:space="preserve">4. Supplementary References (1 – </w:t>
      </w:r>
      <w:r>
        <w:rPr>
          <w:rFonts w:ascii="Times New Roman" w:eastAsia="宋体" w:hAnsi="Times New Roman" w:cs="Times New Roman" w:hint="eastAsia"/>
          <w:sz w:val="24"/>
          <w:szCs w:val="24"/>
        </w:rPr>
        <w:t>59</w:t>
      </w:r>
      <w:r>
        <w:rPr>
          <w:rFonts w:ascii="Times New Roman" w:eastAsia="宋体" w:hAnsi="Times New Roman" w:cs="Times New Roman"/>
          <w:sz w:val="24"/>
          <w:szCs w:val="24"/>
        </w:rPr>
        <w:t>)</w:t>
      </w:r>
    </w:p>
    <w:p w14:paraId="6FF0CE9F" w14:textId="77777777" w:rsidR="00155631" w:rsidRDefault="00155631" w:rsidP="005E6F8D">
      <w:pPr>
        <w:spacing w:line="480" w:lineRule="auto"/>
        <w:rPr>
          <w:rFonts w:ascii="Times New Roman" w:eastAsia="宋体" w:hAnsi="Times New Roman" w:cs="Times New Roman"/>
          <w:sz w:val="24"/>
          <w:szCs w:val="24"/>
        </w:rPr>
      </w:pPr>
    </w:p>
    <w:p w14:paraId="04339045"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Other supplementary materials for this manuscript include the following sections:</w:t>
      </w:r>
    </w:p>
    <w:p w14:paraId="493246C3" w14:textId="6F0590B9"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sz w:val="24"/>
          <w:szCs w:val="24"/>
        </w:rPr>
        <w:t xml:space="preserve">1. Supplementary </w:t>
      </w:r>
      <w:r w:rsidR="0077603E">
        <w:rPr>
          <w:rFonts w:ascii="Times New Roman" w:eastAsia="宋体" w:hAnsi="Times New Roman" w:cs="Times New Roman" w:hint="eastAsia"/>
          <w:sz w:val="24"/>
          <w:szCs w:val="24"/>
        </w:rPr>
        <w:t>Video</w:t>
      </w:r>
      <w:r>
        <w:rPr>
          <w:rFonts w:ascii="Times New Roman" w:eastAsia="宋体" w:hAnsi="Times New Roman" w:cs="Times New Roman"/>
          <w:sz w:val="24"/>
          <w:szCs w:val="24"/>
        </w:rPr>
        <w:t>s (1 – 4)</w:t>
      </w:r>
    </w:p>
    <w:p w14:paraId="28D17A50" w14:textId="77777777" w:rsidR="00155631" w:rsidRDefault="00000000">
      <w:pPr>
        <w:widowControl/>
        <w:jc w:val="left"/>
        <w:rPr>
          <w:rFonts w:ascii="Times New Roman" w:eastAsia="宋体" w:hAnsi="Times New Roman" w:cs="Times New Roman"/>
          <w:szCs w:val="21"/>
        </w:rPr>
      </w:pPr>
      <w:r>
        <w:rPr>
          <w:rFonts w:ascii="Times New Roman" w:eastAsia="宋体" w:hAnsi="Times New Roman" w:cs="Times New Roman"/>
          <w:szCs w:val="21"/>
        </w:rPr>
        <w:br w:type="page"/>
      </w:r>
    </w:p>
    <w:p w14:paraId="074E0FE1"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Supplementary Materials and Methods</w:t>
      </w:r>
    </w:p>
    <w:p w14:paraId="58C3E2C9"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Materials</w:t>
      </w:r>
    </w:p>
    <w:p w14:paraId="6DE00DC3"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[2-(</w:t>
      </w:r>
      <w:proofErr w:type="spellStart"/>
      <w:r>
        <w:rPr>
          <w:rFonts w:ascii="Times New Roman" w:eastAsia="宋体" w:hAnsi="Times New Roman" w:cs="Times New Roman"/>
          <w:sz w:val="24"/>
          <w:szCs w:val="24"/>
        </w:rPr>
        <w:t>methacryloyloxy</w:t>
      </w:r>
      <w:proofErr w:type="spellEnd"/>
      <w:r>
        <w:rPr>
          <w:rFonts w:ascii="Times New Roman" w:eastAsia="宋体" w:hAnsi="Times New Roman" w:cs="Times New Roman"/>
          <w:sz w:val="24"/>
          <w:szCs w:val="24"/>
        </w:rPr>
        <w:t>) ethyl] dimethyl-(3-sulfopropyl) ammonium (SBMA) (≥97%) provided by Aladdin Biochemical Technology co., LTD. (Shanghai, China). Potassium persulfate (KPS) is provided by Sigma Aldrich (USA). Sodium chloride (NaCl) and acrylamide (</w:t>
      </w:r>
      <w:proofErr w:type="spellStart"/>
      <w:r>
        <w:rPr>
          <w:rFonts w:ascii="Times New Roman" w:eastAsia="宋体" w:hAnsi="Times New Roman" w:cs="Times New Roman"/>
          <w:sz w:val="24"/>
          <w:szCs w:val="24"/>
        </w:rPr>
        <w:t>AAm</w:t>
      </w:r>
      <w:proofErr w:type="spellEnd"/>
      <w:r>
        <w:rPr>
          <w:rFonts w:ascii="Times New Roman" w:eastAsia="宋体" w:hAnsi="Times New Roman" w:cs="Times New Roman"/>
          <w:sz w:val="24"/>
          <w:szCs w:val="24"/>
        </w:rPr>
        <w:t xml:space="preserve">) are provided by Maclean Biochemical Technology Co., LTD. (Shanghai, China). The deionized water is homemade in the laboratory and is produced by using a UOP ultrapure water machine. 2-(4-Amidinophenyl)-6-indolecarbamidine dihydrochloride (DAPI), acridine orange (AO), 5-Ethynyl-2'-deoxyuridine (EDU), propidium iodide (PI), BCA Protein Assay Kit is provided by </w:t>
      </w:r>
      <w:proofErr w:type="spellStart"/>
      <w:r>
        <w:rPr>
          <w:rFonts w:ascii="Times New Roman" w:eastAsia="宋体" w:hAnsi="Times New Roman" w:cs="Times New Roman"/>
          <w:sz w:val="24"/>
          <w:szCs w:val="24"/>
        </w:rPr>
        <w:t>Biyun</w:t>
      </w:r>
      <w:proofErr w:type="spellEnd"/>
      <w:r>
        <w:rPr>
          <w:rFonts w:ascii="Times New Roman" w:eastAsia="宋体" w:hAnsi="Times New Roman" w:cs="Times New Roman"/>
          <w:sz w:val="24"/>
          <w:szCs w:val="24"/>
        </w:rPr>
        <w:t xml:space="preserve"> Tian Biotechnology Co., LTD. (Shanghai, China). The MSC-specific basic medium is provided by </w:t>
      </w:r>
      <w:proofErr w:type="spellStart"/>
      <w:r>
        <w:rPr>
          <w:rFonts w:ascii="Times New Roman" w:eastAsia="宋体" w:hAnsi="Times New Roman" w:cs="Times New Roman"/>
          <w:sz w:val="24"/>
          <w:szCs w:val="24"/>
        </w:rPr>
        <w:t>Dakewei</w:t>
      </w:r>
      <w:proofErr w:type="spellEnd"/>
      <w:r>
        <w:rPr>
          <w:rFonts w:ascii="Times New Roman" w:eastAsia="宋体" w:hAnsi="Times New Roman" w:cs="Times New Roman"/>
          <w:sz w:val="24"/>
          <w:szCs w:val="24"/>
        </w:rPr>
        <w:t xml:space="preserve"> Bioengineering Co., LTD. (Shenzhen, China). Phosphate buffer saline (PBS) is provided by Wuhan </w:t>
      </w:r>
      <w:proofErr w:type="spellStart"/>
      <w:r>
        <w:rPr>
          <w:rFonts w:ascii="Times New Roman" w:eastAsia="宋体" w:hAnsi="Times New Roman" w:cs="Times New Roman"/>
          <w:sz w:val="24"/>
          <w:szCs w:val="24"/>
        </w:rPr>
        <w:t>Ponsure</w:t>
      </w:r>
      <w:proofErr w:type="spellEnd"/>
      <w:r>
        <w:rPr>
          <w:rFonts w:ascii="Times New Roman" w:eastAsia="宋体" w:hAnsi="Times New Roman" w:cs="Times New Roman"/>
          <w:sz w:val="24"/>
          <w:szCs w:val="24"/>
        </w:rPr>
        <w:t xml:space="preserve"> Life Sciences Co., LTD. (Wuhan, China). The commercial dressing (hydrocolloid 3M hydrophilic dressing, 90022TCP) is provided by Minnesota Mining and Manufacturing Company (USA).</w:t>
      </w:r>
    </w:p>
    <w:p w14:paraId="477CDC63" w14:textId="77777777" w:rsidR="00155631" w:rsidRDefault="00155631" w:rsidP="005E6F8D">
      <w:pPr>
        <w:spacing w:line="480" w:lineRule="auto"/>
        <w:rPr>
          <w:rFonts w:ascii="Times New Roman" w:eastAsia="宋体" w:hAnsi="Times New Roman" w:cs="Times New Roman"/>
          <w:sz w:val="24"/>
          <w:szCs w:val="24"/>
        </w:rPr>
      </w:pPr>
    </w:p>
    <w:p w14:paraId="1C1FA732" w14:textId="5A45E52C"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Preparation of PSM</w:t>
      </w:r>
    </w:p>
    <w:p w14:paraId="055DEBDB"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Mixing 6 mol/L SBMA and 0.016 mol/L KPS with deionized water and stirring for 1 hour to obtain a uniformly dispersed solution. After the bubbles were removed by ultrasonic oscillation, it was poured into the mold, sealed and placed at 50℃ for reacting 1 hour to obtain the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hydrogel sample. Adjusting the concentration of SBMA can yield PSM of different concentrations. For the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E sample, an </w:t>
      </w:r>
      <w:r>
        <w:rPr>
          <w:rFonts w:ascii="Times New Roman" w:eastAsia="宋体" w:hAnsi="Times New Roman" w:cs="Times New Roman"/>
          <w:sz w:val="24"/>
          <w:szCs w:val="24"/>
        </w:rPr>
        <w:lastRenderedPageBreak/>
        <w:t>additional 5 mol/L of NaCl is added in the above step, while the other preparation steps remain the same. For the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S sample, immersing the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gel in the corresponding volume of deionized water, sealing it until the liquid is completely absorbed, and obtain a uniform gel.</w:t>
      </w:r>
    </w:p>
    <w:p w14:paraId="7F2DD6FE" w14:textId="77777777" w:rsidR="00155631" w:rsidRDefault="00155631" w:rsidP="005E6F8D">
      <w:pPr>
        <w:spacing w:line="480" w:lineRule="auto"/>
        <w:rPr>
          <w:rFonts w:ascii="Times New Roman" w:eastAsia="宋体" w:hAnsi="Times New Roman" w:cs="Times New Roman"/>
          <w:sz w:val="24"/>
          <w:szCs w:val="24"/>
        </w:rPr>
      </w:pPr>
    </w:p>
    <w:p w14:paraId="1C9DD572"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Rheological Test</w:t>
      </w:r>
    </w:p>
    <w:p w14:paraId="6E1243F6"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The </w:t>
      </w:r>
      <w:proofErr w:type="spellStart"/>
      <w:r>
        <w:rPr>
          <w:rFonts w:ascii="Times New Roman" w:eastAsia="宋体" w:hAnsi="Times New Roman" w:cs="Times New Roman"/>
          <w:sz w:val="24"/>
          <w:szCs w:val="24"/>
        </w:rPr>
        <w:t>elastoplasticity</w:t>
      </w:r>
      <w:proofErr w:type="spellEnd"/>
      <w:r>
        <w:rPr>
          <w:rFonts w:ascii="Times New Roman" w:eastAsia="宋体" w:hAnsi="Times New Roman" w:cs="Times New Roman"/>
          <w:sz w:val="24"/>
          <w:szCs w:val="24"/>
        </w:rPr>
        <w:t xml:space="preserve"> of the gel was characterized using a stress-controlled Rheometer equipped with a 20mm parallel plate (DHR-2 Discovery Hybrid Rheometer, TA Instruments, Newcastle, Delaware, USA). The thickness of the PSM gel is 2mm and it is cut into cylinders with a diameter of 20mm. To prevent the sample from dehydrating, dimethyl silicone oil is applied to the sides. Tests are usually conducted at 25℃ and include amplitude-strain scanning, amplitude-time scanning, amplitude-frequency scanning, amplitude-temperature scanning, step creep and recovery, and stress relaxation.</w:t>
      </w:r>
    </w:p>
    <w:p w14:paraId="4DC6347E" w14:textId="77777777" w:rsidR="00155631" w:rsidRDefault="00155631" w:rsidP="005E6F8D">
      <w:pPr>
        <w:spacing w:line="480" w:lineRule="auto"/>
        <w:rPr>
          <w:rFonts w:ascii="Times New Roman" w:eastAsia="宋体" w:hAnsi="Times New Roman" w:cs="Times New Roman"/>
          <w:sz w:val="24"/>
          <w:szCs w:val="24"/>
        </w:rPr>
      </w:pPr>
    </w:p>
    <w:p w14:paraId="47D8B6FD"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Amplitude Strain Scan</w:t>
      </w:r>
    </w:p>
    <w:p w14:paraId="39B4D608" w14:textId="40DDB537" w:rsidR="00155631" w:rsidRPr="00B8208C" w:rsidRDefault="00000000" w:rsidP="00B8208C">
      <w:pPr>
        <w:spacing w:line="480" w:lineRule="auto"/>
        <w:ind w:firstLineChars="200" w:firstLine="480"/>
        <w:rPr>
          <w:rFonts w:ascii="Times New Roman" w:eastAsia="宋体" w:hAnsi="Times New Roman" w:cs="Times New Roman" w:hint="eastAsia"/>
          <w:sz w:val="24"/>
          <w:szCs w:val="24"/>
        </w:rPr>
      </w:pPr>
      <w:r>
        <w:rPr>
          <w:rFonts w:ascii="Times New Roman" w:eastAsia="宋体" w:hAnsi="Times New Roman" w:cs="Times New Roman"/>
          <w:sz w:val="24"/>
          <w:szCs w:val="24"/>
        </w:rPr>
        <w:t>In the amplitude strain test, set the angular frequency to 10.0 rad/s, scan the strain distribution according to the logarithmic scale, and the strain range is 0.001 to 100%. The data such as the energy storage modulus (G’) varying with strain, the loss modulus (G’’), and loss tangent (</w:t>
      </w:r>
      <w:proofErr w:type="spellStart"/>
      <w:r>
        <w:rPr>
          <w:rFonts w:ascii="Times New Roman" w:eastAsia="宋体" w:hAnsi="Times New Roman" w:cs="Times New Roman"/>
          <w:sz w:val="24"/>
          <w:szCs w:val="24"/>
        </w:rPr>
        <w:t>tanδ</w:t>
      </w:r>
      <w:proofErr w:type="spellEnd"/>
      <w:r>
        <w:rPr>
          <w:rFonts w:ascii="Times New Roman" w:eastAsia="宋体" w:hAnsi="Times New Roman" w:cs="Times New Roman"/>
          <w:sz w:val="24"/>
          <w:szCs w:val="24"/>
        </w:rPr>
        <w:t>) were obtained. The region where the stress and strain have a linear relationship was defined as the linear viscoelastic region (LVR), and the strain that causes a sudden change was defined as the critical strain.</w:t>
      </w:r>
    </w:p>
    <w:p w14:paraId="6983C0ED"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Creep and Recovery</w:t>
      </w:r>
    </w:p>
    <w:p w14:paraId="7E8D43FF"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In the step creep and recovery test, the pressure section and the recovery section are set in sequence. The pressure section is under a stress of 10 Pa (within the linear viscoelastic stress range) for 900 seconds, and the recovery section is under no stress for 900 seconds, the strain and recovery strain data at different stages were obtained to determine the elastoplastic properties of the gel. In the pressure section, the strain caused at the moment of pressurization is taken as the initial strain. Within the initial approximately linear interval (0 to 5 seconds), it is an ideal elastic deformation, and the ratio of the corresponding strain to the total strain is the ideal elastic deformation ratio </w:t>
      </w:r>
      <w:proofErr w:type="spellStart"/>
      <w:r>
        <w:rPr>
          <w:rFonts w:ascii="Times New Roman" w:eastAsia="宋体" w:hAnsi="Times New Roman" w:cs="Times New Roman"/>
          <w:sz w:val="24"/>
          <w:szCs w:val="24"/>
        </w:rPr>
        <w:t>HEr</w:t>
      </w:r>
      <w:proofErr w:type="spellEnd"/>
      <w:r>
        <w:rPr>
          <w:rFonts w:ascii="Times New Roman" w:eastAsia="宋体" w:hAnsi="Times New Roman" w:cs="Times New Roman"/>
          <w:sz w:val="24"/>
          <w:szCs w:val="24"/>
        </w:rPr>
        <w:t xml:space="preserve">. During the elastoplastic recovery stage, the unrecovered deformation is plastic deformation, and its ratio to the total deformation is the plastic ratio </w:t>
      </w:r>
      <w:proofErr w:type="spellStart"/>
      <w:r>
        <w:rPr>
          <w:rFonts w:ascii="Times New Roman" w:eastAsia="宋体" w:hAnsi="Times New Roman" w:cs="Times New Roman"/>
          <w:sz w:val="24"/>
          <w:szCs w:val="24"/>
        </w:rPr>
        <w:t>Pr</w:t>
      </w:r>
      <w:proofErr w:type="spellEnd"/>
      <w:r>
        <w:rPr>
          <w:rFonts w:ascii="Times New Roman" w:eastAsia="宋体" w:hAnsi="Times New Roman" w:cs="Times New Roman"/>
          <w:sz w:val="24"/>
          <w:szCs w:val="24"/>
        </w:rPr>
        <w:t xml:space="preserve"> of PSM. The recovered deformation is elastic deformation, and its ratio to the total deformation is the elastic ratio Er of PSM. The sum of the two should be 1.</w:t>
      </w:r>
    </w:p>
    <w:p w14:paraId="0C76902A" w14:textId="77777777" w:rsidR="00155631" w:rsidRDefault="00155631" w:rsidP="005E6F8D">
      <w:pPr>
        <w:spacing w:line="480" w:lineRule="auto"/>
        <w:rPr>
          <w:rFonts w:ascii="Times New Roman" w:eastAsia="宋体" w:hAnsi="Times New Roman" w:cs="Times New Roman"/>
          <w:sz w:val="24"/>
          <w:szCs w:val="24"/>
        </w:rPr>
      </w:pPr>
    </w:p>
    <w:p w14:paraId="3B855EEB"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Stress Relaxation</w:t>
      </w:r>
    </w:p>
    <w:p w14:paraId="0697380A"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In the stress relaxation test, a strain level of 5% (within the LVR) was applied and maintained for a duration of 2000 seconds to obtain the time-dependent decay of the stress relaxation curve. When the strain reaches the preset value and remains stable for 10 seconds, this point is defined as the starting point of stress relaxation, and the corresponding stress is considered the initial stress. The time required for the stress to decrease to half of the initial stress is defined as the half-relaxation time τ of PSM.</w:t>
      </w:r>
    </w:p>
    <w:p w14:paraId="724D82DD" w14:textId="77777777" w:rsidR="00155631" w:rsidRDefault="00155631" w:rsidP="005E6F8D">
      <w:pPr>
        <w:spacing w:line="480" w:lineRule="auto"/>
        <w:rPr>
          <w:rFonts w:ascii="Times New Roman" w:eastAsia="宋体" w:hAnsi="Times New Roman" w:cs="Times New Roman"/>
          <w:sz w:val="24"/>
          <w:szCs w:val="24"/>
        </w:rPr>
      </w:pPr>
    </w:p>
    <w:p w14:paraId="22A25112" w14:textId="77777777" w:rsidR="00155631" w:rsidRDefault="00000000" w:rsidP="005E6F8D">
      <w:pPr>
        <w:spacing w:line="480" w:lineRule="auto"/>
        <w:ind w:left="723" w:hangingChars="300" w:hanging="723"/>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Amplitude Temperature Scan</w:t>
      </w:r>
    </w:p>
    <w:p w14:paraId="480CF1E3"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In the amplitude temperature test, a strain level of 1% (within the LVR) was applied. The scanning frequency was set to 10 rad/s, and the temperature was varied from -30 °C to 90 °C at a heating rate of 5 °C/min. Data including the storage modulus (G’), loss modulus (G’’), and loss tangent (</w:t>
      </w:r>
      <w:proofErr w:type="spellStart"/>
      <w:r>
        <w:rPr>
          <w:rFonts w:ascii="Times New Roman" w:eastAsia="宋体" w:hAnsi="Times New Roman" w:cs="Times New Roman"/>
          <w:sz w:val="24"/>
          <w:szCs w:val="24"/>
        </w:rPr>
        <w:t>tanδ</w:t>
      </w:r>
      <w:proofErr w:type="spellEnd"/>
      <w:r>
        <w:rPr>
          <w:rFonts w:ascii="Times New Roman" w:eastAsia="宋体" w:hAnsi="Times New Roman" w:cs="Times New Roman"/>
          <w:sz w:val="24"/>
          <w:szCs w:val="24"/>
        </w:rPr>
        <w:t xml:space="preserve">) as functions of temperature were collected. The freezing transition temperature was determined as the temperature at which G’ exhibits a sharp decrease and </w:t>
      </w:r>
      <w:proofErr w:type="spellStart"/>
      <w:r>
        <w:rPr>
          <w:rFonts w:ascii="Times New Roman" w:eastAsia="宋体" w:hAnsi="Times New Roman" w:cs="Times New Roman"/>
          <w:sz w:val="24"/>
          <w:szCs w:val="24"/>
        </w:rPr>
        <w:t>tanδ</w:t>
      </w:r>
      <w:proofErr w:type="spellEnd"/>
      <w:r>
        <w:rPr>
          <w:rFonts w:ascii="Times New Roman" w:eastAsia="宋体" w:hAnsi="Times New Roman" w:cs="Times New Roman"/>
          <w:sz w:val="24"/>
          <w:szCs w:val="24"/>
        </w:rPr>
        <w:t xml:space="preserve"> reaches its peak value.</w:t>
      </w:r>
    </w:p>
    <w:p w14:paraId="33A85CD8" w14:textId="77777777" w:rsidR="00155631" w:rsidRDefault="00155631" w:rsidP="005E6F8D">
      <w:pPr>
        <w:spacing w:line="480" w:lineRule="auto"/>
        <w:rPr>
          <w:rFonts w:ascii="Times New Roman" w:eastAsia="宋体" w:hAnsi="Times New Roman" w:cs="Times New Roman"/>
          <w:sz w:val="24"/>
          <w:szCs w:val="24"/>
        </w:rPr>
      </w:pPr>
    </w:p>
    <w:p w14:paraId="5CFE99F7"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Amplitude Time Scan</w:t>
      </w:r>
    </w:p>
    <w:p w14:paraId="2E658E38"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In the amplitude-time test, a 5% strain (within the LVR) was applied continuously for 2000 seconds. The scanning frequency was set at 10 rad/s. The time-dependent variations of the storage modulus (G’), loss modulus (G’’), and loss tangent (</w:t>
      </w:r>
      <w:proofErr w:type="spellStart"/>
      <w:r>
        <w:rPr>
          <w:rFonts w:ascii="Times New Roman" w:eastAsia="宋体" w:hAnsi="Times New Roman" w:cs="Times New Roman"/>
          <w:sz w:val="24"/>
          <w:szCs w:val="24"/>
        </w:rPr>
        <w:t>tanδ</w:t>
      </w:r>
      <w:proofErr w:type="spellEnd"/>
      <w:r>
        <w:rPr>
          <w:rFonts w:ascii="Times New Roman" w:eastAsia="宋体" w:hAnsi="Times New Roman" w:cs="Times New Roman"/>
          <w:sz w:val="24"/>
          <w:szCs w:val="24"/>
        </w:rPr>
        <w:t>) were recorded during the test.</w:t>
      </w:r>
    </w:p>
    <w:p w14:paraId="090DCCFE" w14:textId="77777777" w:rsidR="00155631" w:rsidRDefault="00155631" w:rsidP="005E6F8D">
      <w:pPr>
        <w:spacing w:line="480" w:lineRule="auto"/>
        <w:rPr>
          <w:rFonts w:ascii="Times New Roman" w:eastAsia="宋体" w:hAnsi="Times New Roman" w:cs="Times New Roman"/>
          <w:sz w:val="24"/>
          <w:szCs w:val="24"/>
        </w:rPr>
      </w:pPr>
    </w:p>
    <w:p w14:paraId="717DED29"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Amplitude Frequency Scan</w:t>
      </w:r>
    </w:p>
    <w:p w14:paraId="07002347"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In the amplitude and frequency test, a 5% strain (within the linear viscoelastic region, LVR) was applied, and the frequency was scanned across a logarithmic scale. The scanning frequency range was set from 0.04 to 400 rad/s, during which data such as the storage modulus (G'), loss modulus (G''), and loss tangent (</w:t>
      </w:r>
      <w:proofErr w:type="spellStart"/>
      <w:r>
        <w:rPr>
          <w:rFonts w:ascii="Times New Roman" w:eastAsia="宋体" w:hAnsi="Times New Roman" w:cs="Times New Roman"/>
          <w:sz w:val="24"/>
          <w:szCs w:val="24"/>
        </w:rPr>
        <w:t>tanδ</w:t>
      </w:r>
      <w:proofErr w:type="spellEnd"/>
      <w:r>
        <w:rPr>
          <w:rFonts w:ascii="Times New Roman" w:eastAsia="宋体" w:hAnsi="Times New Roman" w:cs="Times New Roman"/>
          <w:sz w:val="24"/>
          <w:szCs w:val="24"/>
        </w:rPr>
        <w:t xml:space="preserve">) were collected as functions of frequency. Experiments were carried out at different temperatures (5, 25, and 45 °C) based on the aforementioned parameters. The master curves over an extended frequency range were constructed using the time-temperature superposition </w:t>
      </w:r>
      <w:r>
        <w:rPr>
          <w:rFonts w:ascii="Times New Roman" w:eastAsia="宋体" w:hAnsi="Times New Roman" w:cs="Times New Roman"/>
          <w:sz w:val="24"/>
          <w:szCs w:val="24"/>
        </w:rPr>
        <w:lastRenderedPageBreak/>
        <w:t>principle.</w:t>
      </w:r>
    </w:p>
    <w:p w14:paraId="2B560521" w14:textId="77777777" w:rsidR="00155631" w:rsidRDefault="00155631" w:rsidP="005E6F8D">
      <w:pPr>
        <w:spacing w:line="480" w:lineRule="auto"/>
        <w:rPr>
          <w:rFonts w:ascii="Times New Roman" w:hAnsi="Times New Roman" w:cs="Times New Roman"/>
          <w:color w:val="2A2F45"/>
          <w:sz w:val="24"/>
          <w:szCs w:val="24"/>
          <w:shd w:val="clear" w:color="auto" w:fill="FFFFFF"/>
        </w:rPr>
      </w:pPr>
    </w:p>
    <w:p w14:paraId="1E0F8E85"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Structural Analysis</w:t>
      </w:r>
    </w:p>
    <w:p w14:paraId="55DB3B63"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Fourier Transform Infrared Spectroscopy (FTIR)</w:t>
      </w:r>
    </w:p>
    <w:p w14:paraId="56823236"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chemical structures of SBMA monomers and PSM at 25 °C was performed using FTIR (</w:t>
      </w:r>
      <w:proofErr w:type="spellStart"/>
      <w:r>
        <w:rPr>
          <w:rFonts w:ascii="Times New Roman" w:eastAsia="宋体" w:hAnsi="Times New Roman" w:cs="Times New Roman"/>
          <w:sz w:val="24"/>
          <w:szCs w:val="24"/>
        </w:rPr>
        <w:t>Thermo</w:t>
      </w:r>
      <w:proofErr w:type="spellEnd"/>
      <w:r>
        <w:rPr>
          <w:rFonts w:ascii="Times New Roman" w:eastAsia="宋体" w:hAnsi="Times New Roman" w:cs="Times New Roman"/>
          <w:sz w:val="24"/>
          <w:szCs w:val="24"/>
        </w:rPr>
        <w:t xml:space="preserve"> Fisher Scientific Nicolet iS20, USA), employing both the potassium bromide pellet method and the attenuated total reflection (ATR) technique. The scanning range was set between 400 and 4000 cm⁻¹ with a resolution of 4 cm⁻¹. All samples were fully dried and anhydrous. For the ATR measurements, the hydrogel specimens were prepared in dimensions of 5 × 5 × 1 mm.</w:t>
      </w:r>
    </w:p>
    <w:p w14:paraId="5BCD1503" w14:textId="77777777" w:rsidR="00155631" w:rsidRDefault="00155631" w:rsidP="005E6F8D">
      <w:pPr>
        <w:spacing w:line="480" w:lineRule="auto"/>
        <w:rPr>
          <w:rFonts w:ascii="Times New Roman" w:eastAsia="宋体" w:hAnsi="Times New Roman" w:cs="Times New Roman"/>
          <w:sz w:val="24"/>
          <w:szCs w:val="24"/>
        </w:rPr>
      </w:pPr>
    </w:p>
    <w:p w14:paraId="65ABF44C"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Nuclear Magnetic Resonance Hydrogen Spectroscopy (</w:t>
      </w:r>
      <w:r>
        <w:rPr>
          <w:rFonts w:ascii="Times New Roman" w:eastAsia="宋体" w:hAnsi="Times New Roman" w:cs="Times New Roman"/>
          <w:b/>
          <w:bCs/>
          <w:sz w:val="24"/>
          <w:szCs w:val="24"/>
          <w:vertAlign w:val="superscript"/>
        </w:rPr>
        <w:t>1</w:t>
      </w:r>
      <w:r>
        <w:rPr>
          <w:rFonts w:ascii="Times New Roman" w:eastAsia="宋体" w:hAnsi="Times New Roman" w:cs="Times New Roman"/>
          <w:b/>
          <w:bCs/>
          <w:sz w:val="24"/>
          <w:szCs w:val="24"/>
        </w:rPr>
        <w:t>H-NMR)</w:t>
      </w:r>
    </w:p>
    <w:p w14:paraId="10C7EA25"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¹H-NMR liquid-state spectra were acquired at room temperature using a 400 MHz nuclear magnetic resonance spectrometer</w:t>
      </w:r>
      <w:r>
        <w:rPr>
          <w:rFonts w:ascii="Times New Roman" w:eastAsia="宋体" w:hAnsi="Times New Roman" w:cs="Times New Roman"/>
          <w:sz w:val="24"/>
          <w:szCs w:val="24"/>
        </w:rPr>
        <w:t>（</w:t>
      </w:r>
      <w:r>
        <w:rPr>
          <w:rFonts w:ascii="Times New Roman" w:eastAsia="宋体" w:hAnsi="Times New Roman" w:cs="Times New Roman"/>
          <w:sz w:val="24"/>
          <w:szCs w:val="24"/>
        </w:rPr>
        <w:t>NMR</w:t>
      </w:r>
      <w:r>
        <w:rPr>
          <w:rFonts w:ascii="Times New Roman" w:eastAsia="宋体" w:hAnsi="Times New Roman" w:cs="Times New Roman"/>
          <w:sz w:val="24"/>
          <w:szCs w:val="24"/>
        </w:rPr>
        <w:t>）</w:t>
      </w:r>
      <w:r>
        <w:rPr>
          <w:rFonts w:ascii="Times New Roman" w:eastAsia="宋体" w:hAnsi="Times New Roman" w:cs="Times New Roman"/>
          <w:sz w:val="24"/>
          <w:szCs w:val="24"/>
        </w:rPr>
        <w:t xml:space="preserve"> (Bruker Avance NEO, Germany). Chemical shifts were referenced to D₂O (4.79 ppm). The test sample consisted of a PSM gel solution at a concentration of 5 mg/mL, with D₂O used as the solvent.</w:t>
      </w:r>
    </w:p>
    <w:p w14:paraId="606E3B72" w14:textId="77777777" w:rsidR="00155631" w:rsidRDefault="00155631" w:rsidP="005E6F8D">
      <w:pPr>
        <w:spacing w:line="480" w:lineRule="auto"/>
        <w:rPr>
          <w:rFonts w:ascii="Times New Roman" w:eastAsia="宋体" w:hAnsi="Times New Roman" w:cs="Times New Roman"/>
          <w:sz w:val="24"/>
          <w:szCs w:val="24"/>
        </w:rPr>
      </w:pPr>
    </w:p>
    <w:p w14:paraId="7FEB727B"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 xml:space="preserve">Low-Field Nuclear Magnetic Resonance (LF-NMR) </w:t>
      </w:r>
    </w:p>
    <w:p w14:paraId="0693D25F"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LF-NMR is employed to translate the relaxation times (degrees of freedom) of hydrogen nuclei into structural information. LF-NMR measurements, focusing on the transverse relaxation time T₂, were carried out using a nuclear magnetic resonance </w:t>
      </w:r>
      <w:r>
        <w:rPr>
          <w:rFonts w:ascii="Times New Roman" w:eastAsia="宋体" w:hAnsi="Times New Roman" w:cs="Times New Roman"/>
          <w:sz w:val="24"/>
          <w:szCs w:val="24"/>
        </w:rPr>
        <w:lastRenderedPageBreak/>
        <w:t xml:space="preserve">analyzer (MicroMR12-025V, Suzhou </w:t>
      </w:r>
      <w:proofErr w:type="spellStart"/>
      <w:r>
        <w:rPr>
          <w:rFonts w:ascii="Times New Roman" w:eastAsia="宋体" w:hAnsi="Times New Roman" w:cs="Times New Roman"/>
          <w:sz w:val="24"/>
          <w:szCs w:val="24"/>
        </w:rPr>
        <w:t>Nuoma</w:t>
      </w:r>
      <w:proofErr w:type="spellEnd"/>
      <w:r>
        <w:rPr>
          <w:rFonts w:ascii="Times New Roman" w:eastAsia="宋体" w:hAnsi="Times New Roman" w:cs="Times New Roman"/>
          <w:sz w:val="24"/>
          <w:szCs w:val="24"/>
        </w:rPr>
        <w:t xml:space="preserve"> Analytical Instrument Co., Ltd., China), with structural data derived from XLD fitting. The tested samples included various hydrogels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E,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S) obtained either through in situ reactions or after post-treatment processes. All samples were cylindrical in shape, with a diameter of 10 mm and thickness of 5 mm. Hydrogen signals originating from free water, bound water, and mobile segments were acquired under the Carr-Purcell-</w:t>
      </w:r>
      <w:proofErr w:type="spellStart"/>
      <w:r>
        <w:rPr>
          <w:rFonts w:ascii="Times New Roman" w:eastAsia="宋体" w:hAnsi="Times New Roman" w:cs="Times New Roman"/>
          <w:sz w:val="24"/>
          <w:szCs w:val="24"/>
        </w:rPr>
        <w:t>Meiboom</w:t>
      </w:r>
      <w:proofErr w:type="spellEnd"/>
      <w:r>
        <w:rPr>
          <w:rFonts w:ascii="Times New Roman" w:eastAsia="宋体" w:hAnsi="Times New Roman" w:cs="Times New Roman"/>
          <w:sz w:val="24"/>
          <w:szCs w:val="24"/>
        </w:rPr>
        <w:t>-Gill (CPMG) pulse sequence. A total of four scans were performed, involving 18,000 echoes per scan, an echo time of 0.3 milliseconds, and a recovery delay of 3,000 milliseconds. Multi-component fitting was applied to the original T₂ decay curves for signal decomposition.</w:t>
      </w:r>
    </w:p>
    <w:p w14:paraId="6FFA3963"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For the crosslinking density assessment, a nuclear magnetic resonance crosslinking density imaging analyzer (VTMR20-010V-I, Suzhou </w:t>
      </w:r>
      <w:proofErr w:type="spellStart"/>
      <w:r>
        <w:rPr>
          <w:rFonts w:ascii="Times New Roman" w:eastAsia="宋体" w:hAnsi="Times New Roman" w:cs="Times New Roman"/>
          <w:sz w:val="24"/>
          <w:szCs w:val="24"/>
        </w:rPr>
        <w:t>Nuoma</w:t>
      </w:r>
      <w:proofErr w:type="spellEnd"/>
      <w:r>
        <w:rPr>
          <w:rFonts w:ascii="Times New Roman" w:eastAsia="宋体" w:hAnsi="Times New Roman" w:cs="Times New Roman"/>
          <w:sz w:val="24"/>
          <w:szCs w:val="24"/>
        </w:rPr>
        <w:t xml:space="preserve"> Analytical Instrument Co., Ltd., China) was utilized. The samples tested were the hydrogels obtained from in situ reactions or subsequent treatments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E,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S). The transverse relaxation signal decay was modeled using the XLD equation to determine the crosslinking density of the corresponding gels as well as the proportion of each chain type.</w:t>
      </w:r>
    </w:p>
    <w:p w14:paraId="6D78719D" w14:textId="77777777" w:rsidR="00155631" w:rsidRDefault="00155631" w:rsidP="005E6F8D">
      <w:pPr>
        <w:spacing w:line="480" w:lineRule="auto"/>
        <w:rPr>
          <w:rFonts w:ascii="Times New Roman" w:eastAsia="宋体" w:hAnsi="Times New Roman" w:cs="Times New Roman"/>
          <w:sz w:val="24"/>
          <w:szCs w:val="24"/>
        </w:rPr>
      </w:pPr>
    </w:p>
    <w:p w14:paraId="40AB8E8B"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Confocal Raman Microscope (CRM)</w:t>
      </w:r>
    </w:p>
    <w:p w14:paraId="108843BD"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Raman analysis/Raman imaging was done with a confocal Raman microscope (CRM) (</w:t>
      </w:r>
      <w:proofErr w:type="spellStart"/>
      <w:r>
        <w:rPr>
          <w:rFonts w:ascii="Times New Roman" w:eastAsia="宋体" w:hAnsi="Times New Roman" w:cs="Times New Roman"/>
          <w:sz w:val="24"/>
          <w:szCs w:val="24"/>
        </w:rPr>
        <w:t>WITec</w:t>
      </w:r>
      <w:proofErr w:type="spellEnd"/>
      <w:r>
        <w:rPr>
          <w:rFonts w:ascii="Times New Roman" w:eastAsia="宋体" w:hAnsi="Times New Roman" w:cs="Times New Roman"/>
          <w:sz w:val="24"/>
          <w:szCs w:val="24"/>
        </w:rPr>
        <w:t xml:space="preserve"> alpha300R, </w:t>
      </w:r>
      <w:proofErr w:type="spellStart"/>
      <w:r>
        <w:rPr>
          <w:rFonts w:ascii="Times New Roman" w:eastAsia="宋体" w:hAnsi="Times New Roman" w:cs="Times New Roman"/>
          <w:sz w:val="24"/>
          <w:szCs w:val="24"/>
        </w:rPr>
        <w:t>WITec</w:t>
      </w:r>
      <w:proofErr w:type="spellEnd"/>
      <w:r>
        <w:rPr>
          <w:rFonts w:ascii="Times New Roman" w:eastAsia="宋体" w:hAnsi="Times New Roman" w:cs="Times New Roman"/>
          <w:sz w:val="24"/>
          <w:szCs w:val="24"/>
        </w:rPr>
        <w:t xml:space="preserve"> GmbH, Germany) equipped with a TEM single-frequency laser (λ=532nm, laser power = 40 </w:t>
      </w:r>
      <w:proofErr w:type="spellStart"/>
      <w:r>
        <w:rPr>
          <w:rFonts w:ascii="Times New Roman" w:eastAsia="宋体" w:hAnsi="Times New Roman" w:cs="Times New Roman"/>
          <w:sz w:val="24"/>
          <w:szCs w:val="24"/>
        </w:rPr>
        <w:t>mW</w:t>
      </w:r>
      <w:proofErr w:type="spellEnd"/>
      <w:r>
        <w:rPr>
          <w:rFonts w:ascii="Times New Roman" w:eastAsia="宋体" w:hAnsi="Times New Roman" w:cs="Times New Roman"/>
          <w:sz w:val="24"/>
          <w:szCs w:val="24"/>
        </w:rPr>
        <w:t xml:space="preserve">, </w:t>
      </w:r>
      <w:proofErr w:type="spellStart"/>
      <w:r>
        <w:rPr>
          <w:rFonts w:ascii="Times New Roman" w:eastAsia="宋体" w:hAnsi="Times New Roman" w:cs="Times New Roman"/>
          <w:sz w:val="24"/>
          <w:szCs w:val="24"/>
        </w:rPr>
        <w:t>WITec</w:t>
      </w:r>
      <w:proofErr w:type="spellEnd"/>
      <w:r>
        <w:rPr>
          <w:rFonts w:ascii="Times New Roman" w:eastAsia="宋体" w:hAnsi="Times New Roman" w:cs="Times New Roman"/>
          <w:sz w:val="24"/>
          <w:szCs w:val="24"/>
        </w:rPr>
        <w:t xml:space="preserve"> GmbH, Germany). The </w:t>
      </w:r>
      <w:r>
        <w:rPr>
          <w:rFonts w:ascii="Times New Roman" w:eastAsia="宋体" w:hAnsi="Times New Roman" w:cs="Times New Roman"/>
          <w:sz w:val="24"/>
          <w:szCs w:val="24"/>
        </w:rPr>
        <w:lastRenderedPageBreak/>
        <w:t xml:space="preserve">spectral acquisition parameters were as follows: spectral range from 50 to 4000 cm⁻¹, laser power of 50 </w:t>
      </w:r>
      <w:proofErr w:type="spellStart"/>
      <w:r>
        <w:rPr>
          <w:rFonts w:ascii="Times New Roman" w:eastAsia="宋体" w:hAnsi="Times New Roman" w:cs="Times New Roman"/>
          <w:sz w:val="24"/>
          <w:szCs w:val="24"/>
        </w:rPr>
        <w:t>mW</w:t>
      </w:r>
      <w:proofErr w:type="spellEnd"/>
      <w:r>
        <w:rPr>
          <w:rFonts w:ascii="Times New Roman" w:eastAsia="宋体" w:hAnsi="Times New Roman" w:cs="Times New Roman"/>
          <w:sz w:val="24"/>
          <w:szCs w:val="24"/>
        </w:rPr>
        <w:t>, grating density of 300 lines/mm, objective magnification of 50 × (Olympus 50× / 0.5 numerical aperture), integration time of 30 seconds, and six accumulations. The acquired data were processed through cosmic ray removal and averaged weighting for spectral smoothing. The tested samples included in situ prepared hydrogels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and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post-treated gels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E and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S, and fully dried or swollen forms PSM-dehydrated and PSM-dilute.</w:t>
      </w:r>
    </w:p>
    <w:p w14:paraId="569B69F3" w14:textId="77777777" w:rsidR="00155631" w:rsidRDefault="00155631" w:rsidP="005E6F8D">
      <w:pPr>
        <w:spacing w:line="480" w:lineRule="auto"/>
        <w:rPr>
          <w:rFonts w:ascii="Times New Roman" w:eastAsia="宋体" w:hAnsi="Times New Roman" w:cs="Times New Roman"/>
          <w:sz w:val="24"/>
          <w:szCs w:val="24"/>
        </w:rPr>
      </w:pPr>
    </w:p>
    <w:p w14:paraId="5E062D70" w14:textId="1DDEC079" w:rsidR="00CC0EB1" w:rsidRPr="00CC0EB1" w:rsidRDefault="00CC0EB1" w:rsidP="005E6F8D">
      <w:pPr>
        <w:spacing w:line="480" w:lineRule="auto"/>
        <w:rPr>
          <w:rFonts w:ascii="Times New Roman" w:eastAsia="宋体" w:hAnsi="Times New Roman" w:cs="Times New Roman"/>
          <w:b/>
          <w:bCs/>
          <w:sz w:val="24"/>
          <w:szCs w:val="24"/>
        </w:rPr>
      </w:pPr>
      <w:r w:rsidRPr="00CC0EB1">
        <w:rPr>
          <w:rFonts w:ascii="Times New Roman" w:eastAsia="宋体" w:hAnsi="Times New Roman" w:cs="Times New Roman"/>
          <w:b/>
          <w:bCs/>
          <w:sz w:val="24"/>
          <w:szCs w:val="24"/>
        </w:rPr>
        <w:t>Static/Dynamic Light Scattering (SLS/DLS)</w:t>
      </w:r>
    </w:p>
    <w:p w14:paraId="352F7EF1" w14:textId="3D30E2C5" w:rsidR="00CC0EB1" w:rsidRPr="00CC0EB1" w:rsidRDefault="00CC0EB1" w:rsidP="005E6F8D">
      <w:pPr>
        <w:spacing w:line="480" w:lineRule="auto"/>
        <w:rPr>
          <w:rFonts w:ascii="Times New Roman" w:eastAsia="宋体" w:hAnsi="Times New Roman" w:cs="Times New Roman"/>
          <w:sz w:val="24"/>
          <w:szCs w:val="24"/>
        </w:rPr>
      </w:pPr>
      <w:r w:rsidRPr="00CC0EB1">
        <w:rPr>
          <w:rFonts w:ascii="Times New Roman" w:eastAsia="宋体" w:hAnsi="Times New Roman" w:cs="Times New Roman"/>
          <w:sz w:val="24"/>
          <w:szCs w:val="24"/>
        </w:rPr>
        <w:t xml:space="preserve">The light scattering was performed on a laser light scattering spectrometer (ALV/CGS-3) equipped with a multi-τ digital time correlator (ALV-7004) and a laser light source with wavelength of </w:t>
      </w:r>
      <w:r>
        <w:rPr>
          <w:rFonts w:ascii="Times New Roman" w:eastAsia="宋体" w:hAnsi="Times New Roman" w:cs="Times New Roman" w:hint="eastAsia"/>
          <w:sz w:val="24"/>
          <w:szCs w:val="24"/>
        </w:rPr>
        <w:t>6</w:t>
      </w:r>
      <w:r w:rsidRPr="00CC0EB1">
        <w:rPr>
          <w:rFonts w:ascii="Times New Roman" w:eastAsia="宋体" w:hAnsi="Times New Roman" w:cs="Times New Roman"/>
          <w:sz w:val="24"/>
          <w:szCs w:val="24"/>
        </w:rPr>
        <w:t>32 nm. Dynamic light scattering measures the intensity</w:t>
      </w:r>
      <w:r>
        <w:rPr>
          <w:rFonts w:ascii="Times New Roman" w:eastAsia="宋体" w:hAnsi="Times New Roman" w:cs="Times New Roman" w:hint="eastAsia"/>
          <w:sz w:val="24"/>
          <w:szCs w:val="24"/>
        </w:rPr>
        <w:t>-</w:t>
      </w:r>
      <w:r w:rsidRPr="00CC0EB1">
        <w:rPr>
          <w:rFonts w:ascii="Times New Roman" w:eastAsia="宋体" w:hAnsi="Times New Roman" w:cs="Times New Roman"/>
          <w:sz w:val="24"/>
          <w:szCs w:val="24"/>
        </w:rPr>
        <w:t>intensity time correlation function g</w:t>
      </w:r>
      <w:r w:rsidRPr="00CC0EB1">
        <w:rPr>
          <w:rFonts w:ascii="Times New Roman" w:eastAsia="宋体" w:hAnsi="Times New Roman" w:cs="Times New Roman"/>
          <w:sz w:val="24"/>
          <w:szCs w:val="24"/>
          <w:vertAlign w:val="subscript"/>
        </w:rPr>
        <w:t>2</w:t>
      </w:r>
      <w:r>
        <w:rPr>
          <w:rFonts w:ascii="Times New Roman" w:eastAsia="宋体" w:hAnsi="Times New Roman" w:cs="Times New Roman" w:hint="eastAsia"/>
          <w:sz w:val="24"/>
          <w:szCs w:val="24"/>
          <w:vertAlign w:val="subscript"/>
        </w:rPr>
        <w:t xml:space="preserve"> </w:t>
      </w:r>
      <w:r w:rsidRPr="00CC0EB1">
        <w:rPr>
          <w:rFonts w:ascii="Times New Roman" w:eastAsia="宋体" w:hAnsi="Times New Roman" w:cs="Times New Roman"/>
          <w:sz w:val="24"/>
          <w:szCs w:val="24"/>
        </w:rPr>
        <w:t>(q, t) by</w:t>
      </w:r>
      <w:r>
        <w:rPr>
          <w:rFonts w:ascii="Times New Roman" w:eastAsia="宋体" w:hAnsi="Times New Roman" w:cs="Times New Roman" w:hint="eastAsia"/>
          <w:sz w:val="24"/>
          <w:szCs w:val="24"/>
        </w:rPr>
        <w:t xml:space="preserve"> </w:t>
      </w:r>
      <w:r w:rsidRPr="00CC0EB1">
        <w:rPr>
          <w:rFonts w:ascii="Times New Roman" w:eastAsia="宋体" w:hAnsi="Times New Roman" w:cs="Times New Roman"/>
          <w:sz w:val="24"/>
          <w:szCs w:val="24"/>
        </w:rPr>
        <w:t xml:space="preserve">means of </w:t>
      </w:r>
      <w:proofErr w:type="spellStart"/>
      <w:r w:rsidRPr="00CC0EB1">
        <w:rPr>
          <w:rFonts w:ascii="Times New Roman" w:eastAsia="宋体" w:hAnsi="Times New Roman" w:cs="Times New Roman"/>
          <w:sz w:val="24"/>
          <w:szCs w:val="24"/>
        </w:rPr>
        <w:t>amulti</w:t>
      </w:r>
      <w:proofErr w:type="spellEnd"/>
      <w:r w:rsidRPr="00CC0EB1">
        <w:rPr>
          <w:rFonts w:ascii="Times New Roman" w:eastAsia="宋体" w:hAnsi="Times New Roman" w:cs="Times New Roman"/>
          <w:sz w:val="24"/>
          <w:szCs w:val="24"/>
        </w:rPr>
        <w:t>-channel digital correlator and related to the normalized electric field correlation function g</w:t>
      </w:r>
      <w:r w:rsidRPr="00CC0EB1">
        <w:rPr>
          <w:rFonts w:ascii="Times New Roman" w:eastAsia="宋体" w:hAnsi="Times New Roman" w:cs="Times New Roman"/>
          <w:sz w:val="24"/>
          <w:szCs w:val="24"/>
          <w:vertAlign w:val="subscript"/>
        </w:rPr>
        <w:t>1</w:t>
      </w:r>
      <w:r>
        <w:rPr>
          <w:rFonts w:ascii="Times New Roman" w:eastAsia="宋体" w:hAnsi="Times New Roman" w:cs="Times New Roman" w:hint="eastAsia"/>
          <w:sz w:val="24"/>
          <w:szCs w:val="24"/>
        </w:rPr>
        <w:t xml:space="preserve"> </w:t>
      </w:r>
      <w:r w:rsidRPr="00CC0EB1">
        <w:rPr>
          <w:rFonts w:ascii="Times New Roman" w:eastAsia="宋体" w:hAnsi="Times New Roman" w:cs="Times New Roman"/>
          <w:sz w:val="24"/>
          <w:szCs w:val="24"/>
        </w:rPr>
        <w:t>(q, t) through the Siegert relation. For each sample, the intensity at each of the scattering angles 30°, 40°, 50°, 60°, 70</w:t>
      </w:r>
      <w:bookmarkStart w:id="1" w:name="OLE_LINK1"/>
      <w:r w:rsidRPr="00CC0EB1">
        <w:rPr>
          <w:rFonts w:ascii="Times New Roman" w:eastAsia="宋体" w:hAnsi="Times New Roman" w:cs="Times New Roman"/>
          <w:sz w:val="24"/>
          <w:szCs w:val="24"/>
        </w:rPr>
        <w:t>°,</w:t>
      </w:r>
      <w:bookmarkEnd w:id="1"/>
      <w:r w:rsidRPr="00CC0EB1">
        <w:rPr>
          <w:rFonts w:ascii="Times New Roman" w:eastAsia="宋体" w:hAnsi="Times New Roman" w:cs="Times New Roman"/>
          <w:sz w:val="24"/>
          <w:szCs w:val="24"/>
        </w:rPr>
        <w:t xml:space="preserve"> </w:t>
      </w:r>
      <w:r>
        <w:rPr>
          <w:rFonts w:ascii="Times New Roman" w:eastAsia="宋体" w:hAnsi="Times New Roman" w:cs="Times New Roman" w:hint="eastAsia"/>
          <w:sz w:val="24"/>
          <w:szCs w:val="24"/>
        </w:rPr>
        <w:t>80</w:t>
      </w:r>
      <w:r w:rsidRPr="00CC0EB1">
        <w:rPr>
          <w:rFonts w:ascii="Times New Roman" w:eastAsia="宋体" w:hAnsi="Times New Roman" w:cs="Times New Roman"/>
          <w:sz w:val="24"/>
          <w:szCs w:val="24"/>
        </w:rPr>
        <w:t xml:space="preserve">°, and 90° were correlated, and the relaxation time averaged for three different spatial locations within the gel samples. Both CONTIN method </w:t>
      </w:r>
      <w:proofErr w:type="spellStart"/>
      <w:r w:rsidRPr="00CC0EB1">
        <w:rPr>
          <w:rFonts w:ascii="Times New Roman" w:eastAsia="宋体" w:hAnsi="Times New Roman" w:cs="Times New Roman"/>
          <w:sz w:val="24"/>
          <w:szCs w:val="24"/>
        </w:rPr>
        <w:t>andmultiple</w:t>
      </w:r>
      <w:proofErr w:type="spellEnd"/>
      <w:r w:rsidRPr="00CC0EB1">
        <w:rPr>
          <w:rFonts w:ascii="Times New Roman" w:eastAsia="宋体" w:hAnsi="Times New Roman" w:cs="Times New Roman"/>
          <w:sz w:val="24"/>
          <w:szCs w:val="24"/>
        </w:rPr>
        <w:t xml:space="preserve"> exponential </w:t>
      </w:r>
      <w:proofErr w:type="spellStart"/>
      <w:r w:rsidRPr="00CC0EB1">
        <w:rPr>
          <w:rFonts w:ascii="Times New Roman" w:eastAsia="宋体" w:hAnsi="Times New Roman" w:cs="Times New Roman"/>
          <w:sz w:val="24"/>
          <w:szCs w:val="24"/>
        </w:rPr>
        <w:t>fittingmethod</w:t>
      </w:r>
      <w:proofErr w:type="spellEnd"/>
      <w:r w:rsidRPr="00CC0EB1">
        <w:rPr>
          <w:rFonts w:ascii="Times New Roman" w:eastAsia="宋体" w:hAnsi="Times New Roman" w:cs="Times New Roman"/>
          <w:sz w:val="24"/>
          <w:szCs w:val="24"/>
        </w:rPr>
        <w:t xml:space="preserve"> were used to analyze the data.</w:t>
      </w:r>
    </w:p>
    <w:p w14:paraId="56B33220" w14:textId="77777777" w:rsidR="0084773E" w:rsidRDefault="0084773E" w:rsidP="005E6F8D">
      <w:pPr>
        <w:spacing w:line="480" w:lineRule="auto"/>
        <w:rPr>
          <w:rFonts w:ascii="Times New Roman" w:eastAsia="宋体" w:hAnsi="Times New Roman" w:cs="Times New Roman"/>
          <w:sz w:val="24"/>
          <w:szCs w:val="24"/>
        </w:rPr>
      </w:pPr>
    </w:p>
    <w:p w14:paraId="233C6346"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X-ray Small-Angle Scattering (SAXS)</w:t>
      </w:r>
    </w:p>
    <w:p w14:paraId="5EB93FA8"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SAXS was tested using the X-ray small-angle scattering instrument (</w:t>
      </w:r>
      <w:proofErr w:type="spellStart"/>
      <w:r>
        <w:rPr>
          <w:rFonts w:ascii="Times New Roman" w:eastAsia="宋体" w:hAnsi="Times New Roman" w:cs="Times New Roman"/>
          <w:sz w:val="24"/>
          <w:szCs w:val="24"/>
        </w:rPr>
        <w:t>Xeuss</w:t>
      </w:r>
      <w:proofErr w:type="spellEnd"/>
      <w:r>
        <w:rPr>
          <w:rFonts w:ascii="Times New Roman" w:eastAsia="宋体" w:hAnsi="Times New Roman" w:cs="Times New Roman"/>
          <w:sz w:val="24"/>
          <w:szCs w:val="24"/>
        </w:rPr>
        <w:t xml:space="preserve"> 2.0, </w:t>
      </w:r>
      <w:proofErr w:type="spellStart"/>
      <w:r>
        <w:rPr>
          <w:rFonts w:ascii="Times New Roman" w:eastAsia="宋体" w:hAnsi="Times New Roman" w:cs="Times New Roman"/>
          <w:sz w:val="24"/>
          <w:szCs w:val="24"/>
        </w:rPr>
        <w:t>Xenocs</w:t>
      </w:r>
      <w:proofErr w:type="spellEnd"/>
      <w:r>
        <w:rPr>
          <w:rFonts w:ascii="Times New Roman" w:eastAsia="宋体" w:hAnsi="Times New Roman" w:cs="Times New Roman"/>
          <w:sz w:val="24"/>
          <w:szCs w:val="24"/>
        </w:rPr>
        <w:t xml:space="preserve"> Company, France) to characterize the structure of the gel. The samples used for </w:t>
      </w:r>
      <w:r>
        <w:rPr>
          <w:rFonts w:ascii="Times New Roman" w:eastAsia="宋体" w:hAnsi="Times New Roman" w:cs="Times New Roman"/>
          <w:sz w:val="24"/>
          <w:szCs w:val="24"/>
        </w:rPr>
        <w:lastRenderedPageBreak/>
        <w:t xml:space="preserve">the test were in-situ prepared PSM hydrogel films, with dimensions of 1*1cm and a thickness of 1mm. The 1D SAXS curves and 2D SAXS spectra were tested and fitted through Guinier and </w:t>
      </w:r>
      <w:proofErr w:type="spellStart"/>
      <w:r>
        <w:rPr>
          <w:rFonts w:ascii="Times New Roman" w:eastAsia="宋体" w:hAnsi="Times New Roman" w:cs="Times New Roman"/>
          <w:sz w:val="24"/>
          <w:szCs w:val="24"/>
        </w:rPr>
        <w:t>Porod</w:t>
      </w:r>
      <w:proofErr w:type="spellEnd"/>
      <w:r>
        <w:rPr>
          <w:rFonts w:ascii="Times New Roman" w:eastAsia="宋体" w:hAnsi="Times New Roman" w:cs="Times New Roman"/>
          <w:sz w:val="24"/>
          <w:szCs w:val="24"/>
        </w:rPr>
        <w:t xml:space="preserve"> theoretical formulas to obtain structural information. In the SAXS test, the power of the copper target light tube was 30W and the wavelength was 1.54189Å. The detector model is Pilatus 3R 300K, with a single pixel size of 172μm. Fit 2D software was used to analyze SAXS data, the background scattering of air was subtracted from the data. Integrate the 2D SAXS graph along the azimuth direction to obtain the 1D scattering curve varying with the scattering vector.</w:t>
      </w:r>
    </w:p>
    <w:p w14:paraId="03CBF7F6"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To characterize the changes of entangled structure during a uniaxial tensile loading, rectangular spline (30 mm × 10 mm × 1 mm, L × W × H) were exposed to the x-ray while stretched to specific uniaxial strains by a homemade tensile machine. The sample-to-detector distance was 539 mm, the exposure time was 300 s, 2D SAXS patterns were converted to 1D intensity profiles from the direction parallel to stretching by symmetric-sector-averaging.</w:t>
      </w:r>
    </w:p>
    <w:p w14:paraId="42F4495F"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scattering vector q is defined as q = 4</w:t>
      </w:r>
      <w:r>
        <w:rPr>
          <w:rFonts w:ascii="Cambria Math" w:eastAsia="宋体" w:hAnsi="Cambria Math" w:cs="Cambria Math"/>
          <w:sz w:val="24"/>
          <w:szCs w:val="24"/>
        </w:rPr>
        <w:t>𝜋</w:t>
      </w:r>
      <w:proofErr w:type="spellStart"/>
      <w:r>
        <w:rPr>
          <w:rFonts w:ascii="Times New Roman" w:eastAsia="宋体" w:hAnsi="Times New Roman" w:cs="Times New Roman"/>
          <w:sz w:val="24"/>
          <w:szCs w:val="24"/>
        </w:rPr>
        <w:t>sinθ</w:t>
      </w:r>
      <w:proofErr w:type="spellEnd"/>
      <w:r>
        <w:rPr>
          <w:rFonts w:ascii="Times New Roman" w:eastAsia="宋体" w:hAnsi="Times New Roman" w:cs="Times New Roman"/>
          <w:sz w:val="24"/>
          <w:szCs w:val="24"/>
        </w:rPr>
        <w:t xml:space="preserve">/λ, where λ represents the X-ray wavelength and 2θ denotes the scattering angle. The interchain distance d is calculated using Bragg's law based on the position of the maximum scattering intensity, </w:t>
      </w:r>
      <w:proofErr w:type="spellStart"/>
      <w:r>
        <w:rPr>
          <w:rFonts w:ascii="Times New Roman" w:eastAsia="宋体" w:hAnsi="Times New Roman" w:cs="Times New Roman"/>
          <w:sz w:val="24"/>
          <w:szCs w:val="24"/>
        </w:rPr>
        <w:t>qm</w:t>
      </w:r>
      <w:proofErr w:type="spellEnd"/>
      <w:r>
        <w:rPr>
          <w:rFonts w:ascii="Times New Roman" w:eastAsia="宋体" w:hAnsi="Times New Roman" w:cs="Times New Roman"/>
          <w:sz w:val="24"/>
          <w:szCs w:val="24"/>
        </w:rPr>
        <w:t>:</w:t>
      </w:r>
    </w:p>
    <w:p w14:paraId="30AF9369" w14:textId="77777777" w:rsidR="00155631" w:rsidRDefault="00000000" w:rsidP="005E6F8D">
      <w:pPr>
        <w:spacing w:line="480" w:lineRule="auto"/>
        <w:jc w:val="right"/>
        <w:rPr>
          <w:rFonts w:ascii="Times New Roman" w:eastAsia="宋体" w:hAnsi="Times New Roman" w:cs="Times New Roman"/>
          <w:sz w:val="24"/>
          <w:szCs w:val="24"/>
        </w:rPr>
      </w:pPr>
      <m:oMath>
        <m:r>
          <w:rPr>
            <w:rFonts w:ascii="Cambria Math" w:eastAsia="宋体" w:hAnsi="Cambria Math" w:cs="Times New Roman"/>
            <w:sz w:val="24"/>
            <w:szCs w:val="24"/>
          </w:rPr>
          <m:t>d=</m:t>
        </m:r>
        <m:f>
          <m:fPr>
            <m:ctrlPr>
              <w:rPr>
                <w:rFonts w:ascii="Cambria Math" w:eastAsia="宋体" w:hAnsi="Cambria Math" w:cs="Times New Roman"/>
                <w:i/>
                <w:sz w:val="24"/>
                <w:szCs w:val="24"/>
              </w:rPr>
            </m:ctrlPr>
          </m:fPr>
          <m:num>
            <m:r>
              <w:rPr>
                <w:rFonts w:ascii="Cambria Math" w:eastAsia="宋体" w:hAnsi="Cambria Math" w:cs="Times New Roman"/>
                <w:sz w:val="24"/>
                <w:szCs w:val="24"/>
              </w:rPr>
              <m:t>2π</m:t>
            </m:r>
          </m:num>
          <m:den>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q</m:t>
                </m:r>
              </m:e>
              <m:sub>
                <m:r>
                  <w:rPr>
                    <w:rFonts w:ascii="Cambria Math" w:eastAsia="宋体" w:hAnsi="Cambria Math" w:cs="Times New Roman"/>
                    <w:sz w:val="24"/>
                    <w:szCs w:val="24"/>
                  </w:rPr>
                  <m:t>m</m:t>
                </m:r>
              </m:sub>
            </m:sSub>
          </m:den>
        </m:f>
      </m:oMath>
      <w:r>
        <w:rPr>
          <w:rFonts w:ascii="Times New Roman" w:eastAsia="宋体" w:hAnsi="Times New Roman" w:cs="Times New Roman"/>
          <w:sz w:val="24"/>
          <w:szCs w:val="24"/>
        </w:rPr>
        <w:t xml:space="preserve">                           (eq. S1)</w:t>
      </w:r>
    </w:p>
    <w:p w14:paraId="5AB6EB13" w14:textId="77777777"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sz w:val="24"/>
          <w:szCs w:val="24"/>
        </w:rPr>
        <w:t xml:space="preserve">According to the </w:t>
      </w:r>
      <w:proofErr w:type="spellStart"/>
      <w:r>
        <w:rPr>
          <w:rFonts w:ascii="Times New Roman" w:eastAsia="宋体" w:hAnsi="Times New Roman" w:cs="Times New Roman"/>
          <w:sz w:val="24"/>
          <w:szCs w:val="24"/>
        </w:rPr>
        <w:t>Porod</w:t>
      </w:r>
      <w:proofErr w:type="spellEnd"/>
      <w:r>
        <w:rPr>
          <w:rFonts w:ascii="Times New Roman" w:eastAsia="宋体" w:hAnsi="Times New Roman" w:cs="Times New Roman"/>
          <w:sz w:val="24"/>
          <w:szCs w:val="24"/>
        </w:rPr>
        <w:t xml:space="preserve"> theory, when the system is composed of two phases with sharp interfaces, its scattering intensity in the case of an infinitely long slit collimation system satisfies:</w:t>
      </w:r>
    </w:p>
    <w:p w14:paraId="36652021" w14:textId="77777777" w:rsidR="00155631" w:rsidRDefault="00000000" w:rsidP="005E6F8D">
      <w:pPr>
        <w:spacing w:line="480" w:lineRule="auto"/>
        <w:jc w:val="right"/>
        <w:rPr>
          <w:rFonts w:ascii="Times New Roman" w:eastAsia="宋体" w:hAnsi="Times New Roman" w:cs="Times New Roman"/>
          <w:sz w:val="24"/>
          <w:szCs w:val="24"/>
        </w:rPr>
      </w:pPr>
      <m:oMath>
        <m:func>
          <m:funcPr>
            <m:ctrlPr>
              <w:rPr>
                <w:rFonts w:ascii="Cambria Math" w:eastAsia="宋体" w:hAnsi="Cambria Math" w:cs="Times New Roman"/>
                <w:i/>
                <w:sz w:val="24"/>
                <w:szCs w:val="24"/>
              </w:rPr>
            </m:ctrlPr>
          </m:funcPr>
          <m:fName>
            <m:limLow>
              <m:limLowPr>
                <m:ctrlPr>
                  <w:rPr>
                    <w:rFonts w:ascii="Cambria Math" w:eastAsia="宋体" w:hAnsi="Cambria Math" w:cs="Times New Roman"/>
                    <w:i/>
                    <w:sz w:val="24"/>
                    <w:szCs w:val="24"/>
                  </w:rPr>
                </m:ctrlPr>
              </m:limLowPr>
              <m:e>
                <m:r>
                  <m:rPr>
                    <m:sty m:val="p"/>
                  </m:rPr>
                  <w:rPr>
                    <w:rFonts w:ascii="Cambria Math" w:eastAsia="宋体" w:hAnsi="Cambria Math" w:cs="Times New Roman"/>
                    <w:sz w:val="24"/>
                    <w:szCs w:val="24"/>
                  </w:rPr>
                  <m:t>lim</m:t>
                </m:r>
              </m:e>
              <m:lim>
                <m:r>
                  <w:rPr>
                    <w:rFonts w:ascii="Cambria Math" w:eastAsia="宋体" w:hAnsi="Cambria Math" w:cs="Times New Roman"/>
                    <w:sz w:val="24"/>
                    <w:szCs w:val="24"/>
                  </w:rPr>
                  <m:t>n→∞</m:t>
                </m:r>
              </m:lim>
            </m:limLow>
          </m:fName>
          <m:e>
            <m:d>
              <m:dPr>
                <m:begChr m:val="["/>
                <m:endChr m:val="]"/>
                <m:ctrlPr>
                  <w:rPr>
                    <w:rFonts w:ascii="Cambria Math" w:eastAsia="宋体" w:hAnsi="Cambria Math" w:cs="Times New Roman"/>
                    <w:i/>
                    <w:sz w:val="24"/>
                    <w:szCs w:val="24"/>
                  </w:rPr>
                </m:ctrlPr>
              </m:dPr>
              <m:e>
                <m:sSup>
                  <m:sSupPr>
                    <m:ctrlPr>
                      <w:rPr>
                        <w:rFonts w:ascii="Cambria Math" w:eastAsia="宋体" w:hAnsi="Cambria Math" w:cs="Times New Roman"/>
                        <w:i/>
                        <w:sz w:val="24"/>
                        <w:szCs w:val="24"/>
                      </w:rPr>
                    </m:ctrlPr>
                  </m:sSupPr>
                  <m:e>
                    <m:r>
                      <w:rPr>
                        <w:rFonts w:ascii="Cambria Math" w:eastAsia="宋体" w:hAnsi="Cambria Math" w:cs="Times New Roman"/>
                        <w:sz w:val="24"/>
                        <w:szCs w:val="24"/>
                      </w:rPr>
                      <m:t>q</m:t>
                    </m:r>
                  </m:e>
                  <m:sup>
                    <m:r>
                      <w:rPr>
                        <w:rFonts w:ascii="Cambria Math" w:eastAsia="宋体" w:hAnsi="Cambria Math" w:cs="Times New Roman"/>
                        <w:sz w:val="24"/>
                        <w:szCs w:val="24"/>
                      </w:rPr>
                      <m:t>3</m:t>
                    </m:r>
                  </m:sup>
                </m:sSup>
                <m:r>
                  <w:rPr>
                    <w:rFonts w:ascii="Cambria Math" w:eastAsia="宋体" w:hAnsi="Cambria Math" w:cs="Times New Roman"/>
                    <w:sz w:val="24"/>
                    <w:szCs w:val="24"/>
                  </w:rPr>
                  <m:t>I</m:t>
                </m:r>
                <m:d>
                  <m:dPr>
                    <m:ctrlPr>
                      <w:rPr>
                        <w:rFonts w:ascii="Cambria Math" w:eastAsia="宋体" w:hAnsi="Cambria Math" w:cs="Times New Roman"/>
                        <w:i/>
                        <w:sz w:val="24"/>
                        <w:szCs w:val="24"/>
                      </w:rPr>
                    </m:ctrlPr>
                  </m:dPr>
                  <m:e>
                    <m:r>
                      <w:rPr>
                        <w:rFonts w:ascii="Cambria Math" w:eastAsia="宋体" w:hAnsi="Cambria Math" w:cs="Times New Roman"/>
                        <w:sz w:val="24"/>
                        <w:szCs w:val="24"/>
                      </w:rPr>
                      <m:t>q</m:t>
                    </m:r>
                  </m:e>
                </m:d>
              </m:e>
            </m:d>
          </m:e>
        </m:func>
        <m:r>
          <w:rPr>
            <w:rFonts w:ascii="Cambria Math" w:eastAsia="宋体" w:hAnsi="Cambria Math" w:cs="Times New Roman"/>
            <w:sz w:val="24"/>
            <w:szCs w:val="24"/>
          </w:rPr>
          <m:t>=</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K</m:t>
            </m:r>
          </m:e>
          <m:sub>
            <m:r>
              <w:rPr>
                <w:rFonts w:ascii="Cambria Math" w:eastAsia="宋体" w:hAnsi="Cambria Math" w:cs="Times New Roman"/>
                <w:sz w:val="24"/>
                <w:szCs w:val="24"/>
              </w:rPr>
              <m:t>p</m:t>
            </m:r>
          </m:sub>
        </m:sSub>
      </m:oMath>
      <w:r>
        <w:rPr>
          <w:rFonts w:ascii="Times New Roman" w:eastAsia="宋体" w:hAnsi="Times New Roman" w:cs="Times New Roman"/>
          <w:sz w:val="24"/>
          <w:szCs w:val="24"/>
        </w:rPr>
        <w:t xml:space="preserve">                     (eq. S2)</w:t>
      </w:r>
    </w:p>
    <w:p w14:paraId="608E5EDD"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lastRenderedPageBreak/>
        <w:t>In this eq. S2, K</w:t>
      </w:r>
      <w:r>
        <w:rPr>
          <w:rFonts w:ascii="Times New Roman" w:eastAsia="宋体" w:hAnsi="Times New Roman" w:cs="Times New Roman"/>
          <w:i/>
          <w:iCs/>
          <w:sz w:val="24"/>
          <w:szCs w:val="24"/>
        </w:rPr>
        <w:t xml:space="preserve">ₚ </w:t>
      </w:r>
      <w:r>
        <w:rPr>
          <w:rFonts w:ascii="Times New Roman" w:eastAsia="宋体" w:hAnsi="Times New Roman" w:cs="Times New Roman"/>
          <w:sz w:val="24"/>
          <w:szCs w:val="24"/>
        </w:rPr>
        <w:t xml:space="preserve">represents the </w:t>
      </w:r>
      <w:proofErr w:type="spellStart"/>
      <w:r>
        <w:rPr>
          <w:rFonts w:ascii="Times New Roman" w:eastAsia="宋体" w:hAnsi="Times New Roman" w:cs="Times New Roman"/>
          <w:sz w:val="24"/>
          <w:szCs w:val="24"/>
        </w:rPr>
        <w:t>Porod</w:t>
      </w:r>
      <w:proofErr w:type="spellEnd"/>
      <w:r>
        <w:rPr>
          <w:rFonts w:ascii="Times New Roman" w:eastAsia="宋体" w:hAnsi="Times New Roman" w:cs="Times New Roman"/>
          <w:sz w:val="24"/>
          <w:szCs w:val="24"/>
        </w:rPr>
        <w:t xml:space="preserve"> constant. To analyze the 1D SAXS data, plot I(q)q</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 xml:space="preserve"> as a function of q. As q approaches infinity, the direction and extent of deviation in the curve-specifically, the trend of the I(q)q</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 xml:space="preserve"> values are examined to assess the structural characteristics of the system.</w:t>
      </w:r>
    </w:p>
    <w:p w14:paraId="50DA2C0F"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Guinier theoretical formula describes the scattering intensity of M unrelated particle systems:</w:t>
      </w:r>
    </w:p>
    <w:p w14:paraId="5CD92B3E" w14:textId="77777777" w:rsidR="00155631" w:rsidRDefault="00000000" w:rsidP="0084773E">
      <w:pPr>
        <w:spacing w:line="480" w:lineRule="auto"/>
        <w:jc w:val="right"/>
        <w:rPr>
          <w:rFonts w:ascii="Times New Roman" w:eastAsia="宋体" w:hAnsi="Times New Roman" w:cs="Times New Roman"/>
          <w:sz w:val="24"/>
          <w:szCs w:val="24"/>
        </w:rPr>
      </w:pPr>
      <m:oMath>
        <m:r>
          <w:rPr>
            <w:rFonts w:ascii="Cambria Math" w:eastAsia="宋体" w:hAnsi="Cambria Math" w:cs="Times New Roman"/>
            <w:sz w:val="24"/>
            <w:szCs w:val="24"/>
          </w:rPr>
          <m:t>I</m:t>
        </m:r>
        <m:d>
          <m:dPr>
            <m:ctrlPr>
              <w:rPr>
                <w:rFonts w:ascii="Cambria Math" w:eastAsia="宋体" w:hAnsi="Cambria Math" w:cs="Times New Roman"/>
                <w:i/>
                <w:sz w:val="24"/>
                <w:szCs w:val="24"/>
              </w:rPr>
            </m:ctrlPr>
          </m:dPr>
          <m:e>
            <m:r>
              <w:rPr>
                <w:rFonts w:ascii="Cambria Math" w:eastAsia="宋体" w:hAnsi="Cambria Math" w:cs="Times New Roman"/>
                <w:sz w:val="24"/>
                <w:szCs w:val="24"/>
              </w:rPr>
              <m:t>q</m:t>
            </m:r>
          </m:e>
        </m:d>
        <m:r>
          <w:rPr>
            <w:rFonts w:ascii="Cambria Math" w:eastAsia="宋体" w:hAnsi="Cambria Math" w:cs="Times New Roman"/>
            <w:sz w:val="24"/>
            <w:szCs w:val="24"/>
          </w:rPr>
          <m:t>=</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I</m:t>
            </m:r>
          </m:e>
          <m:sub>
            <m:r>
              <w:rPr>
                <w:rFonts w:ascii="Cambria Math" w:eastAsia="宋体" w:hAnsi="Cambria Math" w:cs="Times New Roman"/>
                <w:sz w:val="24"/>
                <w:szCs w:val="24"/>
              </w:rPr>
              <m:t>e</m:t>
            </m:r>
          </m:sub>
        </m:sSub>
        <m:sSubSup>
          <m:sSubSupPr>
            <m:ctrlPr>
              <w:rPr>
                <w:rFonts w:ascii="Cambria Math" w:eastAsia="宋体" w:hAnsi="Cambria Math" w:cs="Times New Roman"/>
                <w:i/>
                <w:sz w:val="24"/>
                <w:szCs w:val="24"/>
              </w:rPr>
            </m:ctrlPr>
          </m:sSubSupPr>
          <m:e>
            <m:r>
              <w:rPr>
                <w:rFonts w:ascii="Cambria Math" w:eastAsia="宋体" w:hAnsi="Cambria Math" w:cs="Times New Roman"/>
                <w:sz w:val="24"/>
                <w:szCs w:val="24"/>
              </w:rPr>
              <m:t>M</m:t>
            </m:r>
          </m:e>
          <m:sub>
            <m:r>
              <w:rPr>
                <w:rFonts w:ascii="Cambria Math" w:eastAsia="宋体" w:hAnsi="Cambria Math" w:cs="Times New Roman"/>
                <w:sz w:val="24"/>
                <w:szCs w:val="24"/>
              </w:rPr>
              <m:t>n</m:t>
            </m:r>
          </m:sub>
          <m:sup>
            <m:r>
              <w:rPr>
                <w:rFonts w:ascii="Cambria Math" w:eastAsia="宋体" w:hAnsi="Cambria Math" w:cs="Times New Roman"/>
                <w:sz w:val="24"/>
                <w:szCs w:val="24"/>
              </w:rPr>
              <m:t>2</m:t>
            </m:r>
          </m:sup>
        </m:sSubSup>
        <m:sSup>
          <m:sSupPr>
            <m:ctrlPr>
              <w:rPr>
                <w:rFonts w:ascii="Cambria Math" w:eastAsia="宋体" w:hAnsi="Cambria Math" w:cs="Times New Roman"/>
                <w:i/>
                <w:sz w:val="24"/>
                <w:szCs w:val="24"/>
              </w:rPr>
            </m:ctrlPr>
          </m:sSupPr>
          <m:e>
            <m:r>
              <w:rPr>
                <w:rFonts w:ascii="Cambria Math" w:eastAsia="宋体" w:hAnsi="Cambria Math" w:cs="Times New Roman"/>
                <w:sz w:val="24"/>
                <w:szCs w:val="24"/>
              </w:rPr>
              <m:t>exp</m:t>
            </m:r>
          </m:e>
          <m:sup>
            <m:d>
              <m:dPr>
                <m:ctrlPr>
                  <w:rPr>
                    <w:rFonts w:ascii="Cambria Math" w:eastAsia="宋体" w:hAnsi="Cambria Math" w:cs="Times New Roman"/>
                    <w:i/>
                    <w:sz w:val="24"/>
                    <w:szCs w:val="24"/>
                  </w:rPr>
                </m:ctrlPr>
              </m:dPr>
              <m:e>
                <m:r>
                  <w:rPr>
                    <w:rFonts w:ascii="Cambria Math" w:eastAsia="宋体" w:hAnsi="Cambria Math" w:cs="Times New Roman"/>
                    <w:sz w:val="24"/>
                    <w:szCs w:val="24"/>
                  </w:rPr>
                  <m:t xml:space="preserve">- </m:t>
                </m:r>
                <m:f>
                  <m:fPr>
                    <m:ctrlPr>
                      <w:rPr>
                        <w:rFonts w:ascii="Cambria Math" w:eastAsia="宋体" w:hAnsi="Cambria Math" w:cs="Times New Roman"/>
                        <w:i/>
                        <w:sz w:val="24"/>
                        <w:szCs w:val="24"/>
                      </w:rPr>
                    </m:ctrlPr>
                  </m:fPr>
                  <m:num>
                    <m:sSup>
                      <m:sSupPr>
                        <m:ctrlPr>
                          <w:rPr>
                            <w:rFonts w:ascii="Cambria Math" w:eastAsia="宋体" w:hAnsi="Cambria Math" w:cs="Times New Roman"/>
                            <w:i/>
                            <w:sz w:val="24"/>
                            <w:szCs w:val="24"/>
                          </w:rPr>
                        </m:ctrlPr>
                      </m:sSupPr>
                      <m:e>
                        <m:r>
                          <w:rPr>
                            <w:rFonts w:ascii="Cambria Math" w:eastAsia="宋体" w:hAnsi="Cambria Math" w:cs="Times New Roman"/>
                            <w:sz w:val="24"/>
                            <w:szCs w:val="24"/>
                          </w:rPr>
                          <m:t>q</m:t>
                        </m:r>
                      </m:e>
                      <m:sup>
                        <m:r>
                          <w:rPr>
                            <w:rFonts w:ascii="Cambria Math" w:eastAsia="宋体" w:hAnsi="Cambria Math" w:cs="Times New Roman"/>
                            <w:sz w:val="24"/>
                            <w:szCs w:val="24"/>
                          </w:rPr>
                          <m:t>2</m:t>
                        </m:r>
                      </m:sup>
                    </m:sSup>
                    <m:sSubSup>
                      <m:sSubSupPr>
                        <m:ctrlPr>
                          <w:rPr>
                            <w:rFonts w:ascii="Cambria Math" w:eastAsia="宋体" w:hAnsi="Cambria Math" w:cs="Times New Roman"/>
                            <w:i/>
                            <w:sz w:val="24"/>
                            <w:szCs w:val="24"/>
                          </w:rPr>
                        </m:ctrlPr>
                      </m:sSubSupPr>
                      <m:e>
                        <m:r>
                          <w:rPr>
                            <w:rFonts w:ascii="Cambria Math" w:eastAsia="宋体" w:hAnsi="Cambria Math" w:cs="Times New Roman"/>
                            <w:sz w:val="24"/>
                            <w:szCs w:val="24"/>
                          </w:rPr>
                          <m:t>R</m:t>
                        </m:r>
                      </m:e>
                      <m:sub>
                        <m:r>
                          <w:rPr>
                            <w:rFonts w:ascii="Cambria Math" w:eastAsia="宋体" w:hAnsi="Cambria Math" w:cs="Times New Roman"/>
                            <w:sz w:val="24"/>
                            <w:szCs w:val="24"/>
                          </w:rPr>
                          <m:t>g</m:t>
                        </m:r>
                      </m:sub>
                      <m:sup>
                        <m:r>
                          <w:rPr>
                            <w:rFonts w:ascii="Cambria Math" w:eastAsia="宋体" w:hAnsi="Cambria Math" w:cs="Times New Roman"/>
                            <w:sz w:val="24"/>
                            <w:szCs w:val="24"/>
                          </w:rPr>
                          <m:t>2</m:t>
                        </m:r>
                      </m:sup>
                    </m:sSubSup>
                  </m:num>
                  <m:den>
                    <m:r>
                      <w:rPr>
                        <w:rFonts w:ascii="Cambria Math" w:eastAsia="宋体" w:hAnsi="Cambria Math" w:cs="Times New Roman"/>
                        <w:sz w:val="24"/>
                        <w:szCs w:val="24"/>
                      </w:rPr>
                      <m:t>3</m:t>
                    </m:r>
                  </m:den>
                </m:f>
              </m:e>
            </m:d>
          </m:sup>
        </m:sSup>
      </m:oMath>
      <w:r>
        <w:rPr>
          <w:rFonts w:ascii="Times New Roman" w:eastAsia="宋体" w:hAnsi="Times New Roman" w:cs="Times New Roman"/>
          <w:sz w:val="24"/>
          <w:szCs w:val="24"/>
        </w:rPr>
        <w:t xml:space="preserve">                   (eq. S3)</w:t>
      </w:r>
    </w:p>
    <w:p w14:paraId="125CC3AA"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In the formula, </w:t>
      </w:r>
      <w:proofErr w:type="spellStart"/>
      <w:r>
        <w:rPr>
          <w:rFonts w:ascii="Times New Roman" w:eastAsia="宋体" w:hAnsi="Times New Roman" w:cs="Times New Roman"/>
          <w:sz w:val="24"/>
          <w:szCs w:val="24"/>
        </w:rPr>
        <w:t>Rg</w:t>
      </w:r>
      <w:proofErr w:type="spellEnd"/>
      <w:r>
        <w:rPr>
          <w:rFonts w:ascii="Times New Roman" w:eastAsia="宋体" w:hAnsi="Times New Roman" w:cs="Times New Roman"/>
          <w:sz w:val="24"/>
          <w:szCs w:val="24"/>
        </w:rPr>
        <w:t xml:space="preserve"> represents the radius of rotation, that is, the root means square distance between each electron in the particle and its center of mass. Under different ranges, ln(I(q)) was plotted against q</w:t>
      </w:r>
      <w:r>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 xml:space="preserve">, and linear fitting was performed. The mean square radius of rotation </w:t>
      </w:r>
      <w:proofErr w:type="spellStart"/>
      <w:r>
        <w:rPr>
          <w:rFonts w:ascii="Times New Roman" w:eastAsia="宋体" w:hAnsi="Times New Roman" w:cs="Times New Roman"/>
          <w:sz w:val="24"/>
          <w:szCs w:val="24"/>
        </w:rPr>
        <w:t>Rg</w:t>
      </w:r>
      <w:proofErr w:type="spellEnd"/>
      <w:r>
        <w:rPr>
          <w:rFonts w:ascii="Times New Roman" w:eastAsia="宋体" w:hAnsi="Times New Roman" w:cs="Times New Roman"/>
          <w:sz w:val="24"/>
          <w:szCs w:val="24"/>
        </w:rPr>
        <w:t xml:space="preserve"> value of the molecular chain was calculated from the fitting slope.</w:t>
      </w:r>
    </w:p>
    <w:p w14:paraId="0BCB17F1" w14:textId="77777777" w:rsidR="00155631" w:rsidRDefault="00155631" w:rsidP="005E6F8D">
      <w:pPr>
        <w:spacing w:line="480" w:lineRule="auto"/>
        <w:rPr>
          <w:rFonts w:ascii="Times New Roman" w:eastAsia="宋体" w:hAnsi="Times New Roman" w:cs="Times New Roman"/>
          <w:sz w:val="24"/>
          <w:szCs w:val="24"/>
        </w:rPr>
      </w:pPr>
    </w:p>
    <w:p w14:paraId="09624176" w14:textId="77777777" w:rsidR="00155631" w:rsidRDefault="00000000" w:rsidP="005E6F8D">
      <w:pPr>
        <w:spacing w:line="480" w:lineRule="auto"/>
        <w:ind w:left="482" w:hangingChars="200" w:hanging="482"/>
        <w:rPr>
          <w:rFonts w:ascii="Times New Roman" w:eastAsia="宋体" w:hAnsi="Times New Roman" w:cs="Times New Roman"/>
          <w:b/>
          <w:bCs/>
          <w:sz w:val="24"/>
          <w:szCs w:val="24"/>
        </w:rPr>
      </w:pPr>
      <w:r>
        <w:rPr>
          <w:rFonts w:ascii="Times New Roman" w:eastAsia="宋体" w:hAnsi="Times New Roman" w:cs="Times New Roman"/>
          <w:b/>
          <w:bCs/>
          <w:sz w:val="24"/>
          <w:szCs w:val="24"/>
        </w:rPr>
        <w:t xml:space="preserve">Gel Permeation Chromatography (GPC) </w:t>
      </w:r>
    </w:p>
    <w:p w14:paraId="1975F53B"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molecular weight and molecular weight distribution were determined using a gel permeation chromatograph (Agilent GPC 50, USA), with water employed as the mobile phase. The PSM gel was immersed in deionized water and subjected to continuous sealing and 80 °C stirring for 2 hours to yield a homogeneous PSM polymer solution at a concentration of 5 mg/</w:t>
      </w:r>
      <w:proofErr w:type="spellStart"/>
      <w:r>
        <w:rPr>
          <w:rFonts w:ascii="Times New Roman" w:eastAsia="宋体" w:hAnsi="Times New Roman" w:cs="Times New Roman"/>
          <w:sz w:val="24"/>
          <w:szCs w:val="24"/>
        </w:rPr>
        <w:t>mL.</w:t>
      </w:r>
      <w:proofErr w:type="spellEnd"/>
      <w:r>
        <w:rPr>
          <w:rFonts w:ascii="Times New Roman" w:eastAsia="宋体" w:hAnsi="Times New Roman" w:cs="Times New Roman"/>
          <w:sz w:val="24"/>
          <w:szCs w:val="24"/>
        </w:rPr>
        <w:t xml:space="preserve"> The resulting solution was filtered through a 0.22 </w:t>
      </w:r>
      <w:proofErr w:type="spellStart"/>
      <w:r>
        <w:rPr>
          <w:rFonts w:ascii="Times New Roman" w:eastAsia="宋体" w:hAnsi="Times New Roman" w:cs="Times New Roman"/>
          <w:sz w:val="24"/>
          <w:szCs w:val="24"/>
        </w:rPr>
        <w:t>μm</w:t>
      </w:r>
      <w:proofErr w:type="spellEnd"/>
      <w:r>
        <w:rPr>
          <w:rFonts w:ascii="Times New Roman" w:eastAsia="宋体" w:hAnsi="Times New Roman" w:cs="Times New Roman"/>
          <w:sz w:val="24"/>
          <w:szCs w:val="24"/>
        </w:rPr>
        <w:t xml:space="preserve"> aqueous-phase membrane filter and used as the test sample.</w:t>
      </w:r>
    </w:p>
    <w:p w14:paraId="5D4D9619" w14:textId="77777777" w:rsidR="00155631" w:rsidRDefault="00155631" w:rsidP="005E6F8D">
      <w:pPr>
        <w:spacing w:line="480" w:lineRule="auto"/>
        <w:rPr>
          <w:rFonts w:ascii="Times New Roman" w:eastAsia="宋体" w:hAnsi="Times New Roman" w:cs="Times New Roman"/>
          <w:sz w:val="24"/>
          <w:szCs w:val="24"/>
        </w:rPr>
      </w:pPr>
    </w:p>
    <w:p w14:paraId="3AA065B6" w14:textId="77777777" w:rsidR="00B8208C" w:rsidRDefault="00B8208C" w:rsidP="005E6F8D">
      <w:pPr>
        <w:spacing w:line="480" w:lineRule="auto"/>
        <w:rPr>
          <w:rFonts w:ascii="Times New Roman" w:eastAsia="宋体" w:hAnsi="Times New Roman" w:cs="Times New Roman" w:hint="eastAsia"/>
          <w:sz w:val="24"/>
          <w:szCs w:val="24"/>
        </w:rPr>
      </w:pPr>
    </w:p>
    <w:p w14:paraId="048429BB" w14:textId="77777777" w:rsidR="00155631" w:rsidRDefault="00000000" w:rsidP="005E6F8D">
      <w:pPr>
        <w:spacing w:line="480" w:lineRule="auto"/>
        <w:ind w:left="482" w:hangingChars="200" w:hanging="482"/>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 xml:space="preserve">Isothermal Titration Calorimetry (ITC) </w:t>
      </w:r>
    </w:p>
    <w:p w14:paraId="4F00B11A" w14:textId="2F4B2C73"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The interactions between samples and their associated thermodynamic processes were analyzed using an isothermal titration calorimeter (Malvern </w:t>
      </w:r>
      <w:proofErr w:type="spellStart"/>
      <w:r>
        <w:rPr>
          <w:rFonts w:ascii="Times New Roman" w:eastAsia="宋体" w:hAnsi="Times New Roman" w:cs="Times New Roman"/>
          <w:sz w:val="24"/>
          <w:szCs w:val="24"/>
        </w:rPr>
        <w:t>MicroCal</w:t>
      </w:r>
      <w:proofErr w:type="spellEnd"/>
      <w:r>
        <w:rPr>
          <w:rFonts w:ascii="Times New Roman" w:eastAsia="宋体" w:hAnsi="Times New Roman" w:cs="Times New Roman"/>
          <w:sz w:val="24"/>
          <w:szCs w:val="24"/>
        </w:rPr>
        <w:t xml:space="preserve"> VP-ITC, UK). The experimental temperature was maintained at 30 °C, with deionized water used as the background solution. The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gel was immersed in deionized water and subjected to continuous sealing and 80 °C stirring for 2 hours to obtain PSM polymer solutions at concentrations of 1.6 mM and 32 </w:t>
      </w:r>
      <w:proofErr w:type="spellStart"/>
      <w:r>
        <w:rPr>
          <w:rFonts w:ascii="Times New Roman" w:eastAsia="宋体" w:hAnsi="Times New Roman" w:cs="Times New Roman"/>
          <w:sz w:val="24"/>
          <w:szCs w:val="24"/>
        </w:rPr>
        <w:t>mM.</w:t>
      </w:r>
      <w:proofErr w:type="spellEnd"/>
      <w:r>
        <w:rPr>
          <w:rFonts w:ascii="Times New Roman" w:eastAsia="宋体" w:hAnsi="Times New Roman" w:cs="Times New Roman"/>
          <w:sz w:val="24"/>
          <w:szCs w:val="24"/>
        </w:rPr>
        <w:t xml:space="preserve"> These solutions served as the titrant and the sample component, respectively. Each injection volume was 12 </w:t>
      </w:r>
      <w:proofErr w:type="spellStart"/>
      <w:r>
        <w:rPr>
          <w:rFonts w:ascii="Times New Roman" w:eastAsia="宋体" w:hAnsi="Times New Roman" w:cs="Times New Roman"/>
          <w:sz w:val="24"/>
          <w:szCs w:val="24"/>
        </w:rPr>
        <w:t>μL</w:t>
      </w:r>
      <w:proofErr w:type="spellEnd"/>
      <w:r>
        <w:rPr>
          <w:rFonts w:ascii="Times New Roman" w:eastAsia="宋体" w:hAnsi="Times New Roman" w:cs="Times New Roman"/>
          <w:sz w:val="24"/>
          <w:szCs w:val="24"/>
        </w:rPr>
        <w:t>, with a total of 20 injections performed at intervals of 240 seconds. The stirring speed during the measurement was set to 400 revolutions per minute (rpm).</w:t>
      </w:r>
    </w:p>
    <w:p w14:paraId="00604E92" w14:textId="77777777" w:rsidR="003C0364" w:rsidRDefault="003C0364" w:rsidP="005E6F8D">
      <w:pPr>
        <w:spacing w:line="480" w:lineRule="auto"/>
        <w:rPr>
          <w:rFonts w:ascii="Times New Roman" w:eastAsia="宋体" w:hAnsi="Times New Roman" w:cs="Times New Roman"/>
          <w:sz w:val="24"/>
          <w:szCs w:val="24"/>
        </w:rPr>
      </w:pPr>
    </w:p>
    <w:p w14:paraId="689722FC"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Morphological Characterization</w:t>
      </w:r>
    </w:p>
    <w:p w14:paraId="09261702"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Atomic Force Microscopy (AFM)</w:t>
      </w:r>
    </w:p>
    <w:p w14:paraId="154D6C10"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The mica sheet was attached to an iron sheet using double-sided adhesive tape and subsequently peeled off with frosted tape to ensure a clean and smooth surface. Next, the test sample (a diluted aqueous solution of PSM at 5 mg/mL) was ultrasonicated to achieve uniform dispersion. A volume of 10 </w:t>
      </w:r>
      <w:proofErr w:type="spellStart"/>
      <w:r>
        <w:rPr>
          <w:rFonts w:ascii="Times New Roman" w:eastAsia="宋体" w:hAnsi="Times New Roman" w:cs="Times New Roman"/>
          <w:sz w:val="24"/>
          <w:szCs w:val="24"/>
        </w:rPr>
        <w:t>μL</w:t>
      </w:r>
      <w:proofErr w:type="spellEnd"/>
      <w:r>
        <w:rPr>
          <w:rFonts w:ascii="Times New Roman" w:eastAsia="宋体" w:hAnsi="Times New Roman" w:cs="Times New Roman"/>
          <w:sz w:val="24"/>
          <w:szCs w:val="24"/>
        </w:rPr>
        <w:t xml:space="preserve"> of the dispersed solution was then pipetted onto the mica surface. After drying at 40 °C, the sample was imaged using an atomic force microscope (Bruker Dimension Icon AFM, Germany), and the resulting AFM images were recorded.</w:t>
      </w:r>
    </w:p>
    <w:p w14:paraId="56376E77" w14:textId="77777777" w:rsidR="00155631" w:rsidRDefault="00155631" w:rsidP="005E6F8D">
      <w:pPr>
        <w:spacing w:line="480" w:lineRule="auto"/>
        <w:rPr>
          <w:rFonts w:ascii="Times New Roman" w:eastAsia="宋体" w:hAnsi="Times New Roman" w:cs="Times New Roman"/>
          <w:sz w:val="24"/>
          <w:szCs w:val="24"/>
        </w:rPr>
      </w:pPr>
    </w:p>
    <w:p w14:paraId="4FE49A0E" w14:textId="77777777" w:rsidR="005E6F8D" w:rsidRDefault="005E6F8D" w:rsidP="005E6F8D">
      <w:pPr>
        <w:spacing w:line="480" w:lineRule="auto"/>
        <w:rPr>
          <w:rFonts w:ascii="Times New Roman" w:eastAsia="宋体" w:hAnsi="Times New Roman" w:cs="Times New Roman"/>
          <w:sz w:val="24"/>
          <w:szCs w:val="24"/>
        </w:rPr>
      </w:pPr>
    </w:p>
    <w:p w14:paraId="27959E1A" w14:textId="77777777" w:rsidR="00155631" w:rsidRDefault="00000000" w:rsidP="005E6F8D">
      <w:pPr>
        <w:spacing w:line="480" w:lineRule="auto"/>
        <w:ind w:left="482" w:hangingChars="200" w:hanging="482"/>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 xml:space="preserve">Scanning Electron Microscopy (SEM) </w:t>
      </w:r>
    </w:p>
    <w:p w14:paraId="31DF213D"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structural morphology of the hydrogel was examined using a desktop scanning electron microscope (Phenom Pro G6, USA). The samples consisted of various types of hydrogels with dimensions of 5 × 5 × 1 mm. Prior to observation, the hydrogels were subjected to freeze-drying and platinum sputtering, and subsequently mounted onto the sample stage using conductive tape. The tensile structural morphology was selected from the central region of the stretched hydrogel. Following fixation, the same preparation and observation procedures were applied.</w:t>
      </w:r>
    </w:p>
    <w:p w14:paraId="580AFA2C" w14:textId="77777777" w:rsidR="00155631" w:rsidRDefault="00155631" w:rsidP="005E6F8D">
      <w:pPr>
        <w:spacing w:line="480" w:lineRule="auto"/>
        <w:rPr>
          <w:rFonts w:ascii="Times New Roman" w:eastAsia="宋体" w:hAnsi="Times New Roman" w:cs="Times New Roman"/>
          <w:sz w:val="24"/>
          <w:szCs w:val="24"/>
        </w:rPr>
      </w:pPr>
    </w:p>
    <w:p w14:paraId="382C6218" w14:textId="77777777" w:rsidR="00155631" w:rsidRDefault="00000000" w:rsidP="005E6F8D">
      <w:pPr>
        <w:spacing w:line="480" w:lineRule="auto"/>
        <w:ind w:left="482" w:hangingChars="200" w:hanging="482"/>
        <w:rPr>
          <w:rFonts w:ascii="Times New Roman" w:eastAsia="宋体" w:hAnsi="Times New Roman" w:cs="Times New Roman"/>
          <w:b/>
          <w:bCs/>
          <w:sz w:val="24"/>
          <w:szCs w:val="24"/>
        </w:rPr>
      </w:pPr>
      <w:r>
        <w:rPr>
          <w:rFonts w:ascii="Times New Roman" w:eastAsia="宋体" w:hAnsi="Times New Roman" w:cs="Times New Roman"/>
          <w:b/>
          <w:bCs/>
          <w:sz w:val="24"/>
          <w:szCs w:val="24"/>
        </w:rPr>
        <w:t xml:space="preserve">Polymer Content Test </w:t>
      </w:r>
    </w:p>
    <w:p w14:paraId="19BC1314"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polymer content, including varying concentrations of PSM, was determined by analyzing changes in the dimensions and weight of the hydrogels during swelling and drying processes. Initially, the size and weight of each gel in its in-situ prepared state were recorded. Subsequently, the samples were placed in a forced convection drying oven at 40 °C until complete dehydration was achieved. The dimensions and weight of the gels were then measured in the anhydrous state. Thereafter, the dried gels were immersed in an excess volume of deionized water, and their size and weight were recorded at specified time intervals (0.1, 0.2, 0.5, 1, 2, 4, 6, 24, 48, 100, and 130 hours) until swelling equilibrium was reached. The polymer content and swelling ratio of PSM were calculated using the respective formulas.</w:t>
      </w:r>
    </w:p>
    <w:p w14:paraId="5F34B05E" w14:textId="77777777" w:rsidR="00155631" w:rsidRDefault="00000000" w:rsidP="0084773E">
      <w:pPr>
        <w:spacing w:line="480" w:lineRule="auto"/>
        <w:jc w:val="right"/>
        <w:rPr>
          <w:rFonts w:ascii="Times New Roman" w:eastAsia="宋体" w:hAnsi="Times New Roman" w:cs="Times New Roman"/>
          <w:sz w:val="24"/>
          <w:szCs w:val="24"/>
        </w:rPr>
      </w:pPr>
      <m:oMath>
        <m:r>
          <m:rPr>
            <m:sty m:val="p"/>
          </m:rPr>
          <w:rPr>
            <w:rFonts w:ascii="Cambria Math" w:hAnsi="Cambria Math" w:cs="Times New Roman"/>
            <w:sz w:val="24"/>
            <w:szCs w:val="24"/>
          </w:rPr>
          <m:t>PC %=</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c</m:t>
                </m:r>
              </m:sub>
            </m:sSub>
          </m:num>
          <m:den>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h</m:t>
                </m:r>
              </m:sub>
            </m:sSub>
          </m:den>
        </m:f>
        <m:r>
          <w:rPr>
            <w:rFonts w:ascii="Cambria Math" w:hAnsi="Cambria Math" w:cs="Times New Roman"/>
            <w:sz w:val="24"/>
            <w:szCs w:val="24"/>
          </w:rPr>
          <m:t>×100%</m:t>
        </m:r>
        <m:r>
          <m:rPr>
            <m:sty m:val="p"/>
          </m:rPr>
          <w:rPr>
            <w:rFonts w:ascii="Cambria Math" w:hAnsi="Cambria Math" w:cs="Times New Roman"/>
            <w:sz w:val="24"/>
            <w:szCs w:val="24"/>
          </w:rPr>
          <m:t>=</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h</m:t>
                </m:r>
              </m:sub>
            </m:sSub>
            <m:r>
              <m:rPr>
                <m:sty m:val="p"/>
              </m:rPr>
              <w:rPr>
                <w:rFonts w:ascii="Cambria Math" w:hAnsi="Cambria Math" w:cs="Times New Roman"/>
                <w:sz w:val="24"/>
                <w:szCs w:val="24"/>
              </w:rPr>
              <m:t xml:space="preserve"> - </m:t>
            </m:r>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w</m:t>
                </m:r>
              </m:sub>
            </m:sSub>
          </m:num>
          <m:den>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h</m:t>
                </m:r>
              </m:sub>
            </m:sSub>
          </m:den>
        </m:f>
        <m:r>
          <w:rPr>
            <w:rFonts w:ascii="Cambria Math" w:hAnsi="Cambria Math" w:cs="Times New Roman"/>
            <w:sz w:val="24"/>
            <w:szCs w:val="24"/>
          </w:rPr>
          <m:t>×100%</m:t>
        </m:r>
      </m:oMath>
      <w:r>
        <w:rPr>
          <w:rFonts w:ascii="Times New Roman" w:eastAsia="宋体" w:hAnsi="Times New Roman" w:cs="Times New Roman"/>
          <w:sz w:val="24"/>
          <w:szCs w:val="24"/>
        </w:rPr>
        <w:t xml:space="preserve">              (eq. S4)</w:t>
      </w:r>
    </w:p>
    <w:p w14:paraId="035EF8A5"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In eq. S4, PC represents the polymer content, </w:t>
      </w:r>
      <w:proofErr w:type="spellStart"/>
      <w:r>
        <w:rPr>
          <w:rFonts w:ascii="Times New Roman" w:eastAsia="宋体" w:hAnsi="Times New Roman" w:cs="Times New Roman"/>
          <w:sz w:val="24"/>
          <w:szCs w:val="24"/>
        </w:rPr>
        <w:t>V</w:t>
      </w:r>
      <w:r>
        <w:rPr>
          <w:rFonts w:ascii="Times New Roman" w:eastAsia="宋体" w:hAnsi="Times New Roman" w:cs="Times New Roman"/>
          <w:i/>
          <w:iCs/>
          <w:sz w:val="24"/>
          <w:szCs w:val="24"/>
        </w:rPr>
        <w:t>c</w:t>
      </w:r>
      <w:proofErr w:type="spellEnd"/>
      <w:r>
        <w:rPr>
          <w:rFonts w:ascii="Times New Roman" w:eastAsia="宋体" w:hAnsi="Times New Roman" w:cs="Times New Roman"/>
          <w:sz w:val="24"/>
          <w:szCs w:val="24"/>
        </w:rPr>
        <w:t xml:space="preserve"> represents the polymer volume, </w:t>
      </w:r>
      <w:proofErr w:type="spellStart"/>
      <w:r>
        <w:rPr>
          <w:rFonts w:ascii="Times New Roman" w:eastAsia="宋体" w:hAnsi="Times New Roman" w:cs="Times New Roman"/>
          <w:sz w:val="24"/>
          <w:szCs w:val="24"/>
        </w:rPr>
        <w:lastRenderedPageBreak/>
        <w:t>Vh</w:t>
      </w:r>
      <w:proofErr w:type="spellEnd"/>
      <w:r>
        <w:rPr>
          <w:rFonts w:ascii="Times New Roman" w:eastAsia="宋体" w:hAnsi="Times New Roman" w:cs="Times New Roman"/>
          <w:sz w:val="24"/>
          <w:szCs w:val="24"/>
        </w:rPr>
        <w:t xml:space="preserve"> represents the total volume, and </w:t>
      </w:r>
      <w:proofErr w:type="spellStart"/>
      <w:r>
        <w:rPr>
          <w:rFonts w:ascii="Times New Roman" w:eastAsia="宋体" w:hAnsi="Times New Roman" w:cs="Times New Roman"/>
          <w:sz w:val="24"/>
          <w:szCs w:val="24"/>
        </w:rPr>
        <w:t>V</w:t>
      </w:r>
      <w:r>
        <w:rPr>
          <w:rFonts w:ascii="Times New Roman" w:eastAsia="宋体" w:hAnsi="Times New Roman" w:cs="Times New Roman"/>
          <w:i/>
          <w:iCs/>
          <w:sz w:val="24"/>
          <w:szCs w:val="24"/>
        </w:rPr>
        <w:t>w</w:t>
      </w:r>
      <w:proofErr w:type="spellEnd"/>
      <w:r>
        <w:rPr>
          <w:rFonts w:ascii="Times New Roman" w:eastAsia="宋体" w:hAnsi="Times New Roman" w:cs="Times New Roman"/>
          <w:sz w:val="24"/>
          <w:szCs w:val="24"/>
        </w:rPr>
        <w:t xml:space="preserve"> represents the volume of water.</w:t>
      </w:r>
    </w:p>
    <w:p w14:paraId="6D757408" w14:textId="77777777" w:rsidR="00155631" w:rsidRDefault="00000000" w:rsidP="0084773E">
      <w:pPr>
        <w:spacing w:line="480" w:lineRule="auto"/>
        <w:jc w:val="right"/>
        <w:rPr>
          <w:rFonts w:ascii="Times New Roman" w:eastAsia="宋体" w:hAnsi="Times New Roman" w:cs="Times New Roman"/>
          <w:sz w:val="24"/>
          <w:szCs w:val="24"/>
        </w:rPr>
      </w:pPr>
      <m:oMath>
        <m:r>
          <m:rPr>
            <m:sty m:val="p"/>
          </m:rPr>
          <w:rPr>
            <w:rFonts w:ascii="Cambria Math" w:hAnsi="Cambria Math" w:cs="Times New Roman"/>
            <w:sz w:val="24"/>
            <w:szCs w:val="24"/>
          </w:rPr>
          <m:t>SR=</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W</m:t>
                </m:r>
              </m:e>
              <m:sub>
                <m:r>
                  <w:rPr>
                    <w:rFonts w:ascii="Cambria Math" w:hAnsi="Cambria Math" w:cs="Times New Roman"/>
                    <w:sz w:val="24"/>
                    <w:szCs w:val="24"/>
                  </w:rPr>
                  <m:t>t</m:t>
                </m:r>
              </m:sub>
            </m:sSub>
            <m:r>
              <m:rPr>
                <m:sty m:val="p"/>
              </m:rPr>
              <w:rPr>
                <w:rFonts w:ascii="Cambria Math" w:hAnsi="Cambria Math" w:cs="Times New Roman"/>
                <w:sz w:val="24"/>
                <w:szCs w:val="24"/>
              </w:rPr>
              <m:t xml:space="preserve"> - </m:t>
            </m:r>
            <m:sSub>
              <m:sSubPr>
                <m:ctrlPr>
                  <w:rPr>
                    <w:rFonts w:ascii="Cambria Math" w:hAnsi="Cambria Math" w:cs="Times New Roman"/>
                    <w:sz w:val="24"/>
                    <w:szCs w:val="24"/>
                  </w:rPr>
                </m:ctrlPr>
              </m:sSubPr>
              <m:e>
                <m:r>
                  <w:rPr>
                    <w:rFonts w:ascii="Cambria Math" w:hAnsi="Cambria Math" w:cs="Times New Roman"/>
                    <w:sz w:val="24"/>
                    <w:szCs w:val="24"/>
                  </w:rPr>
                  <m:t>W</m:t>
                </m:r>
              </m:e>
              <m:sub>
                <m:r>
                  <w:rPr>
                    <w:rFonts w:ascii="Cambria Math" w:hAnsi="Cambria Math" w:cs="Times New Roman"/>
                    <w:sz w:val="24"/>
                    <w:szCs w:val="24"/>
                  </w:rPr>
                  <m:t>d</m:t>
                </m:r>
              </m:sub>
            </m:sSub>
          </m:num>
          <m:den>
            <m:sSub>
              <m:sSubPr>
                <m:ctrlPr>
                  <w:rPr>
                    <w:rFonts w:ascii="Cambria Math" w:hAnsi="Cambria Math" w:cs="Times New Roman"/>
                    <w:sz w:val="24"/>
                    <w:szCs w:val="24"/>
                  </w:rPr>
                </m:ctrlPr>
              </m:sSubPr>
              <m:e>
                <m:r>
                  <w:rPr>
                    <w:rFonts w:ascii="Cambria Math" w:hAnsi="Cambria Math" w:cs="Times New Roman"/>
                    <w:sz w:val="24"/>
                    <w:szCs w:val="24"/>
                  </w:rPr>
                  <m:t>W</m:t>
                </m:r>
              </m:e>
              <m:sub>
                <m:r>
                  <w:rPr>
                    <w:rFonts w:ascii="Cambria Math" w:hAnsi="Cambria Math" w:cs="Times New Roman"/>
                    <w:sz w:val="24"/>
                    <w:szCs w:val="24"/>
                  </w:rPr>
                  <m:t>d</m:t>
                </m:r>
              </m:sub>
            </m:sSub>
          </m:den>
        </m:f>
        <m:r>
          <w:rPr>
            <w:rFonts w:ascii="Cambria Math" w:hAnsi="Cambria Math" w:cs="Times New Roman"/>
            <w:sz w:val="24"/>
            <w:szCs w:val="24"/>
          </w:rPr>
          <m:t>×100%</m:t>
        </m:r>
      </m:oMath>
      <w:r>
        <w:rPr>
          <w:rFonts w:ascii="Times New Roman" w:eastAsia="宋体" w:hAnsi="Times New Roman" w:cs="Times New Roman"/>
          <w:sz w:val="24"/>
          <w:szCs w:val="24"/>
        </w:rPr>
        <w:t xml:space="preserve">                     (eq. S5)</w:t>
      </w:r>
    </w:p>
    <w:p w14:paraId="4DF1498C"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In eq. S5, SR is the swelling degree, </w:t>
      </w:r>
      <w:proofErr w:type="spellStart"/>
      <w:r>
        <w:rPr>
          <w:rFonts w:ascii="Times New Roman" w:eastAsia="宋体" w:hAnsi="Times New Roman" w:cs="Times New Roman"/>
          <w:sz w:val="24"/>
          <w:szCs w:val="24"/>
        </w:rPr>
        <w:t>Wt</w:t>
      </w:r>
      <w:proofErr w:type="spellEnd"/>
      <w:r>
        <w:rPr>
          <w:rFonts w:ascii="Times New Roman" w:eastAsia="宋体" w:hAnsi="Times New Roman" w:cs="Times New Roman"/>
          <w:sz w:val="24"/>
          <w:szCs w:val="24"/>
        </w:rPr>
        <w:t xml:space="preserve"> is the gel weight at time t, and Wd is the dry gel weight.</w:t>
      </w:r>
    </w:p>
    <w:p w14:paraId="3C9F5667" w14:textId="77777777" w:rsidR="00155631" w:rsidRDefault="00155631" w:rsidP="005E6F8D">
      <w:pPr>
        <w:spacing w:line="480" w:lineRule="auto"/>
        <w:rPr>
          <w:rFonts w:ascii="Times New Roman" w:eastAsia="宋体" w:hAnsi="Times New Roman" w:cs="Times New Roman"/>
          <w:sz w:val="24"/>
          <w:szCs w:val="24"/>
        </w:rPr>
      </w:pPr>
    </w:p>
    <w:p w14:paraId="47C27F64"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Molecular Dynamics Simulation</w:t>
      </w:r>
      <w:r>
        <w:rPr>
          <w:rFonts w:ascii="Times New Roman" w:eastAsia="宋体" w:hAnsi="Times New Roman" w:cs="Times New Roman"/>
          <w:b/>
          <w:bCs/>
          <w:sz w:val="24"/>
          <w:szCs w:val="24"/>
        </w:rPr>
        <w:t>（</w:t>
      </w:r>
      <w:r>
        <w:rPr>
          <w:rFonts w:ascii="Times New Roman" w:eastAsia="宋体" w:hAnsi="Times New Roman" w:cs="Times New Roman"/>
          <w:b/>
          <w:bCs/>
          <w:sz w:val="24"/>
          <w:szCs w:val="24"/>
        </w:rPr>
        <w:t>MD</w:t>
      </w:r>
      <w:r>
        <w:rPr>
          <w:rFonts w:ascii="Times New Roman" w:eastAsia="宋体" w:hAnsi="Times New Roman" w:cs="Times New Roman"/>
          <w:b/>
          <w:bCs/>
          <w:sz w:val="24"/>
          <w:szCs w:val="24"/>
        </w:rPr>
        <w:t>）</w:t>
      </w:r>
    </w:p>
    <w:p w14:paraId="0B9DEE3B"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Molecular Chain Simulation</w:t>
      </w:r>
    </w:p>
    <w:p w14:paraId="44C90B2D" w14:textId="77777777" w:rsidR="00155631" w:rsidRDefault="00000000" w:rsidP="005E6F8D">
      <w:pPr>
        <w:widowControl/>
        <w:spacing w:line="480" w:lineRule="auto"/>
        <w:ind w:firstLineChars="200" w:firstLine="480"/>
        <w:rPr>
          <w:rFonts w:ascii="Times New Roman" w:eastAsia="宋体" w:hAnsi="Times New Roman" w:cs="Times New Roman"/>
          <w:sz w:val="24"/>
          <w:szCs w:val="24"/>
          <w:vertAlign w:val="superscript"/>
        </w:rPr>
      </w:pPr>
      <w:r>
        <w:rPr>
          <w:rFonts w:ascii="Times New Roman" w:eastAsia="宋体" w:hAnsi="Times New Roman" w:cs="Times New Roman"/>
          <w:sz w:val="24"/>
          <w:szCs w:val="24"/>
        </w:rPr>
        <w:t>In the present work, PSM molecules in hydrogel was studied using molecular dynamics simulations. The composition of each simulation system is listed in Table 1. Simulations were performed using the Gromacs-2020.7 software package</w:t>
      </w:r>
      <w:r>
        <w:rPr>
          <w:rFonts w:ascii="Times New Roman" w:eastAsia="宋体" w:hAnsi="Times New Roman" w:cs="Times New Roman"/>
          <w:sz w:val="24"/>
          <w:szCs w:val="24"/>
          <w:vertAlign w:val="superscript"/>
        </w:rPr>
        <w:t>1</w:t>
      </w:r>
      <w:r>
        <w:rPr>
          <w:rFonts w:ascii="Times New Roman" w:eastAsia="宋体" w:hAnsi="Times New Roman" w:cs="Times New Roman"/>
          <w:sz w:val="24"/>
          <w:szCs w:val="24"/>
        </w:rPr>
        <w:t xml:space="preserve"> and the molecular force field was performed using CHARM36. The results were visualized using the visualization software VMD.</w:t>
      </w:r>
    </w:p>
    <w:p w14:paraId="6FBE8A99" w14:textId="77777777" w:rsidR="00155631" w:rsidRDefault="00000000" w:rsidP="005E6F8D">
      <w:pPr>
        <w:widowControl/>
        <w:spacing w:line="480" w:lineRule="auto"/>
        <w:jc w:val="center"/>
        <w:rPr>
          <w:rFonts w:ascii="Times New Roman" w:eastAsia="宋体" w:hAnsi="Times New Roman" w:cs="Times New Roman"/>
          <w:sz w:val="24"/>
          <w:szCs w:val="24"/>
        </w:rPr>
      </w:pPr>
      <w:r>
        <w:rPr>
          <w:rFonts w:ascii="Times New Roman" w:eastAsia="宋体" w:hAnsi="Times New Roman" w:cs="Times New Roman"/>
          <w:b/>
          <w:bCs/>
          <w:sz w:val="24"/>
          <w:szCs w:val="24"/>
        </w:rPr>
        <w:t>Table 1</w:t>
      </w:r>
      <w:r>
        <w:rPr>
          <w:rFonts w:ascii="Times New Roman" w:eastAsia="宋体" w:hAnsi="Times New Roman" w:cs="Times New Roman"/>
          <w:sz w:val="24"/>
          <w:szCs w:val="24"/>
        </w:rPr>
        <w:t>. The composition of each simulation system.</w:t>
      </w:r>
    </w:p>
    <w:tbl>
      <w:tblPr>
        <w:tblStyle w:val="ab"/>
        <w:tblW w:w="0" w:type="auto"/>
        <w:jc w:val="center"/>
        <w:tblLook w:val="04A0" w:firstRow="1" w:lastRow="0" w:firstColumn="1" w:lastColumn="0" w:noHBand="0" w:noVBand="1"/>
      </w:tblPr>
      <w:tblGrid>
        <w:gridCol w:w="2211"/>
        <w:gridCol w:w="1191"/>
        <w:gridCol w:w="1361"/>
      </w:tblGrid>
      <w:tr w:rsidR="00155631" w14:paraId="0AC46A8D" w14:textId="77777777">
        <w:trPr>
          <w:jc w:val="center"/>
        </w:trPr>
        <w:tc>
          <w:tcPr>
            <w:tcW w:w="2211" w:type="dxa"/>
            <w:vAlign w:val="center"/>
          </w:tcPr>
          <w:p w14:paraId="7BD7F3D5" w14:textId="77777777" w:rsidR="00155631" w:rsidRDefault="00155631" w:rsidP="0084773E">
            <w:pPr>
              <w:widowControl/>
              <w:spacing w:line="480" w:lineRule="auto"/>
              <w:jc w:val="left"/>
              <w:rPr>
                <w:rFonts w:ascii="Times New Roman" w:eastAsia="宋体" w:hAnsi="Times New Roman" w:cs="Times New Roman"/>
                <w:sz w:val="24"/>
                <w:szCs w:val="24"/>
              </w:rPr>
            </w:pPr>
          </w:p>
        </w:tc>
        <w:tc>
          <w:tcPr>
            <w:tcW w:w="1191" w:type="dxa"/>
            <w:vAlign w:val="center"/>
          </w:tcPr>
          <w:p w14:paraId="26B23415" w14:textId="77777777" w:rsidR="00155631" w:rsidRDefault="00000000" w:rsidP="0084773E">
            <w:pPr>
              <w:widowControl/>
              <w:spacing w:line="480" w:lineRule="auto"/>
              <w:jc w:val="left"/>
              <w:rPr>
                <w:rFonts w:ascii="Times New Roman" w:eastAsia="宋体" w:hAnsi="Times New Roman" w:cs="Times New Roman"/>
                <w:sz w:val="24"/>
                <w:szCs w:val="24"/>
              </w:rPr>
            </w:pPr>
            <w:r>
              <w:rPr>
                <w:rFonts w:ascii="Times New Roman" w:eastAsia="宋体" w:hAnsi="Times New Roman" w:cs="Times New Roman"/>
                <w:sz w:val="24"/>
                <w:szCs w:val="24"/>
              </w:rPr>
              <w:t>Mol</w:t>
            </w:r>
          </w:p>
        </w:tc>
        <w:tc>
          <w:tcPr>
            <w:tcW w:w="1361" w:type="dxa"/>
            <w:vAlign w:val="center"/>
          </w:tcPr>
          <w:p w14:paraId="1D84CD4B" w14:textId="77777777" w:rsidR="00155631" w:rsidRDefault="00000000" w:rsidP="0084773E">
            <w:pPr>
              <w:widowControl/>
              <w:spacing w:line="480" w:lineRule="auto"/>
              <w:jc w:val="left"/>
              <w:rPr>
                <w:rFonts w:ascii="Times New Roman" w:eastAsia="宋体" w:hAnsi="Times New Roman" w:cs="Times New Roman"/>
                <w:sz w:val="24"/>
                <w:szCs w:val="24"/>
              </w:rPr>
            </w:pPr>
            <w:r>
              <w:rPr>
                <w:rFonts w:ascii="Times New Roman" w:eastAsia="宋体" w:hAnsi="Times New Roman" w:cs="Times New Roman"/>
                <w:sz w:val="24"/>
                <w:szCs w:val="24"/>
              </w:rPr>
              <w:t>H</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O</w:t>
            </w:r>
          </w:p>
        </w:tc>
      </w:tr>
      <w:tr w:rsidR="00155631" w14:paraId="25C14ECB" w14:textId="77777777">
        <w:trPr>
          <w:jc w:val="center"/>
        </w:trPr>
        <w:tc>
          <w:tcPr>
            <w:tcW w:w="2211" w:type="dxa"/>
            <w:vAlign w:val="center"/>
          </w:tcPr>
          <w:p w14:paraId="2C384E75" w14:textId="77777777" w:rsidR="00155631" w:rsidRDefault="00000000" w:rsidP="0084773E">
            <w:pPr>
              <w:widowControl/>
              <w:spacing w:line="480" w:lineRule="auto"/>
              <w:jc w:val="left"/>
              <w:rPr>
                <w:rFonts w:ascii="Times New Roman" w:eastAsia="宋体" w:hAnsi="Times New Roman" w:cs="Times New Roman"/>
                <w:sz w:val="24"/>
                <w:szCs w:val="24"/>
              </w:rPr>
            </w:pPr>
            <w:r>
              <w:rPr>
                <w:rFonts w:ascii="Times New Roman" w:eastAsia="宋体" w:hAnsi="Times New Roman" w:cs="Times New Roman"/>
                <w:sz w:val="24"/>
                <w:szCs w:val="24"/>
              </w:rPr>
              <w:t>System 1 (2 M)</w:t>
            </w:r>
          </w:p>
        </w:tc>
        <w:tc>
          <w:tcPr>
            <w:tcW w:w="1191" w:type="dxa"/>
            <w:vAlign w:val="center"/>
          </w:tcPr>
          <w:p w14:paraId="0726B0EE" w14:textId="77777777" w:rsidR="00155631" w:rsidRDefault="00000000" w:rsidP="0084773E">
            <w:pPr>
              <w:widowControl/>
              <w:spacing w:line="480" w:lineRule="auto"/>
              <w:jc w:val="left"/>
              <w:rPr>
                <w:rFonts w:ascii="Times New Roman" w:eastAsia="宋体" w:hAnsi="Times New Roman" w:cs="Times New Roman"/>
                <w:sz w:val="24"/>
                <w:szCs w:val="24"/>
              </w:rPr>
            </w:pPr>
            <w:r>
              <w:rPr>
                <w:rFonts w:ascii="Times New Roman" w:eastAsia="宋体" w:hAnsi="Times New Roman" w:cs="Times New Roman"/>
                <w:sz w:val="24"/>
                <w:szCs w:val="24"/>
              </w:rPr>
              <w:t>10</w:t>
            </w:r>
          </w:p>
        </w:tc>
        <w:tc>
          <w:tcPr>
            <w:tcW w:w="1361" w:type="dxa"/>
            <w:vAlign w:val="center"/>
          </w:tcPr>
          <w:p w14:paraId="725E4671" w14:textId="77777777" w:rsidR="00155631" w:rsidRDefault="00000000" w:rsidP="0084773E">
            <w:pPr>
              <w:widowControl/>
              <w:spacing w:line="480" w:lineRule="auto"/>
              <w:jc w:val="left"/>
              <w:rPr>
                <w:rFonts w:ascii="Times New Roman" w:eastAsia="宋体" w:hAnsi="Times New Roman" w:cs="Times New Roman"/>
                <w:sz w:val="24"/>
                <w:szCs w:val="24"/>
              </w:rPr>
            </w:pPr>
            <w:r>
              <w:rPr>
                <w:rFonts w:ascii="Times New Roman" w:eastAsia="宋体" w:hAnsi="Times New Roman" w:cs="Times New Roman"/>
                <w:sz w:val="24"/>
                <w:szCs w:val="24"/>
              </w:rPr>
              <w:t>26316</w:t>
            </w:r>
          </w:p>
        </w:tc>
      </w:tr>
      <w:tr w:rsidR="00155631" w14:paraId="27ACDA08" w14:textId="77777777">
        <w:trPr>
          <w:jc w:val="center"/>
        </w:trPr>
        <w:tc>
          <w:tcPr>
            <w:tcW w:w="2211" w:type="dxa"/>
            <w:vAlign w:val="center"/>
          </w:tcPr>
          <w:p w14:paraId="03F89166" w14:textId="77777777" w:rsidR="00155631" w:rsidRDefault="00000000" w:rsidP="0084773E">
            <w:pPr>
              <w:widowControl/>
              <w:spacing w:line="480" w:lineRule="auto"/>
              <w:jc w:val="left"/>
              <w:rPr>
                <w:rFonts w:ascii="Times New Roman" w:eastAsia="宋体" w:hAnsi="Times New Roman" w:cs="Times New Roman"/>
                <w:sz w:val="24"/>
                <w:szCs w:val="24"/>
              </w:rPr>
            </w:pPr>
            <w:r>
              <w:rPr>
                <w:rFonts w:ascii="Times New Roman" w:eastAsia="宋体" w:hAnsi="Times New Roman" w:cs="Times New Roman"/>
                <w:sz w:val="24"/>
                <w:szCs w:val="24"/>
              </w:rPr>
              <w:t>System 2 (6 M)</w:t>
            </w:r>
          </w:p>
        </w:tc>
        <w:tc>
          <w:tcPr>
            <w:tcW w:w="1191" w:type="dxa"/>
            <w:vAlign w:val="center"/>
          </w:tcPr>
          <w:p w14:paraId="71EEACC0" w14:textId="77777777" w:rsidR="00155631" w:rsidRDefault="00000000" w:rsidP="0084773E">
            <w:pPr>
              <w:widowControl/>
              <w:spacing w:line="480" w:lineRule="auto"/>
              <w:jc w:val="left"/>
              <w:rPr>
                <w:rFonts w:ascii="Times New Roman" w:eastAsia="宋体" w:hAnsi="Times New Roman" w:cs="Times New Roman"/>
                <w:sz w:val="24"/>
                <w:szCs w:val="24"/>
              </w:rPr>
            </w:pPr>
            <w:r>
              <w:rPr>
                <w:rFonts w:ascii="Times New Roman" w:eastAsia="宋体" w:hAnsi="Times New Roman" w:cs="Times New Roman"/>
                <w:sz w:val="24"/>
                <w:szCs w:val="24"/>
              </w:rPr>
              <w:t>30</w:t>
            </w:r>
          </w:p>
        </w:tc>
        <w:tc>
          <w:tcPr>
            <w:tcW w:w="1361" w:type="dxa"/>
            <w:vAlign w:val="center"/>
          </w:tcPr>
          <w:p w14:paraId="6C663284" w14:textId="77777777" w:rsidR="00155631" w:rsidRDefault="00000000" w:rsidP="0084773E">
            <w:pPr>
              <w:widowControl/>
              <w:spacing w:line="480" w:lineRule="auto"/>
              <w:jc w:val="left"/>
              <w:rPr>
                <w:rFonts w:ascii="Times New Roman" w:eastAsia="宋体" w:hAnsi="Times New Roman" w:cs="Times New Roman"/>
                <w:sz w:val="24"/>
                <w:szCs w:val="24"/>
              </w:rPr>
            </w:pPr>
            <w:r>
              <w:rPr>
                <w:rFonts w:ascii="Times New Roman" w:eastAsia="宋体" w:hAnsi="Times New Roman" w:cs="Times New Roman"/>
                <w:sz w:val="24"/>
                <w:szCs w:val="24"/>
              </w:rPr>
              <w:t>22283</w:t>
            </w:r>
          </w:p>
        </w:tc>
      </w:tr>
    </w:tbl>
    <w:p w14:paraId="2D3523EC" w14:textId="77777777" w:rsidR="00155631" w:rsidRDefault="00000000" w:rsidP="005E6F8D">
      <w:pPr>
        <w:widowControl/>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The non-bonding interactions contain van der Waals and electrostatic interactions, both of which have a cut-off radius set to </w:t>
      </w:r>
      <w:proofErr w:type="spellStart"/>
      <w:r>
        <w:rPr>
          <w:rFonts w:ascii="Times New Roman" w:eastAsia="宋体" w:hAnsi="Times New Roman" w:cs="Times New Roman"/>
          <w:sz w:val="24"/>
          <w:szCs w:val="24"/>
        </w:rPr>
        <w:t>r</w:t>
      </w:r>
      <w:r>
        <w:rPr>
          <w:rFonts w:ascii="Times New Roman" w:eastAsia="宋体" w:hAnsi="Times New Roman" w:cs="Times New Roman"/>
          <w:sz w:val="24"/>
          <w:szCs w:val="24"/>
          <w:vertAlign w:val="subscript"/>
        </w:rPr>
        <w:t>c</w:t>
      </w:r>
      <w:proofErr w:type="spellEnd"/>
      <w:r>
        <w:rPr>
          <w:rFonts w:ascii="Times New Roman" w:eastAsia="宋体" w:hAnsi="Times New Roman" w:cs="Times New Roman"/>
          <w:sz w:val="24"/>
          <w:szCs w:val="24"/>
        </w:rPr>
        <w:t xml:space="preserve"> = 1.2 nm. The interaction between particles is expressed using the LJ potential.</w:t>
      </w:r>
    </w:p>
    <w:p w14:paraId="6AAFE55B" w14:textId="77777777" w:rsidR="00155631" w:rsidRDefault="00000000" w:rsidP="0084773E">
      <w:pPr>
        <w:spacing w:line="480" w:lineRule="auto"/>
        <w:jc w:val="right"/>
        <w:rPr>
          <w:rFonts w:ascii="Times New Roman" w:eastAsia="宋体" w:hAnsi="Times New Roman" w:cs="Times New Roman"/>
          <w:sz w:val="24"/>
          <w:szCs w:val="24"/>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V</m:t>
            </m:r>
          </m:e>
          <m:sub>
            <m:r>
              <w:rPr>
                <w:rFonts w:ascii="Cambria Math" w:hAnsi="Cambria Math" w:cs="Times New Roman"/>
                <w:sz w:val="24"/>
                <w:szCs w:val="24"/>
              </w:rPr>
              <m:t>LJ</m:t>
            </m:r>
          </m:sub>
        </m:sSub>
        <m:r>
          <m:rPr>
            <m:sty m:val="p"/>
          </m:rPr>
          <w:rPr>
            <w:rFonts w:ascii="Cambria Math" w:hAnsi="Cambria Math" w:cs="Times New Roman"/>
            <w:sz w:val="24"/>
            <w:szCs w:val="24"/>
          </w:rPr>
          <m:t>=</m:t>
        </m:r>
        <m:d>
          <m:dPr>
            <m:begChr m:val="{"/>
            <m:endChr m:val=""/>
            <m:ctrlPr>
              <w:rPr>
                <w:rFonts w:ascii="Cambria Math" w:hAnsi="Cambria Math" w:cs="Times New Roman"/>
                <w:sz w:val="24"/>
                <w:szCs w:val="24"/>
              </w:rPr>
            </m:ctrlPr>
          </m:dPr>
          <m:e>
            <m:eqArr>
              <m:eqArrPr>
                <m:ctrlPr>
                  <w:rPr>
                    <w:rFonts w:ascii="Cambria Math" w:hAnsi="Cambria Math" w:cs="Times New Roman"/>
                    <w:sz w:val="24"/>
                    <w:szCs w:val="24"/>
                  </w:rPr>
                </m:ctrlPr>
              </m:eqArrPr>
              <m:e>
                <m:r>
                  <w:rPr>
                    <w:rFonts w:ascii="Cambria Math" w:hAnsi="Cambria Math" w:cs="Times New Roman"/>
                    <w:sz w:val="24"/>
                    <w:szCs w:val="24"/>
                  </w:rPr>
                  <m:t>4ε</m:t>
                </m:r>
                <m:d>
                  <m:dPr>
                    <m:begChr m:val="["/>
                    <m:endChr m:val="]"/>
                    <m:ctrlPr>
                      <w:rPr>
                        <w:rFonts w:ascii="Cambria Math" w:hAnsi="Cambria Math" w:cs="Times New Roman"/>
                        <w:i/>
                        <w:sz w:val="24"/>
                        <w:szCs w:val="24"/>
                      </w:rPr>
                    </m:ctrlPr>
                  </m:dPr>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σ</m:t>
                                </m:r>
                              </m:num>
                              <m:den>
                                <m:r>
                                  <w:rPr>
                                    <w:rFonts w:ascii="Cambria Math" w:hAnsi="Cambria Math" w:cs="Times New Roman"/>
                                    <w:sz w:val="24"/>
                                    <w:szCs w:val="24"/>
                                  </w:rPr>
                                  <m:t>r</m:t>
                                </m:r>
                              </m:den>
                            </m:f>
                          </m:e>
                        </m:d>
                      </m:e>
                      <m:sup>
                        <m:r>
                          <w:rPr>
                            <w:rFonts w:ascii="Cambria Math" w:hAnsi="Cambria Math" w:cs="Times New Roman"/>
                            <w:sz w:val="24"/>
                            <w:szCs w:val="24"/>
                          </w:rPr>
                          <m:t>12</m:t>
                        </m:r>
                      </m:sup>
                    </m:sSup>
                    <m:r>
                      <w:rPr>
                        <w:rFonts w:ascii="Cambria Math" w:hAnsi="Cambria Math" w:cs="Times New Roman"/>
                        <w:sz w:val="24"/>
                        <w:szCs w:val="24"/>
                      </w:rPr>
                      <m:t xml:space="preserve"> - </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σ</m:t>
                                </m:r>
                              </m:num>
                              <m:den>
                                <m:r>
                                  <w:rPr>
                                    <w:rFonts w:ascii="Cambria Math" w:hAnsi="Cambria Math" w:cs="Times New Roman"/>
                                    <w:sz w:val="24"/>
                                    <w:szCs w:val="24"/>
                                  </w:rPr>
                                  <m:t>r</m:t>
                                </m:r>
                              </m:den>
                            </m:f>
                          </m:e>
                        </m:d>
                      </m:e>
                      <m:sup>
                        <m:r>
                          <w:rPr>
                            <w:rFonts w:ascii="Cambria Math" w:hAnsi="Cambria Math" w:cs="Times New Roman"/>
                            <w:sz w:val="24"/>
                            <w:szCs w:val="24"/>
                          </w:rPr>
                          <m:t>6</m:t>
                        </m:r>
                      </m:sup>
                    </m:sSup>
                  </m:e>
                </m:d>
              </m:e>
              <m:e>
                <m:r>
                  <w:rPr>
                    <w:rFonts w:ascii="Cambria Math" w:hAnsi="Cambria Math" w:cs="Times New Roman"/>
                    <w:sz w:val="24"/>
                    <w:szCs w:val="24"/>
                  </w:rPr>
                  <m:t>0 ,              r&gt;</m:t>
                </m:r>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c</m:t>
                    </m:r>
                  </m:sub>
                </m:sSub>
              </m:e>
            </m:eqArr>
          </m:e>
        </m:d>
        <m:r>
          <w:rPr>
            <w:rFonts w:ascii="Cambria Math" w:hAnsi="Cambria Math" w:cs="Times New Roman"/>
            <w:sz w:val="24"/>
            <w:szCs w:val="24"/>
          </w:rPr>
          <m:t xml:space="preserve"> ,</m:t>
        </m:r>
        <m:r>
          <w:rPr>
            <w:rFonts w:ascii="Cambria Math" w:eastAsia="宋体" w:hAnsi="Cambria Math" w:cs="Times New Roman"/>
            <w:sz w:val="24"/>
            <w:szCs w:val="24"/>
          </w:rPr>
          <m:t xml:space="preserve"> r&lt;</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c</m:t>
            </m:r>
          </m:sub>
        </m:sSub>
      </m:oMath>
      <w:r>
        <w:rPr>
          <w:rFonts w:ascii="Times New Roman" w:eastAsia="宋体" w:hAnsi="Times New Roman" w:cs="Times New Roman"/>
          <w:sz w:val="24"/>
          <w:szCs w:val="24"/>
        </w:rPr>
        <w:t xml:space="preserve">                (eq. S6)</w:t>
      </w:r>
    </w:p>
    <w:p w14:paraId="78FEBEFA" w14:textId="77777777" w:rsidR="00155631" w:rsidRDefault="00000000" w:rsidP="005E6F8D">
      <w:pPr>
        <w:widowControl/>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electrostatic interaction between particles is expressed as the Coulomb potential:</w:t>
      </w:r>
    </w:p>
    <w:p w14:paraId="5FF184BD" w14:textId="77777777" w:rsidR="00155631" w:rsidRDefault="00000000" w:rsidP="0084773E">
      <w:pPr>
        <w:spacing w:line="480" w:lineRule="auto"/>
        <w:jc w:val="right"/>
        <w:rPr>
          <w:rFonts w:ascii="Times New Roman" w:eastAsia="宋体" w:hAnsi="Times New Roman" w:cs="Times New Roman"/>
          <w:sz w:val="24"/>
          <w:szCs w:val="24"/>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V</m:t>
            </m:r>
          </m:e>
          <m:sub>
            <m:r>
              <w:rPr>
                <w:rFonts w:ascii="Cambria Math" w:hAnsi="Cambria Math" w:cs="Times New Roman"/>
                <w:sz w:val="24"/>
                <w:szCs w:val="24"/>
              </w:rPr>
              <m:t>Coulomb</m:t>
            </m:r>
          </m:sub>
        </m:sSub>
        <m:r>
          <m:rPr>
            <m:sty m:val="p"/>
          </m:rPr>
          <w:rPr>
            <w:rFonts w:ascii="Cambria Math" w:hAnsi="Cambria Math" w:cs="Times New Roman"/>
            <w:sz w:val="24"/>
            <w:szCs w:val="24"/>
          </w:rPr>
          <m:t>=</m:t>
        </m:r>
        <m:d>
          <m:dPr>
            <m:begChr m:val="{"/>
            <m:endChr m:val=""/>
            <m:ctrlPr>
              <w:rPr>
                <w:rFonts w:ascii="Cambria Math" w:hAnsi="Cambria Math" w:cs="Times New Roman"/>
                <w:sz w:val="24"/>
                <w:szCs w:val="24"/>
              </w:rPr>
            </m:ctrlPr>
          </m:dPr>
          <m:e>
            <m:eqArr>
              <m:eqArrPr>
                <m:ctrlPr>
                  <w:rPr>
                    <w:rFonts w:ascii="Cambria Math" w:hAnsi="Cambria Math" w:cs="Times New Roman"/>
                    <w:sz w:val="24"/>
                    <w:szCs w:val="24"/>
                  </w:rPr>
                </m:ctrlPr>
              </m:eqArr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i</m:t>
                        </m:r>
                      </m:sub>
                    </m:sSub>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j</m:t>
                        </m:r>
                      </m:sub>
                    </m:sSub>
                  </m:num>
                  <m:den>
                    <m:r>
                      <w:rPr>
                        <w:rFonts w:ascii="Cambria Math" w:hAnsi="Cambria Math" w:cs="Times New Roman"/>
                        <w:sz w:val="24"/>
                        <w:szCs w:val="24"/>
                      </w:rPr>
                      <m:t>4π</m:t>
                    </m:r>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sz w:val="24"/>
                            <w:szCs w:val="24"/>
                          </w:rPr>
                          <m:t>0</m:t>
                        </m:r>
                      </m:sub>
                    </m:sSub>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sz w:val="24"/>
                            <w:szCs w:val="24"/>
                          </w:rPr>
                          <m:t>r</m:t>
                        </m:r>
                      </m:sub>
                    </m:sSub>
                    <m:r>
                      <w:rPr>
                        <w:rFonts w:ascii="Cambria Math" w:hAnsi="Cambria Math" w:cs="Times New Roman"/>
                        <w:sz w:val="24"/>
                        <w:szCs w:val="24"/>
                      </w:rPr>
                      <m:t>r</m:t>
                    </m:r>
                  </m:den>
                </m:f>
              </m:e>
              <m:e>
                <m:r>
                  <w:rPr>
                    <w:rFonts w:ascii="Cambria Math" w:hAnsi="Cambria Math" w:cs="Times New Roman"/>
                    <w:sz w:val="24"/>
                    <w:szCs w:val="24"/>
                  </w:rPr>
                  <m:t>0  ,  r≥</m:t>
                </m:r>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c</m:t>
                    </m:r>
                  </m:sub>
                </m:sSub>
              </m:e>
            </m:eqArr>
          </m:e>
        </m:d>
        <m:r>
          <w:rPr>
            <w:rFonts w:ascii="Cambria Math" w:hAnsi="Cambria Math" w:cs="Times New Roman"/>
            <w:sz w:val="24"/>
            <w:szCs w:val="24"/>
          </w:rPr>
          <m:t xml:space="preserve">  ,  </m:t>
        </m:r>
        <m:r>
          <w:rPr>
            <w:rFonts w:ascii="Cambria Math" w:eastAsia="宋体" w:hAnsi="Cambria Math" w:cs="Times New Roman"/>
            <w:sz w:val="24"/>
            <w:szCs w:val="24"/>
          </w:rPr>
          <m:t>r&lt;</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c</m:t>
            </m:r>
          </m:sub>
        </m:sSub>
      </m:oMath>
      <w:r>
        <w:rPr>
          <w:rFonts w:ascii="Times New Roman" w:eastAsia="宋体" w:hAnsi="Times New Roman" w:cs="Times New Roman"/>
          <w:sz w:val="24"/>
          <w:szCs w:val="24"/>
        </w:rPr>
        <w:t xml:space="preserve">                (eq. S7)</w:t>
      </w:r>
    </w:p>
    <w:p w14:paraId="4F7E33AE" w14:textId="77777777" w:rsidR="00155631" w:rsidRDefault="00000000" w:rsidP="005E6F8D">
      <w:pPr>
        <w:widowControl/>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First, energy minimization was performed using the steepest descent method with energies and forces of 0.01 kJ/mol and 1000 kJ/mol/nm. Next, MD was run for 125,000 steps of 1fs, which is a constant volume process using a Berendsen thermostat. MD integrates Newton's equations using the velocity-Verlet algorithm. Then MD is run for 250,000 steps of 2 fs, using Berendsen for both the thermostat and pressure coupling. Finally, MD is run for 10,000,000 steps of 2 fs, using Nose-Hoover and Parrinello-Rahman for the thermostat and pressure coupling, respectively. </w:t>
      </w:r>
    </w:p>
    <w:p w14:paraId="37917F11" w14:textId="77777777" w:rsidR="00155631" w:rsidRDefault="00155631" w:rsidP="005E6F8D">
      <w:pPr>
        <w:widowControl/>
        <w:spacing w:line="480" w:lineRule="auto"/>
        <w:rPr>
          <w:rFonts w:ascii="Times New Roman" w:eastAsia="宋体" w:hAnsi="Times New Roman" w:cs="Times New Roman"/>
          <w:sz w:val="24"/>
          <w:szCs w:val="24"/>
        </w:rPr>
      </w:pPr>
    </w:p>
    <w:p w14:paraId="63C47562"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Directional Stretching Simulation</w:t>
      </w:r>
    </w:p>
    <w:p w14:paraId="02D81203"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Molecular Dynamics (MD) simulations of two polymeric hydrogel systems were conducted using the GROMACS program suite, with the CL&amp;P force field, optimized for ionic liquid simulations, and the OPC water model. All force field parameters were generated using the </w:t>
      </w:r>
      <w:proofErr w:type="spellStart"/>
      <w:r>
        <w:rPr>
          <w:rFonts w:ascii="Times New Roman" w:eastAsia="宋体" w:hAnsi="Times New Roman" w:cs="Times New Roman"/>
          <w:sz w:val="24"/>
          <w:szCs w:val="24"/>
        </w:rPr>
        <w:t>AuToFF</w:t>
      </w:r>
      <w:proofErr w:type="spellEnd"/>
      <w:r>
        <w:rPr>
          <w:rFonts w:ascii="Times New Roman" w:eastAsia="宋体" w:hAnsi="Times New Roman" w:cs="Times New Roman"/>
          <w:sz w:val="24"/>
          <w:szCs w:val="24"/>
        </w:rPr>
        <w:t xml:space="preserve"> web server. The initial simulation boxes, with dimensions of 80×80×80 Å³, were populated with six polymer chains, each with a degree of polymerization of 50, using GROMACS tools. These systems were first energy minimized to remove any structural strain, followed by an annealing process from 1000 K to 298.15 K over 10 ns, using a time step of 1 </w:t>
      </w:r>
      <w:proofErr w:type="spellStart"/>
      <w:r>
        <w:rPr>
          <w:rFonts w:ascii="Times New Roman" w:eastAsia="宋体" w:hAnsi="Times New Roman" w:cs="Times New Roman"/>
          <w:sz w:val="24"/>
          <w:szCs w:val="24"/>
        </w:rPr>
        <w:t>ps</w:t>
      </w:r>
      <w:proofErr w:type="spellEnd"/>
      <w:r>
        <w:rPr>
          <w:rFonts w:ascii="Times New Roman" w:eastAsia="宋体" w:hAnsi="Times New Roman" w:cs="Times New Roman"/>
          <w:sz w:val="24"/>
          <w:szCs w:val="24"/>
        </w:rPr>
        <w:t xml:space="preserve">, to achieve thermal equilibrium. Temperature control was maintained at 298.15 K using the velocity-rescale thermostat, with a relaxation time constant of 1 ps. Pressure was controlled at 1.01325×10⁵ Pa using the Berendsen </w:t>
      </w:r>
      <w:proofErr w:type="spellStart"/>
      <w:r>
        <w:rPr>
          <w:rFonts w:ascii="Times New Roman" w:eastAsia="宋体" w:hAnsi="Times New Roman" w:cs="Times New Roman"/>
          <w:sz w:val="24"/>
          <w:szCs w:val="24"/>
        </w:rPr>
        <w:t>barostat</w:t>
      </w:r>
      <w:proofErr w:type="spellEnd"/>
      <w:r>
        <w:rPr>
          <w:rFonts w:ascii="Times New Roman" w:eastAsia="宋体" w:hAnsi="Times New Roman" w:cs="Times New Roman"/>
          <w:sz w:val="24"/>
          <w:szCs w:val="24"/>
        </w:rPr>
        <w:t xml:space="preserve">, with an isothermal compressibility of 1.5×10⁻⁶. Periodic boundary conditions were applied in all directions. Electrostatic interactions and van </w:t>
      </w:r>
      <w:r>
        <w:rPr>
          <w:rFonts w:ascii="Times New Roman" w:eastAsia="宋体" w:hAnsi="Times New Roman" w:cs="Times New Roman"/>
          <w:sz w:val="24"/>
          <w:szCs w:val="24"/>
        </w:rPr>
        <w:lastRenderedPageBreak/>
        <w:t>der Waals forces were treated using the Particle-Mesh Ewald (PME) method, with a cutoff distance of 15 Å.</w:t>
      </w:r>
    </w:p>
    <w:p w14:paraId="3637B5A9"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After energy minimization and equilibration, a 20 ns MD simulation was performed in the NPT ensemble, with trajectory data saved every 1 ps. To investigate the stress–strain behavior, a non-equilibrium deformation simulation was carried out in GROMACS. The simulation box was stretched along the Y-axis with a deformation rate of 0.0001 Å/</w:t>
      </w:r>
      <w:proofErr w:type="spellStart"/>
      <w:r>
        <w:rPr>
          <w:rFonts w:ascii="Times New Roman" w:eastAsia="宋体" w:hAnsi="Times New Roman" w:cs="Times New Roman"/>
          <w:sz w:val="24"/>
          <w:szCs w:val="24"/>
        </w:rPr>
        <w:t>ps</w:t>
      </w:r>
      <w:proofErr w:type="spellEnd"/>
      <w:r>
        <w:rPr>
          <w:rFonts w:ascii="Times New Roman" w:eastAsia="宋体" w:hAnsi="Times New Roman" w:cs="Times New Roman"/>
          <w:sz w:val="24"/>
          <w:szCs w:val="24"/>
        </w:rPr>
        <w:t xml:space="preserve"> for 200 ns. The stress was calculated as the sum of forces per unit area arising from both bonded and non-bonded interactions.</w:t>
      </w:r>
    </w:p>
    <w:p w14:paraId="1240F38F" w14:textId="77777777" w:rsidR="00155631" w:rsidRDefault="00155631" w:rsidP="005E6F8D">
      <w:pPr>
        <w:spacing w:line="480" w:lineRule="auto"/>
        <w:rPr>
          <w:rFonts w:ascii="Times New Roman" w:eastAsia="宋体" w:hAnsi="Times New Roman" w:cs="Times New Roman"/>
          <w:sz w:val="24"/>
          <w:szCs w:val="24"/>
        </w:rPr>
      </w:pPr>
    </w:p>
    <w:p w14:paraId="60CC734A" w14:textId="77777777" w:rsidR="00155631" w:rsidRDefault="00000000" w:rsidP="005E6F8D">
      <w:pPr>
        <w:spacing w:line="480" w:lineRule="auto"/>
        <w:rPr>
          <w:rFonts w:ascii="Times New Roman" w:eastAsia="PingFang SC" w:hAnsi="Times New Roman" w:cs="Times New Roman"/>
          <w:b/>
          <w:bCs/>
          <w:color w:val="2A2F45"/>
          <w:sz w:val="24"/>
          <w:szCs w:val="24"/>
          <w:shd w:val="clear" w:color="auto" w:fill="FFFFFF"/>
        </w:rPr>
      </w:pPr>
      <w:r>
        <w:rPr>
          <w:rFonts w:ascii="Times New Roman" w:eastAsia="宋体" w:hAnsi="Times New Roman" w:cs="Times New Roman"/>
          <w:b/>
          <w:bCs/>
          <w:sz w:val="24"/>
          <w:szCs w:val="24"/>
        </w:rPr>
        <w:t>Mechanical Property Test</w:t>
      </w:r>
    </w:p>
    <w:p w14:paraId="3F9FFD9A" w14:textId="3396CC65"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mechanical properties of the hydrogels were evaluated using a universal testing machine (Suns UTM6000, China). Unless otherwise stated, all tensile, compressive, and fatigue tests were performed under standard ambient conditions (25 ± 2 °C temperature and 40 ± 10% relative humidity). To prevent dehydration during testing, dimethyl silicone oil was applied to the gel surfaces exposed to air. The test protocols included variable-rate tensile testing, increasing-strain cyclic tensile testing, constant-strain cyclic tensile testing, rebound time measurement, compression testing, increasing-strain cyclic compression testing, constant-strain cyclic compression testing, tear testing, shear testing, and notch testing. Each mechanical test was conducted using at least three independently prepared samples to ensure data reliability.</w:t>
      </w:r>
    </w:p>
    <w:p w14:paraId="2D77572D" w14:textId="77777777" w:rsidR="003C0364" w:rsidRDefault="003C0364" w:rsidP="005E6F8D">
      <w:pPr>
        <w:spacing w:line="480" w:lineRule="auto"/>
        <w:rPr>
          <w:rFonts w:ascii="Times New Roman" w:eastAsia="宋体" w:hAnsi="Times New Roman" w:cs="Times New Roman"/>
          <w:sz w:val="24"/>
          <w:szCs w:val="24"/>
        </w:rPr>
      </w:pPr>
    </w:p>
    <w:p w14:paraId="10654AFE" w14:textId="77777777" w:rsidR="005E6F8D" w:rsidRDefault="005E6F8D" w:rsidP="005E6F8D">
      <w:pPr>
        <w:spacing w:line="480" w:lineRule="auto"/>
        <w:rPr>
          <w:rFonts w:ascii="Times New Roman" w:eastAsia="宋体" w:hAnsi="Times New Roman" w:cs="Times New Roman"/>
          <w:sz w:val="24"/>
          <w:szCs w:val="24"/>
        </w:rPr>
      </w:pPr>
    </w:p>
    <w:p w14:paraId="77D0DB21" w14:textId="77777777" w:rsidR="00155631" w:rsidRDefault="00000000" w:rsidP="005E6F8D">
      <w:pPr>
        <w:spacing w:line="480" w:lineRule="auto"/>
        <w:ind w:left="482" w:hangingChars="200" w:hanging="482"/>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Stretching and Variable-Rate Tensile Test</w:t>
      </w:r>
    </w:p>
    <w:p w14:paraId="22736731" w14:textId="16D7F163"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The gel specimens were cut into dimensions of 15 × 10 × 2 mm. To minimize slippage during testing, both ends of the samples were wrapped with 2000-mesh sandpaper and securely clamped using fixtures. Under standard conditions, tensile tests were carried out at a loading rate of 50 mm/min until sample failure occurred. For variable-rate tensile testing, additional tests were conducted at loading rates of 20 mm/min and 100 mm/min. The resulting stress-strain curves were used to calculate the elastic modulus and toughness of the PSM hydrogel. The toughness value was determined by integrating the area under the stress-strain curve from the initial deformation to the point of fracture. According to Hooks’ law, the elastic modulus was calculated within the elastic deformation region (λ = </w:t>
      </w:r>
      <w:r w:rsidR="0049621A">
        <w:rPr>
          <w:rFonts w:ascii="Times New Roman" w:eastAsia="宋体" w:hAnsi="Times New Roman" w:cs="Times New Roman" w:hint="eastAsia"/>
          <w:sz w:val="24"/>
          <w:szCs w:val="24"/>
        </w:rPr>
        <w:t>10%</w:t>
      </w:r>
      <w:r>
        <w:rPr>
          <w:rFonts w:ascii="Times New Roman" w:eastAsia="宋体" w:hAnsi="Times New Roman" w:cs="Times New Roman"/>
          <w:sz w:val="24"/>
          <w:szCs w:val="24"/>
        </w:rPr>
        <w:t>-</w:t>
      </w:r>
      <w:r w:rsidR="0049621A">
        <w:rPr>
          <w:rFonts w:ascii="Times New Roman" w:eastAsia="宋体" w:hAnsi="Times New Roman" w:cs="Times New Roman" w:hint="eastAsia"/>
          <w:sz w:val="24"/>
          <w:szCs w:val="24"/>
        </w:rPr>
        <w:t>150%</w:t>
      </w:r>
      <w:r>
        <w:rPr>
          <w:rFonts w:ascii="Times New Roman" w:eastAsia="宋体" w:hAnsi="Times New Roman" w:cs="Times New Roman"/>
          <w:sz w:val="24"/>
          <w:szCs w:val="24"/>
        </w:rPr>
        <w:t>), and the corresponding calculation formula is as follows:</w:t>
      </w:r>
    </w:p>
    <w:p w14:paraId="404A9359" w14:textId="77777777" w:rsidR="00155631" w:rsidRDefault="00000000" w:rsidP="0084773E">
      <w:pPr>
        <w:spacing w:line="480" w:lineRule="auto"/>
        <w:jc w:val="right"/>
        <w:rPr>
          <w:rFonts w:ascii="Times New Roman" w:eastAsia="宋体" w:hAnsi="Times New Roman" w:cs="Times New Roman"/>
          <w:sz w:val="24"/>
          <w:szCs w:val="24"/>
        </w:rPr>
      </w:pPr>
      <m:oMath>
        <m:r>
          <w:rPr>
            <w:rFonts w:ascii="Cambria Math" w:eastAsia="宋体" w:hAnsi="Cambria Math" w:cs="Times New Roman"/>
            <w:sz w:val="24"/>
            <w:szCs w:val="24"/>
          </w:rPr>
          <m:t>E=</m:t>
        </m:r>
        <m:f>
          <m:fPr>
            <m:ctrlPr>
              <w:rPr>
                <w:rFonts w:ascii="Cambria Math" w:eastAsia="宋体" w:hAnsi="Cambria Math" w:cs="Times New Roman"/>
                <w:i/>
                <w:sz w:val="24"/>
                <w:szCs w:val="24"/>
              </w:rPr>
            </m:ctrlPr>
          </m:fPr>
          <m:num>
            <m:r>
              <w:rPr>
                <w:rFonts w:ascii="Cambria Math" w:eastAsia="宋体" w:hAnsi="Cambria Math" w:cs="Times New Roman"/>
                <w:sz w:val="24"/>
                <w:szCs w:val="24"/>
              </w:rPr>
              <m:t>σ</m:t>
            </m:r>
          </m:num>
          <m:den>
            <m:r>
              <w:rPr>
                <w:rFonts w:ascii="Cambria Math" w:eastAsia="宋体" w:hAnsi="Cambria Math" w:cs="Times New Roman"/>
                <w:sz w:val="24"/>
                <w:szCs w:val="24"/>
              </w:rPr>
              <m:t>ε</m:t>
            </m:r>
          </m:den>
        </m:f>
      </m:oMath>
      <w:r>
        <w:rPr>
          <w:rFonts w:ascii="Times New Roman" w:eastAsia="宋体" w:hAnsi="Times New Roman" w:cs="Times New Roman"/>
          <w:sz w:val="24"/>
          <w:szCs w:val="24"/>
        </w:rPr>
        <w:t xml:space="preserve">                          (eq. S8)</w:t>
      </w:r>
    </w:p>
    <w:p w14:paraId="0803A14A"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Here, E represents the elastic modulus, σ is the stress, and ε is the strain.</w:t>
      </w:r>
    </w:p>
    <w:p w14:paraId="0E4F5333"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point where the stress peak first appears in the material’s yield stage is taken as the upper yield point, and the point where the lowest stable stress value in the yield stage is taken as the lower yield point. The interval from the end of the elastic deformation zone to the lower yield point is taken as the yield interval. After yielding, the tensile range where the stress gradually increases is the strain hardening stage. This process is plastic deformation. The plastic hardening index is calculated by fitting the exponential part of the Ramberg-Osgood model. The calculation formula is as follows:</w:t>
      </w:r>
    </w:p>
    <w:p w14:paraId="143791AA" w14:textId="77777777" w:rsidR="00155631" w:rsidRDefault="00000000" w:rsidP="0084773E">
      <w:pPr>
        <w:spacing w:line="480" w:lineRule="auto"/>
        <w:jc w:val="right"/>
        <w:rPr>
          <w:rFonts w:ascii="Times New Roman" w:eastAsia="宋体" w:hAnsi="Times New Roman" w:cs="Times New Roman"/>
          <w:sz w:val="24"/>
          <w:szCs w:val="24"/>
        </w:rPr>
      </w:pPr>
      <m:oMath>
        <m:r>
          <w:rPr>
            <w:rFonts w:ascii="Cambria Math" w:eastAsia="宋体" w:hAnsi="Cambria Math" w:cs="Times New Roman"/>
            <w:sz w:val="24"/>
            <w:szCs w:val="24"/>
          </w:rPr>
          <m:t>ε=</m:t>
        </m:r>
        <m:f>
          <m:fPr>
            <m:ctrlPr>
              <w:rPr>
                <w:rFonts w:ascii="Cambria Math" w:eastAsia="宋体" w:hAnsi="Cambria Math" w:cs="Times New Roman"/>
                <w:i/>
                <w:sz w:val="24"/>
                <w:szCs w:val="24"/>
              </w:rPr>
            </m:ctrlPr>
          </m:fPr>
          <m:num>
            <m:r>
              <w:rPr>
                <w:rFonts w:ascii="Cambria Math" w:eastAsia="宋体" w:hAnsi="Cambria Math" w:cs="Times New Roman"/>
                <w:sz w:val="24"/>
                <w:szCs w:val="24"/>
              </w:rPr>
              <m:t>σ</m:t>
            </m:r>
          </m:num>
          <m:den>
            <m:r>
              <w:rPr>
                <w:rFonts w:ascii="Cambria Math" w:eastAsia="宋体" w:hAnsi="Cambria Math" w:cs="Times New Roman"/>
                <w:sz w:val="24"/>
                <w:szCs w:val="24"/>
              </w:rPr>
              <m:t>E</m:t>
            </m:r>
          </m:den>
        </m:f>
        <m:r>
          <w:rPr>
            <w:rFonts w:ascii="Cambria Math" w:eastAsia="宋体" w:hAnsi="Cambria Math" w:cs="Times New Roman"/>
            <w:sz w:val="24"/>
            <w:szCs w:val="24"/>
          </w:rPr>
          <m:t xml:space="preserve"> + </m:t>
        </m:r>
        <m:sSup>
          <m:sSupPr>
            <m:ctrlPr>
              <w:rPr>
                <w:rFonts w:ascii="Cambria Math" w:eastAsia="宋体" w:hAnsi="Cambria Math" w:cs="Times New Roman"/>
                <w:i/>
                <w:sz w:val="24"/>
                <w:szCs w:val="24"/>
              </w:rPr>
            </m:ctrlPr>
          </m:sSupPr>
          <m:e>
            <m:d>
              <m:dPr>
                <m:ctrlPr>
                  <w:rPr>
                    <w:rFonts w:ascii="Cambria Math" w:eastAsia="宋体" w:hAnsi="Cambria Math" w:cs="Times New Roman"/>
                    <w:i/>
                    <w:sz w:val="24"/>
                    <w:szCs w:val="24"/>
                  </w:rPr>
                </m:ctrlPr>
              </m:dPr>
              <m:e>
                <m:f>
                  <m:fPr>
                    <m:ctrlPr>
                      <w:rPr>
                        <w:rFonts w:ascii="Cambria Math" w:eastAsia="宋体" w:hAnsi="Cambria Math" w:cs="Times New Roman"/>
                        <w:i/>
                        <w:sz w:val="24"/>
                        <w:szCs w:val="24"/>
                      </w:rPr>
                    </m:ctrlPr>
                  </m:fPr>
                  <m:num>
                    <m:r>
                      <w:rPr>
                        <w:rFonts w:ascii="Cambria Math" w:eastAsia="宋体" w:hAnsi="Cambria Math" w:cs="Times New Roman"/>
                        <w:sz w:val="24"/>
                        <w:szCs w:val="24"/>
                      </w:rPr>
                      <m:t>σ</m:t>
                    </m:r>
                  </m:num>
                  <m:den>
                    <m:r>
                      <w:rPr>
                        <w:rFonts w:ascii="Cambria Math" w:eastAsia="宋体" w:hAnsi="Cambria Math" w:cs="Times New Roman"/>
                        <w:sz w:val="24"/>
                        <w:szCs w:val="24"/>
                      </w:rPr>
                      <m:t>K</m:t>
                    </m:r>
                  </m:den>
                </m:f>
              </m:e>
            </m:d>
          </m:e>
          <m:sup>
            <m:r>
              <w:rPr>
                <w:rFonts w:ascii="Cambria Math" w:eastAsia="宋体" w:hAnsi="Cambria Math" w:cs="Times New Roman"/>
                <w:sz w:val="24"/>
                <w:szCs w:val="24"/>
              </w:rPr>
              <m:t>n</m:t>
            </m:r>
          </m:sup>
        </m:sSup>
      </m:oMath>
      <w:r>
        <w:rPr>
          <w:rFonts w:ascii="Times New Roman" w:eastAsia="宋体" w:hAnsi="Times New Roman" w:cs="Times New Roman"/>
          <w:sz w:val="24"/>
          <w:szCs w:val="24"/>
        </w:rPr>
        <w:t xml:space="preserve">                         (eq. S9)</w:t>
      </w:r>
    </w:p>
    <w:p w14:paraId="32DBDAD6"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lastRenderedPageBreak/>
        <w:t>K is a constant related to material properties, and n is the plastic hardening index.</w:t>
      </w:r>
    </w:p>
    <w:p w14:paraId="3767006F" w14:textId="77777777" w:rsidR="00155631" w:rsidRDefault="00155631" w:rsidP="005E6F8D">
      <w:pPr>
        <w:spacing w:line="480" w:lineRule="auto"/>
        <w:rPr>
          <w:rFonts w:ascii="Times New Roman" w:eastAsia="宋体" w:hAnsi="Times New Roman" w:cs="Times New Roman"/>
          <w:sz w:val="24"/>
          <w:szCs w:val="24"/>
        </w:rPr>
      </w:pPr>
    </w:p>
    <w:p w14:paraId="0588811D"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Rebound Time</w:t>
      </w:r>
    </w:p>
    <w:p w14:paraId="60CDE064" w14:textId="73A55A2A"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gel specimens used for the rebound time test were prepared with dimensions of 15 × 10 × 2 mm. The tests were performed at a loading rate of 50 mm/min, during which the samples were stretched to target strains of λ = 10</w:t>
      </w:r>
      <w:r w:rsidR="0049621A">
        <w:rPr>
          <w:rFonts w:ascii="Times New Roman" w:eastAsia="宋体" w:hAnsi="Times New Roman" w:cs="Times New Roman" w:hint="eastAsia"/>
          <w:sz w:val="24"/>
          <w:szCs w:val="24"/>
        </w:rPr>
        <w:t>00%</w:t>
      </w:r>
      <w:r>
        <w:rPr>
          <w:rFonts w:ascii="Times New Roman" w:eastAsia="宋体" w:hAnsi="Times New Roman" w:cs="Times New Roman"/>
          <w:sz w:val="24"/>
          <w:szCs w:val="24"/>
        </w:rPr>
        <w:t>, 20</w:t>
      </w:r>
      <w:r w:rsidR="0049621A">
        <w:rPr>
          <w:rFonts w:ascii="Times New Roman" w:eastAsia="宋体" w:hAnsi="Times New Roman" w:cs="Times New Roman" w:hint="eastAsia"/>
          <w:sz w:val="24"/>
          <w:szCs w:val="24"/>
        </w:rPr>
        <w:t>00%</w:t>
      </w:r>
      <w:r>
        <w:rPr>
          <w:rFonts w:ascii="Times New Roman" w:eastAsia="宋体" w:hAnsi="Times New Roman" w:cs="Times New Roman"/>
          <w:sz w:val="24"/>
          <w:szCs w:val="24"/>
        </w:rPr>
        <w:t>, 40</w:t>
      </w:r>
      <w:r w:rsidR="0049621A">
        <w:rPr>
          <w:rFonts w:ascii="Times New Roman" w:eastAsia="宋体" w:hAnsi="Times New Roman" w:cs="Times New Roman" w:hint="eastAsia"/>
          <w:sz w:val="24"/>
          <w:szCs w:val="24"/>
        </w:rPr>
        <w:t>00%</w:t>
      </w:r>
      <w:r>
        <w:rPr>
          <w:rFonts w:ascii="Times New Roman" w:eastAsia="宋体" w:hAnsi="Times New Roman" w:cs="Times New Roman"/>
          <w:sz w:val="24"/>
          <w:szCs w:val="24"/>
        </w:rPr>
        <w:t>, and 80</w:t>
      </w:r>
      <w:r w:rsidR="0049621A">
        <w:rPr>
          <w:rFonts w:ascii="Times New Roman" w:eastAsia="宋体" w:hAnsi="Times New Roman" w:cs="Times New Roman" w:hint="eastAsia"/>
          <w:sz w:val="24"/>
          <w:szCs w:val="24"/>
        </w:rPr>
        <w:t>00%</w:t>
      </w:r>
      <w:r>
        <w:rPr>
          <w:rFonts w:ascii="Times New Roman" w:eastAsia="宋体" w:hAnsi="Times New Roman" w:cs="Times New Roman"/>
          <w:sz w:val="24"/>
          <w:szCs w:val="24"/>
        </w:rPr>
        <w:t>, respectively, and then held. After the removal of the external force, the recovery length of the gel was recorded at specified time intervals (0, 2, 10, 30, 60, 120, 180, 300, 600, and 900 seconds).</w:t>
      </w:r>
    </w:p>
    <w:p w14:paraId="552658A2" w14:textId="77777777" w:rsidR="00155631" w:rsidRDefault="00155631" w:rsidP="005E6F8D">
      <w:pPr>
        <w:spacing w:line="480" w:lineRule="auto"/>
        <w:rPr>
          <w:rFonts w:ascii="Times New Roman" w:eastAsia="宋体" w:hAnsi="Times New Roman" w:cs="Times New Roman"/>
          <w:sz w:val="24"/>
          <w:szCs w:val="24"/>
        </w:rPr>
      </w:pPr>
    </w:p>
    <w:p w14:paraId="3B2325CE" w14:textId="77777777" w:rsidR="00155631" w:rsidRDefault="00000000" w:rsidP="005E6F8D">
      <w:pPr>
        <w:spacing w:line="480" w:lineRule="auto"/>
        <w:ind w:left="241" w:hangingChars="100" w:hanging="241"/>
        <w:rPr>
          <w:rFonts w:ascii="Times New Roman" w:eastAsia="宋体" w:hAnsi="Times New Roman" w:cs="Times New Roman"/>
          <w:b/>
          <w:bCs/>
          <w:sz w:val="24"/>
          <w:szCs w:val="24"/>
        </w:rPr>
      </w:pPr>
      <w:r>
        <w:rPr>
          <w:rFonts w:ascii="Times New Roman" w:eastAsia="宋体" w:hAnsi="Times New Roman" w:cs="Times New Roman"/>
          <w:b/>
          <w:bCs/>
          <w:sz w:val="24"/>
          <w:szCs w:val="24"/>
        </w:rPr>
        <w:t>Cyclic Tensile Test</w:t>
      </w:r>
    </w:p>
    <w:p w14:paraId="4E6E1957" w14:textId="4D71EDAF" w:rsidR="00155631" w:rsidRDefault="00000000" w:rsidP="005E6F8D">
      <w:pPr>
        <w:spacing w:line="480" w:lineRule="auto"/>
        <w:ind w:firstLineChars="200" w:firstLine="480"/>
        <w:rPr>
          <w:rFonts w:ascii="Times New Roman" w:eastAsia="PingFang SC" w:hAnsi="Times New Roman" w:cs="Times New Roman"/>
          <w:color w:val="2A2F45"/>
          <w:sz w:val="24"/>
          <w:szCs w:val="24"/>
          <w:shd w:val="clear" w:color="auto" w:fill="FFFFFF"/>
        </w:rPr>
      </w:pPr>
      <w:r>
        <w:rPr>
          <w:rFonts w:ascii="Times New Roman" w:eastAsia="宋体" w:hAnsi="Times New Roman" w:cs="Times New Roman"/>
          <w:sz w:val="24"/>
          <w:szCs w:val="24"/>
        </w:rPr>
        <w:t>The gel specimens used for the cyclic tensile test were prepared with dimensions of 15 × 10 × 2 mm and subjected to a cyclic strain of λ = 1</w:t>
      </w:r>
      <w:r w:rsidR="0049621A">
        <w:rPr>
          <w:rFonts w:ascii="Times New Roman" w:eastAsia="宋体" w:hAnsi="Times New Roman" w:cs="Times New Roman" w:hint="eastAsia"/>
          <w:sz w:val="24"/>
          <w:szCs w:val="24"/>
        </w:rPr>
        <w:t>00%</w:t>
      </w:r>
      <w:r>
        <w:rPr>
          <w:rFonts w:ascii="Times New Roman" w:eastAsia="宋体" w:hAnsi="Times New Roman" w:cs="Times New Roman"/>
          <w:sz w:val="24"/>
          <w:szCs w:val="24"/>
        </w:rPr>
        <w:t>. A total of 40 cycles were performed, with a 5-minute relaxation interval introduced after the 20th cycle; the remaining cycles were conducted without interruption. The loading rate was set at 75 mm/min, while the unloading rate was 15 mm/min. During cyclic tensile testing, the mechanical behavior of the hydrogels was assessed based on energy dissipation and reversibility. Energy dissipation was quantified by calculating the area enclosed between the loading and unloading curves. Reversibility was defined as the ratio of the area under the loading curve of a selected cycle (e.g., the second or Nth cycle) to that of the first cycle on the stress-strain curve.</w:t>
      </w:r>
    </w:p>
    <w:p w14:paraId="70CEFFB6" w14:textId="77777777" w:rsidR="00155631" w:rsidRDefault="00155631" w:rsidP="005E6F8D">
      <w:pPr>
        <w:spacing w:line="480" w:lineRule="auto"/>
        <w:ind w:firstLineChars="200" w:firstLine="480"/>
        <w:rPr>
          <w:rFonts w:ascii="Times New Roman" w:eastAsia="宋体" w:hAnsi="Times New Roman" w:cs="Times New Roman"/>
          <w:sz w:val="24"/>
          <w:szCs w:val="24"/>
        </w:rPr>
      </w:pPr>
    </w:p>
    <w:p w14:paraId="5034D28A"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Incremental Cyclic Tensile Test</w:t>
      </w:r>
    </w:p>
    <w:p w14:paraId="157DE7DB" w14:textId="744CCDF0"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The gel specimens used for the incremental cyclic tensile test were prepared with dimensions of 15 × 10 × 2 mm. The applied cyclic strains were set at λ = </w:t>
      </w:r>
      <w:r w:rsidR="0049621A">
        <w:rPr>
          <w:rFonts w:ascii="Times New Roman" w:eastAsia="宋体" w:hAnsi="Times New Roman" w:cs="Times New Roman" w:hint="eastAsia"/>
          <w:sz w:val="24"/>
          <w:szCs w:val="24"/>
        </w:rPr>
        <w:t>20%</w:t>
      </w:r>
      <w:r>
        <w:rPr>
          <w:rFonts w:ascii="Times New Roman" w:eastAsia="宋体" w:hAnsi="Times New Roman" w:cs="Times New Roman"/>
          <w:sz w:val="24"/>
          <w:szCs w:val="24"/>
        </w:rPr>
        <w:t xml:space="preserve">, </w:t>
      </w:r>
      <w:r w:rsidR="0049621A">
        <w:rPr>
          <w:rFonts w:ascii="Times New Roman" w:eastAsia="宋体" w:hAnsi="Times New Roman" w:cs="Times New Roman" w:hint="eastAsia"/>
          <w:sz w:val="24"/>
          <w:szCs w:val="24"/>
        </w:rPr>
        <w:t>40%</w:t>
      </w:r>
      <w:r>
        <w:rPr>
          <w:rFonts w:ascii="Times New Roman" w:eastAsia="宋体" w:hAnsi="Times New Roman" w:cs="Times New Roman"/>
          <w:sz w:val="24"/>
          <w:szCs w:val="24"/>
        </w:rPr>
        <w:t xml:space="preserve">, </w:t>
      </w:r>
      <w:r w:rsidR="0049621A">
        <w:rPr>
          <w:rFonts w:ascii="Times New Roman" w:eastAsia="宋体" w:hAnsi="Times New Roman" w:cs="Times New Roman" w:hint="eastAsia"/>
          <w:sz w:val="24"/>
          <w:szCs w:val="24"/>
        </w:rPr>
        <w:t>60%</w:t>
      </w:r>
      <w:r>
        <w:rPr>
          <w:rFonts w:ascii="Times New Roman" w:eastAsia="宋体" w:hAnsi="Times New Roman" w:cs="Times New Roman"/>
          <w:sz w:val="24"/>
          <w:szCs w:val="24"/>
        </w:rPr>
        <w:t xml:space="preserve">, </w:t>
      </w:r>
      <w:r w:rsidR="0049621A">
        <w:rPr>
          <w:rFonts w:ascii="Times New Roman" w:eastAsia="宋体" w:hAnsi="Times New Roman" w:cs="Times New Roman" w:hint="eastAsia"/>
          <w:sz w:val="24"/>
          <w:szCs w:val="24"/>
        </w:rPr>
        <w:t>80%</w:t>
      </w:r>
      <w:r>
        <w:rPr>
          <w:rFonts w:ascii="Times New Roman" w:eastAsia="宋体" w:hAnsi="Times New Roman" w:cs="Times New Roman"/>
          <w:sz w:val="24"/>
          <w:szCs w:val="24"/>
        </w:rPr>
        <w:t>, and 1. Each strain level was repeated for five consecutive cycles without intervals between cycles. The loading rate was maintained at 10 mm/min, while the unloading rate was set at 2 mm/min. During the test, two key parameters-residual strain and hysteresis ratio-were employed to evaluate the mechanical performance of the hydrogel. Residual strain is defined as the remaining strain when stress returns to zero during each unloading phase. The hysteresis ratio is calculated as the ratio of the area enclosed between the loading and unloading curves in each cycle to the area under the corresponding loading curve.</w:t>
      </w:r>
    </w:p>
    <w:p w14:paraId="67BB0673" w14:textId="77777777" w:rsidR="00155631" w:rsidRDefault="00155631" w:rsidP="005E6F8D">
      <w:pPr>
        <w:spacing w:line="480" w:lineRule="auto"/>
        <w:rPr>
          <w:rFonts w:ascii="Times New Roman" w:eastAsia="宋体" w:hAnsi="Times New Roman" w:cs="Times New Roman"/>
          <w:sz w:val="24"/>
          <w:szCs w:val="24"/>
        </w:rPr>
      </w:pPr>
    </w:p>
    <w:p w14:paraId="0CF358AD" w14:textId="77777777" w:rsidR="00155631" w:rsidRDefault="00000000" w:rsidP="005E6F8D">
      <w:pPr>
        <w:spacing w:line="480" w:lineRule="auto"/>
        <w:ind w:left="482" w:hangingChars="200" w:hanging="482"/>
        <w:rPr>
          <w:rFonts w:ascii="Times New Roman" w:eastAsia="宋体" w:hAnsi="Times New Roman" w:cs="Times New Roman"/>
          <w:b/>
          <w:bCs/>
          <w:sz w:val="24"/>
          <w:szCs w:val="24"/>
        </w:rPr>
      </w:pPr>
      <w:r>
        <w:rPr>
          <w:rFonts w:ascii="Times New Roman" w:eastAsia="宋体" w:hAnsi="Times New Roman" w:cs="Times New Roman"/>
          <w:b/>
          <w:bCs/>
          <w:sz w:val="24"/>
          <w:szCs w:val="24"/>
        </w:rPr>
        <w:t>Tear Fatigue Test</w:t>
      </w:r>
    </w:p>
    <w:p w14:paraId="6E9D91BA"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gel specimens used for the tear test were prepared with dimensions of 22 × 10 × 2 mm, including an initial tear length of 5 mm. The test was carried out at a loading rate of 50 mm/min until complete specimen failure occurred. In tear testing, two key parameters-tear energy release rate and tear toughness-were employed to evaluate the mechanical performance of the hydrogel. Tear toughness is defined as the area under the stress-strain curve obtained during the test. The tear energy release rate was calculated using the following formula.</w:t>
      </w:r>
    </w:p>
    <w:p w14:paraId="2DEC8535" w14:textId="77777777" w:rsidR="00155631" w:rsidRDefault="00000000" w:rsidP="0084773E">
      <w:pPr>
        <w:spacing w:line="480" w:lineRule="auto"/>
        <w:ind w:firstLineChars="200" w:firstLine="480"/>
        <w:jc w:val="right"/>
        <w:rPr>
          <w:rFonts w:ascii="Times New Roman" w:eastAsia="宋体" w:hAnsi="Times New Roman" w:cs="Times New Roman"/>
          <w:sz w:val="24"/>
          <w:szCs w:val="24"/>
        </w:rPr>
      </w:pPr>
      <m:oMath>
        <m:r>
          <w:rPr>
            <w:rFonts w:ascii="Cambria Math" w:eastAsia="宋体" w:hAnsi="Cambria Math" w:cs="Times New Roman"/>
            <w:sz w:val="24"/>
            <w:szCs w:val="24"/>
          </w:rPr>
          <m:t>G=</m:t>
        </m:r>
        <m:f>
          <m:fPr>
            <m:ctrlPr>
              <w:rPr>
                <w:rFonts w:ascii="Cambria Math" w:eastAsia="宋体" w:hAnsi="Cambria Math" w:cs="Times New Roman"/>
                <w:i/>
                <w:sz w:val="24"/>
                <w:szCs w:val="24"/>
              </w:rPr>
            </m:ctrlPr>
          </m:fPr>
          <m:num>
            <m:r>
              <w:rPr>
                <w:rFonts w:ascii="Cambria Math" w:eastAsia="宋体" w:hAnsi="Cambria Math" w:cs="Times New Roman"/>
                <w:sz w:val="24"/>
                <w:szCs w:val="24"/>
              </w:rPr>
              <m:t>2</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λ</m:t>
                </m:r>
              </m:e>
              <m:sub>
                <m:r>
                  <w:rPr>
                    <w:rFonts w:ascii="Cambria Math" w:eastAsia="宋体" w:hAnsi="Cambria Math" w:cs="Times New Roman"/>
                    <w:sz w:val="24"/>
                    <w:szCs w:val="24"/>
                  </w:rPr>
                  <m:t>a</m:t>
                </m:r>
              </m:sub>
            </m:sSub>
            <m:r>
              <w:rPr>
                <w:rFonts w:ascii="Cambria Math" w:eastAsia="宋体" w:hAnsi="Cambria Math" w:cs="Times New Roman"/>
                <w:sz w:val="24"/>
                <w:szCs w:val="24"/>
              </w:rPr>
              <m:t>F</m:t>
            </m:r>
          </m:num>
          <m:den>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b</m:t>
                </m:r>
              </m:e>
              <m:sub>
                <m:r>
                  <w:rPr>
                    <w:rFonts w:ascii="Cambria Math" w:eastAsia="宋体" w:hAnsi="Cambria Math" w:cs="Times New Roman"/>
                    <w:sz w:val="24"/>
                    <w:szCs w:val="24"/>
                  </w:rPr>
                  <m:t>0</m:t>
                </m:r>
              </m:sub>
            </m:sSub>
          </m:den>
        </m:f>
        <m:r>
          <w:rPr>
            <w:rFonts w:ascii="Cambria Math" w:eastAsia="宋体" w:hAnsi="Cambria Math" w:cs="Times New Roman"/>
            <w:sz w:val="24"/>
            <w:szCs w:val="24"/>
          </w:rPr>
          <m:t xml:space="preserve"> - 2W</m:t>
        </m:r>
        <m:d>
          <m:dPr>
            <m:ctrlPr>
              <w:rPr>
                <w:rFonts w:ascii="Cambria Math" w:eastAsia="宋体" w:hAnsi="Cambria Math" w:cs="Times New Roman"/>
                <w:i/>
                <w:sz w:val="24"/>
                <w:szCs w:val="24"/>
              </w:rPr>
            </m:ctrlPr>
          </m:dPr>
          <m:e>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λ</m:t>
                </m:r>
              </m:e>
              <m:sub>
                <m:r>
                  <w:rPr>
                    <w:rFonts w:ascii="Cambria Math" w:eastAsia="宋体" w:hAnsi="Cambria Math" w:cs="Times New Roman"/>
                    <w:sz w:val="24"/>
                    <w:szCs w:val="24"/>
                  </w:rPr>
                  <m:t>a</m:t>
                </m:r>
              </m:sub>
            </m:sSub>
          </m:e>
        </m:d>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H</m:t>
            </m:r>
          </m:e>
          <m:sub>
            <m:r>
              <w:rPr>
                <w:rFonts w:ascii="Cambria Math" w:eastAsia="宋体" w:hAnsi="Cambria Math" w:cs="Times New Roman"/>
                <w:sz w:val="24"/>
                <w:szCs w:val="24"/>
              </w:rPr>
              <m:t>0</m:t>
            </m:r>
          </m:sub>
        </m:sSub>
      </m:oMath>
      <w:r>
        <w:rPr>
          <w:rFonts w:ascii="Times New Roman" w:eastAsia="宋体" w:hAnsi="Times New Roman" w:cs="Times New Roman"/>
          <w:sz w:val="24"/>
          <w:szCs w:val="24"/>
        </w:rPr>
        <w:t xml:space="preserve">                 (eq. S10)</w:t>
      </w:r>
    </w:p>
    <w:p w14:paraId="65BF06D0"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Here, W(</w:t>
      </w:r>
      <w:proofErr w:type="spellStart"/>
      <w:r>
        <w:rPr>
          <w:rFonts w:ascii="Times New Roman" w:eastAsia="宋体" w:hAnsi="Times New Roman" w:cs="Times New Roman"/>
          <w:sz w:val="24"/>
          <w:szCs w:val="24"/>
        </w:rPr>
        <w:t>λa</w:t>
      </w:r>
      <w:proofErr w:type="spellEnd"/>
      <w:r>
        <w:rPr>
          <w:rFonts w:ascii="Times New Roman" w:eastAsia="宋体" w:hAnsi="Times New Roman" w:cs="Times New Roman"/>
          <w:sz w:val="24"/>
          <w:szCs w:val="24"/>
        </w:rPr>
        <w:t xml:space="preserve">) represents the strain energy density of the crack that has not expanded </w:t>
      </w:r>
      <w:r>
        <w:rPr>
          <w:rFonts w:ascii="Times New Roman" w:eastAsia="宋体" w:hAnsi="Times New Roman" w:cs="Times New Roman"/>
          <w:sz w:val="24"/>
          <w:szCs w:val="24"/>
        </w:rPr>
        <w:lastRenderedPageBreak/>
        <w:t xml:space="preserve">under uniaxial tension </w:t>
      </w:r>
      <w:proofErr w:type="spellStart"/>
      <w:r>
        <w:rPr>
          <w:rFonts w:ascii="Times New Roman" w:eastAsia="宋体" w:hAnsi="Times New Roman" w:cs="Times New Roman"/>
          <w:sz w:val="24"/>
          <w:szCs w:val="24"/>
        </w:rPr>
        <w:t>λa</w:t>
      </w:r>
      <w:proofErr w:type="spellEnd"/>
      <w:r>
        <w:rPr>
          <w:rFonts w:ascii="Times New Roman" w:eastAsia="宋体" w:hAnsi="Times New Roman" w:cs="Times New Roman"/>
          <w:sz w:val="24"/>
          <w:szCs w:val="24"/>
        </w:rPr>
        <w:t>, and H</w:t>
      </w:r>
      <w:r>
        <w:rPr>
          <w:rFonts w:ascii="Times New Roman" w:eastAsia="宋体" w:hAnsi="Times New Roman" w:cs="Times New Roman"/>
          <w:sz w:val="24"/>
          <w:szCs w:val="24"/>
          <w:vertAlign w:val="subscript"/>
        </w:rPr>
        <w:t>0</w:t>
      </w:r>
      <w:r>
        <w:rPr>
          <w:rFonts w:ascii="Times New Roman" w:eastAsia="宋体" w:hAnsi="Times New Roman" w:cs="Times New Roman"/>
          <w:sz w:val="24"/>
          <w:szCs w:val="24"/>
        </w:rPr>
        <w:t xml:space="preserve"> is the distance from the initial tear to the left end of the gel. F is the tearing force, b</w:t>
      </w:r>
      <w:r>
        <w:rPr>
          <w:rFonts w:ascii="Times New Roman" w:eastAsia="宋体" w:hAnsi="Times New Roman" w:cs="Times New Roman"/>
          <w:sz w:val="24"/>
          <w:szCs w:val="24"/>
          <w:vertAlign w:val="subscript"/>
        </w:rPr>
        <w:t>0</w:t>
      </w:r>
      <w:r>
        <w:rPr>
          <w:rFonts w:ascii="Times New Roman" w:eastAsia="宋体" w:hAnsi="Times New Roman" w:cs="Times New Roman"/>
          <w:sz w:val="24"/>
          <w:szCs w:val="24"/>
        </w:rPr>
        <w:t xml:space="preserve"> is the thickness of the specimen, and </w:t>
      </w:r>
      <w:proofErr w:type="spellStart"/>
      <w:r>
        <w:rPr>
          <w:rFonts w:ascii="Times New Roman" w:eastAsia="宋体" w:hAnsi="Times New Roman" w:cs="Times New Roman"/>
          <w:sz w:val="24"/>
          <w:szCs w:val="24"/>
        </w:rPr>
        <w:t>λa</w:t>
      </w:r>
      <w:proofErr w:type="spellEnd"/>
      <w:r>
        <w:rPr>
          <w:rFonts w:ascii="Times New Roman" w:eastAsia="宋体" w:hAnsi="Times New Roman" w:cs="Times New Roman"/>
          <w:sz w:val="24"/>
          <w:szCs w:val="24"/>
        </w:rPr>
        <w:t xml:space="preserve"> is the tensile ratio of the two arms.</w:t>
      </w:r>
    </w:p>
    <w:p w14:paraId="6C753B1E" w14:textId="77777777" w:rsidR="00155631" w:rsidRDefault="00155631" w:rsidP="005E6F8D">
      <w:pPr>
        <w:spacing w:line="480" w:lineRule="auto"/>
        <w:rPr>
          <w:rFonts w:ascii="Times New Roman" w:eastAsia="宋体" w:hAnsi="Times New Roman" w:cs="Times New Roman"/>
          <w:sz w:val="24"/>
          <w:szCs w:val="24"/>
        </w:rPr>
      </w:pPr>
    </w:p>
    <w:p w14:paraId="6869DAC4" w14:textId="77777777" w:rsidR="00155631" w:rsidRDefault="00000000" w:rsidP="005E6F8D">
      <w:pPr>
        <w:spacing w:line="480" w:lineRule="auto"/>
        <w:ind w:left="482" w:hangingChars="200" w:hanging="482"/>
        <w:rPr>
          <w:rFonts w:ascii="Times New Roman" w:eastAsia="宋体" w:hAnsi="Times New Roman" w:cs="Times New Roman"/>
          <w:b/>
          <w:bCs/>
          <w:sz w:val="24"/>
          <w:szCs w:val="24"/>
        </w:rPr>
      </w:pPr>
      <w:r>
        <w:rPr>
          <w:rFonts w:ascii="Times New Roman" w:eastAsia="宋体" w:hAnsi="Times New Roman" w:cs="Times New Roman"/>
          <w:b/>
          <w:bCs/>
          <w:sz w:val="24"/>
          <w:szCs w:val="24"/>
        </w:rPr>
        <w:t>Notch Fatigue Test</w:t>
      </w:r>
    </w:p>
    <w:p w14:paraId="3FFA8E8F"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gel specimens used for the notch test were prepared with dimensions of 20 × 5 × 2 mm, and an initial semi-circular notch with a diameter of 1 mm was introduced. The test was performed at a loading rate of 50 mm/min until complete specimen failure occurred. In notch testing, the mechanical performance of the hydrogels was evaluated based on two parameters: notch toughness and notch energy release rate. Notch toughness is defined as the area under the stress-strain curve obtained during the test. The notch energy release rate was calculated using the following formula.</w:t>
      </w:r>
    </w:p>
    <w:p w14:paraId="0A3BD95F" w14:textId="77777777" w:rsidR="00155631" w:rsidRDefault="00000000" w:rsidP="0084773E">
      <w:pPr>
        <w:spacing w:line="480" w:lineRule="auto"/>
        <w:jc w:val="right"/>
        <w:rPr>
          <w:rFonts w:ascii="Times New Roman" w:eastAsia="宋体" w:hAnsi="Times New Roman" w:cs="Times New Roman"/>
          <w:sz w:val="24"/>
          <w:szCs w:val="24"/>
        </w:rPr>
      </w:pPr>
      <m:oMath>
        <m:r>
          <w:rPr>
            <w:rFonts w:ascii="Cambria Math" w:eastAsia="宋体" w:hAnsi="Cambria Math" w:cs="Times New Roman"/>
            <w:sz w:val="24"/>
            <w:szCs w:val="24"/>
          </w:rPr>
          <m:t>G=</m:t>
        </m:r>
        <m:f>
          <m:fPr>
            <m:ctrlPr>
              <w:rPr>
                <w:rFonts w:ascii="Cambria Math" w:eastAsia="宋体" w:hAnsi="Cambria Math" w:cs="Times New Roman"/>
                <w:i/>
                <w:sz w:val="24"/>
                <w:szCs w:val="24"/>
              </w:rPr>
            </m:ctrlPr>
          </m:fPr>
          <m:num>
            <m:r>
              <w:rPr>
                <w:rFonts w:ascii="Cambria Math" w:eastAsia="宋体" w:hAnsi="Cambria Math" w:cs="Times New Roman"/>
                <w:sz w:val="24"/>
                <w:szCs w:val="24"/>
              </w:rPr>
              <m:t>6</m:t>
            </m:r>
          </m:num>
          <m:den>
            <m:rad>
              <m:radPr>
                <m:degHide m:val="1"/>
                <m:ctrlPr>
                  <w:rPr>
                    <w:rFonts w:ascii="Cambria Math" w:eastAsia="宋体" w:hAnsi="Cambria Math" w:cs="Times New Roman"/>
                    <w:i/>
                    <w:sz w:val="24"/>
                    <w:szCs w:val="24"/>
                  </w:rPr>
                </m:ctrlPr>
              </m:radPr>
              <m:deg/>
              <m:e>
                <m:r>
                  <w:rPr>
                    <w:rFonts w:ascii="Cambria Math" w:eastAsia="宋体" w:hAnsi="Cambria Math" w:cs="Times New Roman"/>
                    <w:sz w:val="24"/>
                    <w:szCs w:val="24"/>
                  </w:rPr>
                  <m:t>λ</m:t>
                </m:r>
              </m:e>
            </m:rad>
          </m:den>
        </m:f>
        <m:r>
          <w:rPr>
            <w:rFonts w:ascii="Cambria Math" w:eastAsia="宋体" w:hAnsi="Cambria Math" w:cs="Times New Roman"/>
            <w:sz w:val="24"/>
            <w:szCs w:val="24"/>
          </w:rPr>
          <m:t>W</m:t>
        </m:r>
        <m:d>
          <m:dPr>
            <m:ctrlPr>
              <w:rPr>
                <w:rFonts w:ascii="Cambria Math" w:eastAsia="宋体" w:hAnsi="Cambria Math" w:cs="Times New Roman"/>
                <w:i/>
                <w:sz w:val="24"/>
                <w:szCs w:val="24"/>
              </w:rPr>
            </m:ctrlPr>
          </m:dPr>
          <m:e>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λ</m:t>
                </m:r>
              </m:e>
              <m:sub>
                <m:r>
                  <w:rPr>
                    <w:rFonts w:ascii="Cambria Math" w:eastAsia="宋体" w:hAnsi="Cambria Math" w:cs="Times New Roman"/>
                    <w:sz w:val="24"/>
                    <w:szCs w:val="24"/>
                  </w:rPr>
                  <m:t>b</m:t>
                </m:r>
              </m:sub>
            </m:sSub>
          </m:e>
        </m:d>
        <m:r>
          <w:rPr>
            <w:rFonts w:ascii="Cambria Math" w:eastAsia="宋体" w:hAnsi="Cambria Math" w:cs="Times New Roman"/>
            <w:sz w:val="24"/>
            <w:szCs w:val="24"/>
          </w:rPr>
          <m:t>c</m:t>
        </m:r>
      </m:oMath>
      <w:r>
        <w:rPr>
          <w:rFonts w:ascii="Times New Roman" w:eastAsia="宋体" w:hAnsi="Times New Roman" w:cs="Times New Roman"/>
          <w:sz w:val="24"/>
          <w:szCs w:val="24"/>
        </w:rPr>
        <w:t xml:space="preserve">                     (eq. S11)</w:t>
      </w:r>
    </w:p>
    <w:p w14:paraId="350EC7B0"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Here, W(</w:t>
      </w:r>
      <w:proofErr w:type="spellStart"/>
      <w:r>
        <w:rPr>
          <w:rFonts w:ascii="Times New Roman" w:eastAsia="宋体" w:hAnsi="Times New Roman" w:cs="Times New Roman"/>
          <w:sz w:val="24"/>
          <w:szCs w:val="24"/>
        </w:rPr>
        <w:t>λ</w:t>
      </w:r>
      <w:r>
        <w:rPr>
          <w:rFonts w:ascii="Times New Roman" w:eastAsia="宋体" w:hAnsi="Times New Roman" w:cs="Times New Roman"/>
          <w:sz w:val="24"/>
          <w:szCs w:val="24"/>
          <w:vertAlign w:val="subscript"/>
        </w:rPr>
        <w:t>b</w:t>
      </w:r>
      <w:proofErr w:type="spellEnd"/>
      <w:r>
        <w:rPr>
          <w:rFonts w:ascii="Times New Roman" w:eastAsia="宋体" w:hAnsi="Times New Roman" w:cs="Times New Roman"/>
          <w:sz w:val="24"/>
          <w:szCs w:val="24"/>
        </w:rPr>
        <w:t xml:space="preserve">) represents the strain energy density of the uncracked sample subjected to uniaxial tensile </w:t>
      </w:r>
      <w:proofErr w:type="spellStart"/>
      <w:r>
        <w:rPr>
          <w:rFonts w:ascii="Times New Roman" w:eastAsia="宋体" w:hAnsi="Times New Roman" w:cs="Times New Roman"/>
          <w:sz w:val="24"/>
          <w:szCs w:val="24"/>
        </w:rPr>
        <w:t>λ</w:t>
      </w:r>
      <w:r>
        <w:rPr>
          <w:rFonts w:ascii="Times New Roman" w:eastAsia="宋体" w:hAnsi="Times New Roman" w:cs="Times New Roman"/>
          <w:sz w:val="24"/>
          <w:szCs w:val="24"/>
          <w:vertAlign w:val="subscript"/>
        </w:rPr>
        <w:t>b</w:t>
      </w:r>
      <w:proofErr w:type="spellEnd"/>
      <w:r>
        <w:rPr>
          <w:rFonts w:ascii="Times New Roman" w:eastAsia="宋体" w:hAnsi="Times New Roman" w:cs="Times New Roman"/>
          <w:sz w:val="24"/>
          <w:szCs w:val="24"/>
        </w:rPr>
        <w:t>, and c is the notch radius.</w:t>
      </w:r>
    </w:p>
    <w:p w14:paraId="130F6AEE" w14:textId="77777777" w:rsidR="00155631" w:rsidRDefault="00155631" w:rsidP="005E6F8D">
      <w:pPr>
        <w:spacing w:line="480" w:lineRule="auto"/>
        <w:rPr>
          <w:rFonts w:ascii="Times New Roman" w:eastAsia="宋体" w:hAnsi="Times New Roman" w:cs="Times New Roman"/>
          <w:sz w:val="24"/>
          <w:szCs w:val="24"/>
        </w:rPr>
      </w:pPr>
    </w:p>
    <w:p w14:paraId="5185E495"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Shear Fatigue Test</w:t>
      </w:r>
    </w:p>
    <w:p w14:paraId="189F03D8"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The crack growth under cyclic load and fatigue threshold are measured by using pure shear samples. We prepare two samples, with and without a </w:t>
      </w:r>
      <w:proofErr w:type="spellStart"/>
      <w:r>
        <w:rPr>
          <w:rFonts w:ascii="Times New Roman" w:eastAsia="宋体" w:hAnsi="Times New Roman" w:cs="Times New Roman"/>
          <w:sz w:val="24"/>
          <w:szCs w:val="24"/>
        </w:rPr>
        <w:t>precrack</w:t>
      </w:r>
      <w:proofErr w:type="spellEnd"/>
      <w:r>
        <w:rPr>
          <w:rFonts w:ascii="Times New Roman" w:eastAsia="宋体" w:hAnsi="Times New Roman" w:cs="Times New Roman"/>
          <w:sz w:val="24"/>
          <w:szCs w:val="24"/>
        </w:rPr>
        <w:t xml:space="preserve">. Both samples have the same dimension of </w:t>
      </w:r>
      <w:bookmarkStart w:id="2" w:name="OLE_LINK2"/>
      <w:r>
        <w:rPr>
          <w:rFonts w:ascii="Times New Roman" w:eastAsia="宋体" w:hAnsi="Times New Roman" w:cs="Times New Roman"/>
          <w:sz w:val="24"/>
          <w:szCs w:val="24"/>
        </w:rPr>
        <w:t>28 × 5 × 2 (width × height × thickness, mm)</w:t>
      </w:r>
      <w:bookmarkEnd w:id="2"/>
      <w:r>
        <w:rPr>
          <w:rFonts w:ascii="Times New Roman" w:eastAsia="宋体" w:hAnsi="Times New Roman" w:cs="Times New Roman"/>
          <w:sz w:val="24"/>
          <w:szCs w:val="24"/>
        </w:rPr>
        <w:t xml:space="preserve">. For the </w:t>
      </w:r>
      <w:proofErr w:type="spellStart"/>
      <w:r>
        <w:rPr>
          <w:rFonts w:ascii="Times New Roman" w:eastAsia="宋体" w:hAnsi="Times New Roman" w:cs="Times New Roman"/>
          <w:sz w:val="24"/>
          <w:szCs w:val="24"/>
        </w:rPr>
        <w:t>precracked</w:t>
      </w:r>
      <w:proofErr w:type="spellEnd"/>
      <w:r>
        <w:rPr>
          <w:rFonts w:ascii="Times New Roman" w:eastAsia="宋体" w:hAnsi="Times New Roman" w:cs="Times New Roman"/>
          <w:sz w:val="24"/>
          <w:szCs w:val="24"/>
        </w:rPr>
        <w:t xml:space="preserve"> sample, the initial crack length is 7 mm. We first load and unload the sample without a </w:t>
      </w:r>
      <w:proofErr w:type="spellStart"/>
      <w:r>
        <w:rPr>
          <w:rFonts w:ascii="Times New Roman" w:eastAsia="宋体" w:hAnsi="Times New Roman" w:cs="Times New Roman"/>
          <w:sz w:val="24"/>
          <w:szCs w:val="24"/>
        </w:rPr>
        <w:t>precrack</w:t>
      </w:r>
      <w:proofErr w:type="spellEnd"/>
      <w:r>
        <w:rPr>
          <w:rFonts w:ascii="Times New Roman" w:eastAsia="宋体" w:hAnsi="Times New Roman" w:cs="Times New Roman"/>
          <w:sz w:val="24"/>
          <w:szCs w:val="24"/>
        </w:rPr>
        <w:t xml:space="preserve"> for 300 cycles at an amplitude of stretch </w:t>
      </w:r>
      <w:proofErr w:type="spellStart"/>
      <w:r>
        <w:rPr>
          <w:rFonts w:ascii="Times New Roman" w:eastAsia="宋体" w:hAnsi="Times New Roman" w:cs="Times New Roman"/>
          <w:sz w:val="24"/>
          <w:szCs w:val="24"/>
        </w:rPr>
        <w:t>λc</w:t>
      </w:r>
      <w:proofErr w:type="spellEnd"/>
      <w:r>
        <w:rPr>
          <w:rFonts w:ascii="Times New Roman" w:eastAsia="宋体" w:hAnsi="Times New Roman" w:cs="Times New Roman"/>
          <w:sz w:val="24"/>
          <w:szCs w:val="24"/>
        </w:rPr>
        <w:t xml:space="preserve">. During cyclic </w:t>
      </w:r>
      <w:r>
        <w:rPr>
          <w:rFonts w:ascii="Times New Roman" w:eastAsia="宋体" w:hAnsi="Times New Roman" w:cs="Times New Roman"/>
          <w:sz w:val="24"/>
          <w:szCs w:val="24"/>
        </w:rPr>
        <w:lastRenderedPageBreak/>
        <w:t>loading, the stress–stretch curve exhibits shakedown and reaches a steady state. We then calculate strain energy per unit volume W(</w:t>
      </w:r>
      <w:proofErr w:type="spellStart"/>
      <w:r>
        <w:rPr>
          <w:rFonts w:ascii="Times New Roman" w:eastAsia="宋体" w:hAnsi="Times New Roman" w:cs="Times New Roman"/>
          <w:sz w:val="24"/>
          <w:szCs w:val="24"/>
        </w:rPr>
        <w:t>λc</w:t>
      </w:r>
      <w:proofErr w:type="spellEnd"/>
      <w:r>
        <w:rPr>
          <w:rFonts w:ascii="Times New Roman" w:eastAsia="宋体" w:hAnsi="Times New Roman" w:cs="Times New Roman"/>
          <w:sz w:val="24"/>
          <w:szCs w:val="24"/>
        </w:rPr>
        <w:t xml:space="preserve">) from the area under the stress–stretch curve at the steady state. We cyclically load and unload the sample with a </w:t>
      </w:r>
      <w:proofErr w:type="spellStart"/>
      <w:r>
        <w:rPr>
          <w:rFonts w:ascii="Times New Roman" w:eastAsia="宋体" w:hAnsi="Times New Roman" w:cs="Times New Roman"/>
          <w:sz w:val="24"/>
          <w:szCs w:val="24"/>
        </w:rPr>
        <w:t>precrack</w:t>
      </w:r>
      <w:proofErr w:type="spellEnd"/>
      <w:r>
        <w:rPr>
          <w:rFonts w:ascii="Times New Roman" w:eastAsia="宋体" w:hAnsi="Times New Roman" w:cs="Times New Roman"/>
          <w:sz w:val="24"/>
          <w:szCs w:val="24"/>
        </w:rPr>
        <w:t xml:space="preserve">. For each measurement, we prescribe the amplitude of stretch </w:t>
      </w:r>
      <w:proofErr w:type="spellStart"/>
      <w:r>
        <w:rPr>
          <w:rFonts w:ascii="Times New Roman" w:eastAsia="宋体" w:hAnsi="Times New Roman" w:cs="Times New Roman"/>
          <w:sz w:val="24"/>
          <w:szCs w:val="24"/>
        </w:rPr>
        <w:t>λc</w:t>
      </w:r>
      <w:proofErr w:type="spellEnd"/>
      <w:r>
        <w:rPr>
          <w:rFonts w:ascii="Times New Roman" w:eastAsia="宋体" w:hAnsi="Times New Roman" w:cs="Times New Roman"/>
          <w:sz w:val="24"/>
          <w:szCs w:val="24"/>
        </w:rPr>
        <w:t>, and the amplitude of energy release rate is calculated as G = 2W(</w:t>
      </w:r>
      <w:proofErr w:type="spellStart"/>
      <w:r>
        <w:rPr>
          <w:rFonts w:ascii="Times New Roman" w:eastAsia="宋体" w:hAnsi="Times New Roman" w:cs="Times New Roman"/>
          <w:sz w:val="24"/>
          <w:szCs w:val="24"/>
        </w:rPr>
        <w:t>λ</w:t>
      </w:r>
      <w:proofErr w:type="gramStart"/>
      <w:r>
        <w:rPr>
          <w:rFonts w:ascii="Times New Roman" w:eastAsia="宋体" w:hAnsi="Times New Roman" w:cs="Times New Roman"/>
          <w:sz w:val="24"/>
          <w:szCs w:val="24"/>
        </w:rPr>
        <w:t>c</w:t>
      </w:r>
      <w:proofErr w:type="spellEnd"/>
      <w:r>
        <w:rPr>
          <w:rFonts w:ascii="Times New Roman" w:eastAsia="宋体" w:hAnsi="Times New Roman" w:cs="Times New Roman"/>
          <w:sz w:val="24"/>
          <w:szCs w:val="24"/>
        </w:rPr>
        <w:t>)H</w:t>
      </w:r>
      <w:proofErr w:type="gramEnd"/>
      <w:r>
        <w:rPr>
          <w:rFonts w:ascii="Times New Roman" w:eastAsia="宋体" w:hAnsi="Times New Roman" w:cs="Times New Roman"/>
          <w:sz w:val="24"/>
          <w:szCs w:val="24"/>
          <w:vertAlign w:val="subscript"/>
        </w:rPr>
        <w:t>0</w:t>
      </w:r>
      <w:r>
        <w:rPr>
          <w:rFonts w:ascii="Times New Roman" w:eastAsia="宋体" w:hAnsi="Times New Roman" w:cs="Times New Roman"/>
          <w:sz w:val="24"/>
          <w:szCs w:val="24"/>
        </w:rPr>
        <w:t>, where H</w:t>
      </w:r>
      <w:r>
        <w:rPr>
          <w:rFonts w:ascii="Times New Roman" w:eastAsia="宋体" w:hAnsi="Times New Roman" w:cs="Times New Roman"/>
          <w:sz w:val="24"/>
          <w:szCs w:val="24"/>
          <w:vertAlign w:val="subscript"/>
        </w:rPr>
        <w:t>0</w:t>
      </w:r>
      <w:r>
        <w:rPr>
          <w:rFonts w:ascii="Times New Roman" w:eastAsia="宋体" w:hAnsi="Times New Roman" w:cs="Times New Roman"/>
          <w:sz w:val="24"/>
          <w:szCs w:val="24"/>
        </w:rPr>
        <w:t xml:space="preserve"> is the distance from the initial shear point to the upper boundary. </w:t>
      </w:r>
    </w:p>
    <w:p w14:paraId="27633589" w14:textId="77777777" w:rsidR="00155631" w:rsidRDefault="00000000" w:rsidP="0084773E">
      <w:pPr>
        <w:spacing w:line="480" w:lineRule="auto"/>
        <w:jc w:val="right"/>
        <w:rPr>
          <w:rFonts w:ascii="Times New Roman" w:eastAsia="宋体" w:hAnsi="Times New Roman" w:cs="Times New Roman"/>
          <w:sz w:val="24"/>
          <w:szCs w:val="24"/>
        </w:rPr>
      </w:pPr>
      <m:oMath>
        <m:r>
          <w:rPr>
            <w:rFonts w:ascii="Cambria Math" w:eastAsia="宋体" w:hAnsi="Cambria Math" w:cs="Times New Roman"/>
            <w:sz w:val="24"/>
            <w:szCs w:val="24"/>
          </w:rPr>
          <m:t>G=2W</m:t>
        </m:r>
        <m:d>
          <m:dPr>
            <m:ctrlPr>
              <w:rPr>
                <w:rFonts w:ascii="Cambria Math" w:eastAsia="宋体" w:hAnsi="Cambria Math" w:cs="Times New Roman"/>
                <w:i/>
                <w:sz w:val="24"/>
                <w:szCs w:val="24"/>
              </w:rPr>
            </m:ctrlPr>
          </m:dPr>
          <m:e>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λ</m:t>
                </m:r>
              </m:e>
              <m:sub>
                <m:r>
                  <w:rPr>
                    <w:rFonts w:ascii="Cambria Math" w:eastAsia="宋体" w:hAnsi="Cambria Math" w:cs="Times New Roman"/>
                    <w:sz w:val="24"/>
                    <w:szCs w:val="24"/>
                  </w:rPr>
                  <m:t>c</m:t>
                </m:r>
              </m:sub>
            </m:sSub>
          </m:e>
        </m:d>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H</m:t>
            </m:r>
          </m:e>
          <m:sub>
            <m:r>
              <w:rPr>
                <w:rFonts w:ascii="Cambria Math" w:eastAsia="宋体" w:hAnsi="Cambria Math" w:cs="Times New Roman"/>
                <w:sz w:val="24"/>
                <w:szCs w:val="24"/>
              </w:rPr>
              <m:t>0</m:t>
            </m:r>
          </m:sub>
        </m:sSub>
      </m:oMath>
      <w:r>
        <w:rPr>
          <w:rFonts w:ascii="Times New Roman" w:eastAsia="宋体" w:hAnsi="Times New Roman" w:cs="Times New Roman"/>
          <w:sz w:val="24"/>
          <w:szCs w:val="24"/>
        </w:rPr>
        <w:t xml:space="preserve">                      (eq. S12)</w:t>
      </w:r>
    </w:p>
    <w:p w14:paraId="240987DC"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crack growth per cycle, dc/</w:t>
      </w:r>
      <w:proofErr w:type="spellStart"/>
      <w:r>
        <w:rPr>
          <w:rFonts w:ascii="Times New Roman" w:eastAsia="宋体" w:hAnsi="Times New Roman" w:cs="Times New Roman"/>
          <w:sz w:val="24"/>
          <w:szCs w:val="24"/>
        </w:rPr>
        <w:t>dn</w:t>
      </w:r>
      <w:proofErr w:type="spellEnd"/>
      <w:r>
        <w:rPr>
          <w:rFonts w:ascii="Times New Roman" w:eastAsia="宋体" w:hAnsi="Times New Roman" w:cs="Times New Roman"/>
          <w:sz w:val="24"/>
          <w:szCs w:val="24"/>
        </w:rPr>
        <w:t xml:space="preserve">, is obtained by dividing the crack growth by the number of cycles. Between 300 and 1800 cycles are performed for each measurement. The crack growth is measured using a vernier caliper microscope with a resolution of ~10 </w:t>
      </w:r>
      <w:proofErr w:type="spellStart"/>
      <w:r>
        <w:rPr>
          <w:rFonts w:ascii="Times New Roman" w:eastAsia="宋体" w:hAnsi="Times New Roman" w:cs="Times New Roman"/>
          <w:sz w:val="24"/>
          <w:szCs w:val="24"/>
        </w:rPr>
        <w:t>μm</w:t>
      </w:r>
      <w:proofErr w:type="spellEnd"/>
      <w:r>
        <w:rPr>
          <w:rFonts w:ascii="Times New Roman" w:eastAsia="宋体" w:hAnsi="Times New Roman" w:cs="Times New Roman"/>
          <w:sz w:val="24"/>
          <w:szCs w:val="24"/>
        </w:rPr>
        <w:t>. The fatigue threshold is determined after 1800 cycles of load and unload if we cannot detect any crack growth. Based on these conditions, the minimum crack growth that we can detect is ~10 nm cycle</w:t>
      </w:r>
      <w:r>
        <w:rPr>
          <w:rFonts w:ascii="Times New Roman" w:eastAsia="宋体" w:hAnsi="Times New Roman" w:cs="Times New Roman"/>
          <w:sz w:val="24"/>
          <w:szCs w:val="24"/>
          <w:vertAlign w:val="superscript"/>
        </w:rPr>
        <w:t>−1</w:t>
      </w:r>
      <w:r>
        <w:rPr>
          <w:rFonts w:ascii="Times New Roman" w:eastAsia="宋体" w:hAnsi="Times New Roman" w:cs="Times New Roman"/>
          <w:sz w:val="24"/>
          <w:szCs w:val="24"/>
        </w:rPr>
        <w:t>.</w:t>
      </w:r>
    </w:p>
    <w:p w14:paraId="1CADDA84"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The toughness is measured by the pure shear test. We prepare two samples, with and without a </w:t>
      </w:r>
      <w:proofErr w:type="spellStart"/>
      <w:r>
        <w:rPr>
          <w:rFonts w:ascii="Times New Roman" w:eastAsia="宋体" w:hAnsi="Times New Roman" w:cs="Times New Roman"/>
          <w:sz w:val="24"/>
          <w:szCs w:val="24"/>
        </w:rPr>
        <w:t>precrack</w:t>
      </w:r>
      <w:proofErr w:type="spellEnd"/>
      <w:r>
        <w:rPr>
          <w:rFonts w:ascii="Times New Roman" w:eastAsia="宋体" w:hAnsi="Times New Roman" w:cs="Times New Roman"/>
          <w:sz w:val="24"/>
          <w:szCs w:val="24"/>
        </w:rPr>
        <w:t xml:space="preserve">. The sample dimension is 28 × 5 × 2 (width × height × thickness, mm). For the </w:t>
      </w:r>
      <w:proofErr w:type="spellStart"/>
      <w:r>
        <w:rPr>
          <w:rFonts w:ascii="Times New Roman" w:eastAsia="宋体" w:hAnsi="Times New Roman" w:cs="Times New Roman"/>
          <w:sz w:val="24"/>
          <w:szCs w:val="24"/>
        </w:rPr>
        <w:t>precracked</w:t>
      </w:r>
      <w:proofErr w:type="spellEnd"/>
      <w:r>
        <w:rPr>
          <w:rFonts w:ascii="Times New Roman" w:eastAsia="宋体" w:hAnsi="Times New Roman" w:cs="Times New Roman"/>
          <w:sz w:val="24"/>
          <w:szCs w:val="24"/>
        </w:rPr>
        <w:t xml:space="preserve"> sample, the </w:t>
      </w:r>
      <w:proofErr w:type="spellStart"/>
      <w:r>
        <w:rPr>
          <w:rFonts w:ascii="Times New Roman" w:eastAsia="宋体" w:hAnsi="Times New Roman" w:cs="Times New Roman"/>
          <w:sz w:val="24"/>
          <w:szCs w:val="24"/>
        </w:rPr>
        <w:t>precrack</w:t>
      </w:r>
      <w:proofErr w:type="spellEnd"/>
      <w:r>
        <w:rPr>
          <w:rFonts w:ascii="Times New Roman" w:eastAsia="宋体" w:hAnsi="Times New Roman" w:cs="Times New Roman"/>
          <w:sz w:val="24"/>
          <w:szCs w:val="24"/>
        </w:rPr>
        <w:t xml:space="preserve"> is introduced by using a blade and is 7 mm long. From the sample without a </w:t>
      </w:r>
      <w:proofErr w:type="spellStart"/>
      <w:r>
        <w:rPr>
          <w:rFonts w:ascii="Times New Roman" w:eastAsia="宋体" w:hAnsi="Times New Roman" w:cs="Times New Roman"/>
          <w:sz w:val="24"/>
          <w:szCs w:val="24"/>
        </w:rPr>
        <w:t>precrack</w:t>
      </w:r>
      <w:proofErr w:type="spellEnd"/>
      <w:r>
        <w:rPr>
          <w:rFonts w:ascii="Times New Roman" w:eastAsia="宋体" w:hAnsi="Times New Roman" w:cs="Times New Roman"/>
          <w:sz w:val="24"/>
          <w:szCs w:val="24"/>
        </w:rPr>
        <w:t>, we obtain strain energy per unit volume as a function of the stretch, W(</w:t>
      </w:r>
      <w:proofErr w:type="spellStart"/>
      <w:r>
        <w:rPr>
          <w:rFonts w:ascii="Times New Roman" w:eastAsia="宋体" w:hAnsi="Times New Roman" w:cs="Times New Roman"/>
          <w:sz w:val="24"/>
          <w:szCs w:val="24"/>
        </w:rPr>
        <w:t>λc</w:t>
      </w:r>
      <w:proofErr w:type="spellEnd"/>
      <w:r>
        <w:rPr>
          <w:rFonts w:ascii="Times New Roman" w:eastAsia="宋体" w:hAnsi="Times New Roman" w:cs="Times New Roman"/>
          <w:sz w:val="24"/>
          <w:szCs w:val="24"/>
        </w:rPr>
        <w:t xml:space="preserve">). From the sample with a </w:t>
      </w:r>
      <w:proofErr w:type="spellStart"/>
      <w:r>
        <w:rPr>
          <w:rFonts w:ascii="Times New Roman" w:eastAsia="宋体" w:hAnsi="Times New Roman" w:cs="Times New Roman"/>
          <w:sz w:val="24"/>
          <w:szCs w:val="24"/>
        </w:rPr>
        <w:t>precrack</w:t>
      </w:r>
      <w:proofErr w:type="spellEnd"/>
      <w:r>
        <w:rPr>
          <w:rFonts w:ascii="Times New Roman" w:eastAsia="宋体" w:hAnsi="Times New Roman" w:cs="Times New Roman"/>
          <w:sz w:val="24"/>
          <w:szCs w:val="24"/>
        </w:rPr>
        <w:t xml:space="preserve">, we measure the critical stretch </w:t>
      </w:r>
      <w:proofErr w:type="spellStart"/>
      <w:r>
        <w:rPr>
          <w:rFonts w:ascii="Times New Roman" w:eastAsia="宋体" w:hAnsi="Times New Roman" w:cs="Times New Roman"/>
          <w:sz w:val="24"/>
          <w:szCs w:val="24"/>
        </w:rPr>
        <w:t>λc</w:t>
      </w:r>
      <w:proofErr w:type="spellEnd"/>
      <w:r>
        <w:rPr>
          <w:rFonts w:ascii="Times New Roman" w:eastAsia="宋体" w:hAnsi="Times New Roman" w:cs="Times New Roman"/>
          <w:sz w:val="24"/>
          <w:szCs w:val="24"/>
        </w:rPr>
        <w:t xml:space="preserve">, at which the </w:t>
      </w:r>
      <w:proofErr w:type="spellStart"/>
      <w:r>
        <w:rPr>
          <w:rFonts w:ascii="Times New Roman" w:eastAsia="宋体" w:hAnsi="Times New Roman" w:cs="Times New Roman"/>
          <w:sz w:val="24"/>
          <w:szCs w:val="24"/>
        </w:rPr>
        <w:t>precrack</w:t>
      </w:r>
      <w:proofErr w:type="spellEnd"/>
      <w:r>
        <w:rPr>
          <w:rFonts w:ascii="Times New Roman" w:eastAsia="宋体" w:hAnsi="Times New Roman" w:cs="Times New Roman"/>
          <w:sz w:val="24"/>
          <w:szCs w:val="24"/>
        </w:rPr>
        <w:t xml:space="preserve"> suddenly grows and fractures the entire sample. We then calculate the toughness, Gc =2W(</w:t>
      </w:r>
      <w:proofErr w:type="spellStart"/>
      <w:r>
        <w:rPr>
          <w:rFonts w:ascii="Times New Roman" w:eastAsia="宋体" w:hAnsi="Times New Roman" w:cs="Times New Roman"/>
          <w:sz w:val="24"/>
          <w:szCs w:val="24"/>
        </w:rPr>
        <w:t>λ</w:t>
      </w:r>
      <w:proofErr w:type="gramStart"/>
      <w:r>
        <w:rPr>
          <w:rFonts w:ascii="Times New Roman" w:eastAsia="宋体" w:hAnsi="Times New Roman" w:cs="Times New Roman"/>
          <w:sz w:val="24"/>
          <w:szCs w:val="24"/>
        </w:rPr>
        <w:t>c</w:t>
      </w:r>
      <w:proofErr w:type="spellEnd"/>
      <w:r>
        <w:rPr>
          <w:rFonts w:ascii="Times New Roman" w:eastAsia="宋体" w:hAnsi="Times New Roman" w:cs="Times New Roman"/>
          <w:sz w:val="24"/>
          <w:szCs w:val="24"/>
        </w:rPr>
        <w:t>)H</w:t>
      </w:r>
      <w:proofErr w:type="gramEnd"/>
      <w:r>
        <w:rPr>
          <w:rFonts w:ascii="Times New Roman" w:eastAsia="宋体" w:hAnsi="Times New Roman" w:cs="Times New Roman"/>
          <w:sz w:val="24"/>
          <w:szCs w:val="24"/>
          <w:vertAlign w:val="subscript"/>
        </w:rPr>
        <w:t>0</w:t>
      </w:r>
      <w:r>
        <w:rPr>
          <w:rFonts w:ascii="Times New Roman" w:eastAsia="宋体" w:hAnsi="Times New Roman" w:cs="Times New Roman"/>
          <w:sz w:val="24"/>
          <w:szCs w:val="24"/>
        </w:rPr>
        <w:t>.</w:t>
      </w:r>
    </w:p>
    <w:p w14:paraId="54A4BA64"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Similar to measuring the toughness, we measure the crack growth under monotonic load using the pure shear test. Before loading a sample, we make a </w:t>
      </w:r>
      <w:proofErr w:type="spellStart"/>
      <w:r>
        <w:rPr>
          <w:rFonts w:ascii="Times New Roman" w:eastAsia="宋体" w:hAnsi="Times New Roman" w:cs="Times New Roman"/>
          <w:sz w:val="24"/>
          <w:szCs w:val="24"/>
        </w:rPr>
        <w:t>precrack</w:t>
      </w:r>
      <w:proofErr w:type="spellEnd"/>
      <w:r>
        <w:rPr>
          <w:rFonts w:ascii="Times New Roman" w:eastAsia="宋体" w:hAnsi="Times New Roman" w:cs="Times New Roman"/>
          <w:sz w:val="24"/>
          <w:szCs w:val="24"/>
        </w:rPr>
        <w:t xml:space="preserve"> </w:t>
      </w:r>
      <w:r>
        <w:rPr>
          <w:rFonts w:ascii="Times New Roman" w:eastAsia="宋体" w:hAnsi="Times New Roman" w:cs="Times New Roman"/>
          <w:sz w:val="24"/>
          <w:szCs w:val="24"/>
        </w:rPr>
        <w:lastRenderedPageBreak/>
        <w:t xml:space="preserve">in the sample and take an image focusing on the crack tip by using a vernier caliper. We load the sample to a stretch smaller than the critical stretch, λ &lt; </w:t>
      </w:r>
      <w:proofErr w:type="spellStart"/>
      <w:r>
        <w:rPr>
          <w:rFonts w:ascii="Times New Roman" w:eastAsia="宋体" w:hAnsi="Times New Roman" w:cs="Times New Roman"/>
          <w:sz w:val="24"/>
          <w:szCs w:val="24"/>
        </w:rPr>
        <w:t>λc</w:t>
      </w:r>
      <w:proofErr w:type="spellEnd"/>
      <w:r>
        <w:rPr>
          <w:rFonts w:ascii="Times New Roman" w:eastAsia="宋体" w:hAnsi="Times New Roman" w:cs="Times New Roman"/>
          <w:sz w:val="24"/>
          <w:szCs w:val="24"/>
        </w:rPr>
        <w:t xml:space="preserve">, and hold the sample for a short time to make sure the crack is arrested. We then unload the sample and measure the crake growth. By comparing the crack tip before and after load, we determine the crack growth </w:t>
      </w:r>
      <w:proofErr w:type="spellStart"/>
      <w:r>
        <w:rPr>
          <w:rFonts w:ascii="Times New Roman" w:eastAsia="宋体" w:hAnsi="Times New Roman" w:cs="Times New Roman"/>
          <w:sz w:val="24"/>
          <w:szCs w:val="24"/>
        </w:rPr>
        <w:t>Δc</w:t>
      </w:r>
      <w:proofErr w:type="spellEnd"/>
      <w:r>
        <w:rPr>
          <w:rFonts w:ascii="Times New Roman" w:eastAsia="宋体" w:hAnsi="Times New Roman" w:cs="Times New Roman"/>
          <w:sz w:val="24"/>
          <w:szCs w:val="24"/>
        </w:rPr>
        <w:t xml:space="preserve"> at the prescribed stretch λ. The prescribed stretch can be converted to an energy release rate by G = 2W(λ)H</w:t>
      </w:r>
      <w:r>
        <w:rPr>
          <w:rFonts w:ascii="Times New Roman" w:eastAsia="宋体" w:hAnsi="Times New Roman" w:cs="Times New Roman"/>
          <w:sz w:val="24"/>
          <w:szCs w:val="24"/>
          <w:vertAlign w:val="subscript"/>
        </w:rPr>
        <w:t>0</w:t>
      </w:r>
      <w:r>
        <w:rPr>
          <w:rFonts w:ascii="Times New Roman" w:eastAsia="宋体" w:hAnsi="Times New Roman" w:cs="Times New Roman"/>
          <w:sz w:val="24"/>
          <w:szCs w:val="24"/>
        </w:rPr>
        <w:t xml:space="preserve">. For each measurement, we make a fresh </w:t>
      </w:r>
      <w:proofErr w:type="spellStart"/>
      <w:r>
        <w:rPr>
          <w:rFonts w:ascii="Times New Roman" w:eastAsia="宋体" w:hAnsi="Times New Roman" w:cs="Times New Roman"/>
          <w:sz w:val="24"/>
          <w:szCs w:val="24"/>
        </w:rPr>
        <w:t>precrack</w:t>
      </w:r>
      <w:proofErr w:type="spellEnd"/>
      <w:r>
        <w:rPr>
          <w:rFonts w:ascii="Times New Roman" w:eastAsia="宋体" w:hAnsi="Times New Roman" w:cs="Times New Roman"/>
          <w:sz w:val="24"/>
          <w:szCs w:val="24"/>
        </w:rPr>
        <w:t>, load the sample to a prescribed stretch, unload the sample, and measure the crack growth.</w:t>
      </w:r>
    </w:p>
    <w:p w14:paraId="4E8F7042" w14:textId="77777777" w:rsidR="00155631" w:rsidRDefault="00155631" w:rsidP="005E6F8D">
      <w:pPr>
        <w:spacing w:line="480" w:lineRule="auto"/>
        <w:rPr>
          <w:rFonts w:ascii="Times New Roman" w:eastAsia="宋体" w:hAnsi="Times New Roman" w:cs="Times New Roman"/>
          <w:sz w:val="24"/>
          <w:szCs w:val="24"/>
        </w:rPr>
      </w:pPr>
    </w:p>
    <w:p w14:paraId="6FD27D53" w14:textId="77777777" w:rsidR="00155631" w:rsidRDefault="00000000" w:rsidP="005E6F8D">
      <w:pPr>
        <w:spacing w:line="480" w:lineRule="auto"/>
        <w:ind w:left="241" w:hangingChars="100" w:hanging="241"/>
        <w:rPr>
          <w:rFonts w:ascii="Times New Roman" w:eastAsia="宋体" w:hAnsi="Times New Roman" w:cs="Times New Roman"/>
          <w:b/>
          <w:bCs/>
          <w:sz w:val="24"/>
          <w:szCs w:val="24"/>
        </w:rPr>
      </w:pPr>
      <w:r>
        <w:rPr>
          <w:rFonts w:ascii="Times New Roman" w:eastAsia="宋体" w:hAnsi="Times New Roman" w:cs="Times New Roman"/>
          <w:b/>
          <w:bCs/>
          <w:sz w:val="24"/>
          <w:szCs w:val="24"/>
        </w:rPr>
        <w:t>Compression/Loop Compression</w:t>
      </w:r>
    </w:p>
    <w:p w14:paraId="791EC1D3" w14:textId="3425795F"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The gel sample used for the compression test was a cylindrical specimen with a diameter of 20 mm and a thickness of 6 mm. The test was performed at a loading rate of 3 mm/min until a compressive strain of λ = </w:t>
      </w:r>
      <w:r w:rsidR="0049621A">
        <w:rPr>
          <w:rFonts w:ascii="Times New Roman" w:eastAsia="宋体" w:hAnsi="Times New Roman" w:cs="Times New Roman" w:hint="eastAsia"/>
          <w:sz w:val="24"/>
          <w:szCs w:val="24"/>
        </w:rPr>
        <w:t>80%</w:t>
      </w:r>
      <w:r>
        <w:rPr>
          <w:rFonts w:ascii="Times New Roman" w:eastAsia="宋体" w:hAnsi="Times New Roman" w:cs="Times New Roman"/>
          <w:sz w:val="24"/>
          <w:szCs w:val="24"/>
        </w:rPr>
        <w:t xml:space="preserve"> was reached. For cyclic compression testing, the maximum strain applied was λ = </w:t>
      </w:r>
      <w:r w:rsidR="0049621A">
        <w:rPr>
          <w:rFonts w:ascii="Times New Roman" w:eastAsia="宋体" w:hAnsi="Times New Roman" w:cs="Times New Roman" w:hint="eastAsia"/>
          <w:sz w:val="24"/>
          <w:szCs w:val="24"/>
        </w:rPr>
        <w:t>60%</w:t>
      </w:r>
      <w:r>
        <w:rPr>
          <w:rFonts w:ascii="Times New Roman" w:eastAsia="宋体" w:hAnsi="Times New Roman" w:cs="Times New Roman"/>
          <w:sz w:val="24"/>
          <w:szCs w:val="24"/>
        </w:rPr>
        <w:t>, and the loading-unloading cycle was repeated three times continuously without interruption.</w:t>
      </w:r>
    </w:p>
    <w:p w14:paraId="2BFEB26A" w14:textId="77777777" w:rsidR="00155631" w:rsidRDefault="00155631" w:rsidP="005E6F8D">
      <w:pPr>
        <w:spacing w:line="480" w:lineRule="auto"/>
        <w:rPr>
          <w:rFonts w:ascii="Times New Roman" w:eastAsia="宋体" w:hAnsi="Times New Roman" w:cs="Times New Roman"/>
          <w:sz w:val="24"/>
          <w:szCs w:val="24"/>
        </w:rPr>
      </w:pPr>
    </w:p>
    <w:p w14:paraId="650F6299" w14:textId="77777777"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Incremental Cyclic Compression </w:t>
      </w:r>
    </w:p>
    <w:p w14:paraId="1A467C79" w14:textId="180CE70B"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Cylindrical gel samples with a diameter of 20 mm and a thickness of 6 mm were used for the incremental cyclic compression test. The test was conducted at a loading rate of 3 mm/min, with sequential strain levels of λ = </w:t>
      </w:r>
      <w:r w:rsidR="0049621A">
        <w:rPr>
          <w:rFonts w:ascii="Times New Roman" w:eastAsia="宋体" w:hAnsi="Times New Roman" w:cs="Times New Roman" w:hint="eastAsia"/>
          <w:sz w:val="24"/>
          <w:szCs w:val="24"/>
        </w:rPr>
        <w:t>20%</w:t>
      </w:r>
      <w:r>
        <w:rPr>
          <w:rFonts w:ascii="Times New Roman" w:eastAsia="宋体" w:hAnsi="Times New Roman" w:cs="Times New Roman"/>
          <w:sz w:val="24"/>
          <w:szCs w:val="24"/>
        </w:rPr>
        <w:t xml:space="preserve">, </w:t>
      </w:r>
      <w:r w:rsidR="0049621A">
        <w:rPr>
          <w:rFonts w:ascii="Times New Roman" w:eastAsia="宋体" w:hAnsi="Times New Roman" w:cs="Times New Roman" w:hint="eastAsia"/>
          <w:sz w:val="24"/>
          <w:szCs w:val="24"/>
        </w:rPr>
        <w:t>40%</w:t>
      </w:r>
      <w:r>
        <w:rPr>
          <w:rFonts w:ascii="Times New Roman" w:eastAsia="宋体" w:hAnsi="Times New Roman" w:cs="Times New Roman"/>
          <w:sz w:val="24"/>
          <w:szCs w:val="24"/>
        </w:rPr>
        <w:t xml:space="preserve">, </w:t>
      </w:r>
      <w:r w:rsidR="0049621A">
        <w:rPr>
          <w:rFonts w:ascii="Times New Roman" w:eastAsia="宋体" w:hAnsi="Times New Roman" w:cs="Times New Roman" w:hint="eastAsia"/>
          <w:sz w:val="24"/>
          <w:szCs w:val="24"/>
        </w:rPr>
        <w:t>60%</w:t>
      </w:r>
      <w:r>
        <w:rPr>
          <w:rFonts w:ascii="Times New Roman" w:eastAsia="宋体" w:hAnsi="Times New Roman" w:cs="Times New Roman"/>
          <w:sz w:val="24"/>
          <w:szCs w:val="24"/>
        </w:rPr>
        <w:t>, and</w:t>
      </w:r>
      <w:r w:rsidR="0049621A">
        <w:rPr>
          <w:rFonts w:ascii="Times New Roman" w:eastAsia="宋体" w:hAnsi="Times New Roman" w:cs="Times New Roman" w:hint="eastAsia"/>
          <w:sz w:val="24"/>
          <w:szCs w:val="24"/>
        </w:rPr>
        <w:t xml:space="preserve"> 80%</w:t>
      </w:r>
      <w:r>
        <w:rPr>
          <w:rFonts w:ascii="Times New Roman" w:eastAsia="宋体" w:hAnsi="Times New Roman" w:cs="Times New Roman"/>
          <w:sz w:val="24"/>
          <w:szCs w:val="24"/>
        </w:rPr>
        <w:t>. At each strain level, the loading-unloading cycle was repeated four times continuously.</w:t>
      </w:r>
    </w:p>
    <w:p w14:paraId="1D21EF39" w14:textId="77777777" w:rsidR="00155631" w:rsidRDefault="00155631" w:rsidP="005E6F8D">
      <w:pPr>
        <w:spacing w:line="480" w:lineRule="auto"/>
        <w:rPr>
          <w:rFonts w:ascii="Times New Roman" w:eastAsia="宋体" w:hAnsi="Times New Roman" w:cs="Times New Roman"/>
          <w:sz w:val="24"/>
          <w:szCs w:val="24"/>
        </w:rPr>
      </w:pPr>
    </w:p>
    <w:p w14:paraId="39E31933"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Cytocompatibility</w:t>
      </w:r>
    </w:p>
    <w:p w14:paraId="584A9BE8" w14:textId="77777777" w:rsidR="00155631" w:rsidRDefault="00000000" w:rsidP="005E6F8D">
      <w:pPr>
        <w:spacing w:line="480" w:lineRule="auto"/>
        <w:ind w:left="482" w:hangingChars="200" w:hanging="482"/>
        <w:rPr>
          <w:rFonts w:ascii="Times New Roman" w:eastAsia="宋体" w:hAnsi="Times New Roman" w:cs="Times New Roman"/>
          <w:b/>
          <w:bCs/>
          <w:sz w:val="24"/>
          <w:szCs w:val="24"/>
        </w:rPr>
      </w:pPr>
      <w:r>
        <w:rPr>
          <w:rFonts w:ascii="Times New Roman" w:eastAsia="宋体" w:hAnsi="Times New Roman" w:cs="Times New Roman"/>
          <w:b/>
          <w:bCs/>
          <w:sz w:val="24"/>
          <w:szCs w:val="24"/>
        </w:rPr>
        <w:t xml:space="preserve">Vitality and Proliferation Assessment </w:t>
      </w:r>
    </w:p>
    <w:p w14:paraId="414C0014"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Cell viability and proliferation were evaluated using the Cell Counting Kit-8 (CCK-8). Various types of PSM gels were co-cultured with human umbilical cord mesenchymal stem cells (UC-MSCs) in 96-well plates and incubated under </w:t>
      </w:r>
      <w:proofErr w:type="spellStart"/>
      <w:r>
        <w:rPr>
          <w:rFonts w:ascii="Times New Roman" w:eastAsia="宋体" w:hAnsi="Times New Roman" w:cs="Times New Roman"/>
          <w:sz w:val="24"/>
          <w:szCs w:val="24"/>
        </w:rPr>
        <w:t>normoxic</w:t>
      </w:r>
      <w:proofErr w:type="spellEnd"/>
      <w:r>
        <w:rPr>
          <w:rFonts w:ascii="Times New Roman" w:eastAsia="宋体" w:hAnsi="Times New Roman" w:cs="Times New Roman"/>
          <w:sz w:val="24"/>
          <w:szCs w:val="24"/>
        </w:rPr>
        <w:t xml:space="preserve"> conditions (37°C, 5% CO₂, 21% O₂) for 9, 24, 48, and 96 hours, respectively. Following each incubation period, CCK-8 reagent was added, and the samples were further incubated at 37°C for 2-3 hours. The optical density (OD) was then measured at 450 nm using a microplate reader. Additionally, apoptosis, cell viability, and proliferation were assessed using AO/PI, DAPI/AO, and DAPI/EDU staining methods, respectively. Staining procedures were performed in accordance with the manufacturer’s instructions. After staining, samples were examined under a microscope. The formulas used to calculate cell survival rate and cell proliferation rate are as follows:</w:t>
      </w:r>
    </w:p>
    <w:p w14:paraId="1BABCF37" w14:textId="77777777" w:rsidR="00155631" w:rsidRDefault="00000000" w:rsidP="0084773E">
      <w:pPr>
        <w:spacing w:line="480" w:lineRule="auto"/>
        <w:ind w:firstLineChars="200" w:firstLine="480"/>
        <w:jc w:val="right"/>
        <w:rPr>
          <w:rFonts w:ascii="Times New Roman" w:eastAsia="宋体" w:hAnsi="Times New Roman" w:cs="Times New Roman"/>
          <w:sz w:val="24"/>
          <w:szCs w:val="24"/>
        </w:rPr>
      </w:pP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C</m:t>
            </m:r>
          </m:e>
          <m:sub>
            <m:r>
              <w:rPr>
                <w:rFonts w:ascii="Cambria Math" w:eastAsia="宋体" w:hAnsi="Cambria Math" w:cs="Times New Roman"/>
                <w:sz w:val="24"/>
                <w:szCs w:val="24"/>
              </w:rPr>
              <m:t>v</m:t>
            </m:r>
          </m:sub>
        </m:sSub>
        <m:r>
          <w:rPr>
            <w:rFonts w:ascii="Cambria Math" w:eastAsia="宋体" w:hAnsi="Cambria Math" w:cs="Times New Roman"/>
            <w:sz w:val="24"/>
            <w:szCs w:val="24"/>
          </w:rPr>
          <m:t>=</m:t>
        </m:r>
        <m:f>
          <m:fPr>
            <m:ctrlPr>
              <w:rPr>
                <w:rFonts w:ascii="Cambria Math" w:eastAsia="宋体" w:hAnsi="Cambria Math" w:cs="Times New Roman"/>
                <w:i/>
                <w:sz w:val="24"/>
                <w:szCs w:val="24"/>
              </w:rPr>
            </m:ctrlPr>
          </m:fPr>
          <m:num>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A</m:t>
                </m:r>
              </m:e>
              <m:sub>
                <m:r>
                  <w:rPr>
                    <w:rFonts w:ascii="Cambria Math" w:eastAsia="宋体" w:hAnsi="Cambria Math" w:cs="Times New Roman"/>
                    <w:sz w:val="24"/>
                    <w:szCs w:val="24"/>
                  </w:rPr>
                  <m:t>t</m:t>
                </m:r>
              </m:sub>
            </m:sSub>
            <m:r>
              <w:rPr>
                <w:rFonts w:ascii="Cambria Math" w:eastAsia="宋体" w:hAnsi="Cambria Math" w:cs="Times New Roman"/>
                <w:sz w:val="24"/>
                <w:szCs w:val="24"/>
              </w:rPr>
              <m:t xml:space="preserve"> - </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A</m:t>
                </m:r>
              </m:e>
              <m:sub>
                <m:r>
                  <w:rPr>
                    <w:rFonts w:ascii="Cambria Math" w:eastAsia="宋体" w:hAnsi="Cambria Math" w:cs="Times New Roman"/>
                    <w:sz w:val="24"/>
                    <w:szCs w:val="24"/>
                  </w:rPr>
                  <m:t>b</m:t>
                </m:r>
              </m:sub>
            </m:sSub>
          </m:num>
          <m:den>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A</m:t>
                </m:r>
              </m:e>
              <m:sub>
                <m:r>
                  <w:rPr>
                    <w:rFonts w:ascii="Cambria Math" w:eastAsia="宋体" w:hAnsi="Cambria Math" w:cs="Times New Roman"/>
                    <w:sz w:val="24"/>
                    <w:szCs w:val="24"/>
                  </w:rPr>
                  <m:t>c</m:t>
                </m:r>
              </m:sub>
            </m:sSub>
            <m:r>
              <w:rPr>
                <w:rFonts w:ascii="Cambria Math" w:eastAsia="宋体" w:hAnsi="Cambria Math" w:cs="Times New Roman"/>
                <w:sz w:val="24"/>
                <w:szCs w:val="24"/>
              </w:rPr>
              <m:t xml:space="preserve"> - </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A</m:t>
                </m:r>
              </m:e>
              <m:sub>
                <m:r>
                  <w:rPr>
                    <w:rFonts w:ascii="Cambria Math" w:eastAsia="宋体" w:hAnsi="Cambria Math" w:cs="Times New Roman"/>
                    <w:sz w:val="24"/>
                    <w:szCs w:val="24"/>
                  </w:rPr>
                  <m:t>b</m:t>
                </m:r>
              </m:sub>
            </m:sSub>
          </m:den>
        </m:f>
        <m:r>
          <w:rPr>
            <w:rFonts w:ascii="Cambria Math" w:eastAsia="宋体" w:hAnsi="Cambria Math" w:cs="Times New Roman"/>
            <w:sz w:val="24"/>
            <w:szCs w:val="24"/>
          </w:rPr>
          <m:t xml:space="preserve"> ×100%</m:t>
        </m:r>
      </m:oMath>
      <w:r>
        <w:rPr>
          <w:rFonts w:ascii="Times New Roman" w:eastAsia="宋体" w:hAnsi="Times New Roman" w:cs="Times New Roman"/>
          <w:sz w:val="24"/>
          <w:szCs w:val="24"/>
        </w:rPr>
        <w:t xml:space="preserve">                    (eq. S13)</w:t>
      </w:r>
    </w:p>
    <w:p w14:paraId="2939438E" w14:textId="77777777" w:rsidR="00155631" w:rsidRDefault="00000000" w:rsidP="0084773E">
      <w:pPr>
        <w:spacing w:line="480" w:lineRule="auto"/>
        <w:ind w:firstLineChars="200" w:firstLine="480"/>
        <w:jc w:val="right"/>
        <w:rPr>
          <w:rFonts w:ascii="Times New Roman" w:eastAsia="宋体" w:hAnsi="Times New Roman" w:cs="Times New Roman"/>
          <w:sz w:val="24"/>
          <w:szCs w:val="24"/>
        </w:rPr>
      </w:pP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C</m:t>
            </m:r>
          </m:e>
          <m:sub>
            <m:r>
              <w:rPr>
                <w:rFonts w:ascii="Cambria Math" w:eastAsia="宋体" w:hAnsi="Cambria Math" w:cs="Times New Roman"/>
                <w:sz w:val="24"/>
                <w:szCs w:val="24"/>
              </w:rPr>
              <m:t>p</m:t>
            </m:r>
          </m:sub>
        </m:sSub>
        <m:r>
          <w:rPr>
            <w:rFonts w:ascii="Cambria Math" w:eastAsia="宋体" w:hAnsi="Cambria Math" w:cs="Times New Roman"/>
            <w:sz w:val="24"/>
            <w:szCs w:val="24"/>
          </w:rPr>
          <m:t>=</m:t>
        </m:r>
        <m:f>
          <m:fPr>
            <m:ctrlPr>
              <w:rPr>
                <w:rFonts w:ascii="Cambria Math" w:eastAsia="宋体" w:hAnsi="Cambria Math" w:cs="Times New Roman"/>
                <w:i/>
                <w:sz w:val="24"/>
                <w:szCs w:val="24"/>
              </w:rPr>
            </m:ctrlPr>
          </m:fPr>
          <m:num>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A</m:t>
                </m:r>
              </m:e>
              <m:sub>
                <m:r>
                  <w:rPr>
                    <w:rFonts w:ascii="Cambria Math" w:eastAsia="宋体" w:hAnsi="Cambria Math" w:cs="Times New Roman"/>
                    <w:sz w:val="24"/>
                    <w:szCs w:val="24"/>
                  </w:rPr>
                  <m:t>t</m:t>
                </m:r>
              </m:sub>
            </m:sSub>
            <m:r>
              <w:rPr>
                <w:rFonts w:ascii="Cambria Math" w:eastAsia="宋体" w:hAnsi="Cambria Math" w:cs="Times New Roman"/>
                <w:sz w:val="24"/>
                <w:szCs w:val="24"/>
              </w:rPr>
              <m:t xml:space="preserve"> - </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A</m:t>
                </m:r>
              </m:e>
              <m:sub>
                <m:r>
                  <w:rPr>
                    <w:rFonts w:ascii="Cambria Math" w:eastAsia="宋体" w:hAnsi="Cambria Math" w:cs="Times New Roman"/>
                    <w:sz w:val="24"/>
                    <w:szCs w:val="24"/>
                  </w:rPr>
                  <m:t>b</m:t>
                </m:r>
              </m:sub>
            </m:sSub>
          </m:num>
          <m:den>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A</m:t>
                </m:r>
              </m:e>
              <m:sub>
                <m:r>
                  <w:rPr>
                    <w:rFonts w:ascii="Cambria Math" w:eastAsia="宋体" w:hAnsi="Cambria Math" w:cs="Times New Roman"/>
                    <w:sz w:val="24"/>
                    <w:szCs w:val="24"/>
                  </w:rPr>
                  <m:t>0</m:t>
                </m:r>
              </m:sub>
            </m:sSub>
            <m:r>
              <w:rPr>
                <w:rFonts w:ascii="Cambria Math" w:eastAsia="宋体" w:hAnsi="Cambria Math" w:cs="Times New Roman"/>
                <w:sz w:val="24"/>
                <w:szCs w:val="24"/>
              </w:rPr>
              <m:t xml:space="preserve"> - </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A</m:t>
                </m:r>
              </m:e>
              <m:sub>
                <m:r>
                  <w:rPr>
                    <w:rFonts w:ascii="Cambria Math" w:eastAsia="宋体" w:hAnsi="Cambria Math" w:cs="Times New Roman"/>
                    <w:sz w:val="24"/>
                    <w:szCs w:val="24"/>
                  </w:rPr>
                  <m:t>b</m:t>
                </m:r>
              </m:sub>
            </m:sSub>
          </m:den>
        </m:f>
        <m:r>
          <w:rPr>
            <w:rFonts w:ascii="Cambria Math" w:eastAsia="宋体" w:hAnsi="Cambria Math" w:cs="Times New Roman"/>
            <w:sz w:val="24"/>
            <w:szCs w:val="24"/>
          </w:rPr>
          <m:t xml:space="preserve"> ×100%</m:t>
        </m:r>
      </m:oMath>
      <w:r>
        <w:rPr>
          <w:rFonts w:ascii="Times New Roman" w:eastAsia="宋体" w:hAnsi="Times New Roman" w:cs="Times New Roman"/>
          <w:sz w:val="24"/>
          <w:szCs w:val="24"/>
        </w:rPr>
        <w:t xml:space="preserve">                    (eq. S14)</w:t>
      </w:r>
    </w:p>
    <w:p w14:paraId="240D365D" w14:textId="71F509BF"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Here, </w:t>
      </w:r>
      <w:proofErr w:type="spellStart"/>
      <w:r>
        <w:rPr>
          <w:rFonts w:ascii="Times New Roman" w:eastAsia="宋体" w:hAnsi="Times New Roman" w:cs="Times New Roman"/>
          <w:sz w:val="24"/>
          <w:szCs w:val="24"/>
        </w:rPr>
        <w:t>C</w:t>
      </w:r>
      <w:r>
        <w:rPr>
          <w:rFonts w:ascii="Times New Roman" w:eastAsia="宋体" w:hAnsi="Times New Roman" w:cs="Times New Roman"/>
          <w:i/>
          <w:iCs/>
          <w:sz w:val="24"/>
          <w:szCs w:val="24"/>
        </w:rPr>
        <w:t>v</w:t>
      </w:r>
      <w:proofErr w:type="spellEnd"/>
      <w:r>
        <w:rPr>
          <w:rFonts w:ascii="Times New Roman" w:eastAsia="宋体" w:hAnsi="Times New Roman" w:cs="Times New Roman"/>
          <w:sz w:val="24"/>
          <w:szCs w:val="24"/>
        </w:rPr>
        <w:t xml:space="preserve"> denotes the cell viability rate, and C</w:t>
      </w:r>
      <w:r>
        <w:rPr>
          <w:rFonts w:ascii="Times New Roman" w:eastAsia="宋体" w:hAnsi="Times New Roman" w:cs="Times New Roman"/>
          <w:i/>
          <w:iCs/>
          <w:sz w:val="24"/>
          <w:szCs w:val="24"/>
        </w:rPr>
        <w:t>p</w:t>
      </w:r>
      <w:r>
        <w:rPr>
          <w:rFonts w:ascii="Times New Roman" w:eastAsia="宋体" w:hAnsi="Times New Roman" w:cs="Times New Roman"/>
          <w:sz w:val="24"/>
          <w:szCs w:val="24"/>
        </w:rPr>
        <w:t xml:space="preserve"> represents the cell proliferation rate. A</w:t>
      </w:r>
      <w:r>
        <w:rPr>
          <w:rFonts w:ascii="Times New Roman" w:eastAsia="宋体" w:hAnsi="Times New Roman" w:cs="Times New Roman"/>
          <w:i/>
          <w:iCs/>
          <w:sz w:val="24"/>
          <w:szCs w:val="24"/>
        </w:rPr>
        <w:t>t</w:t>
      </w:r>
      <w:r>
        <w:rPr>
          <w:rFonts w:ascii="Times New Roman" w:eastAsia="宋体" w:hAnsi="Times New Roman" w:cs="Times New Roman"/>
          <w:sz w:val="24"/>
          <w:szCs w:val="24"/>
        </w:rPr>
        <w:t xml:space="preserve"> refers to the optical density (OD) value of the intervention gel group at time t; A</w:t>
      </w:r>
      <w:r>
        <w:rPr>
          <w:rFonts w:ascii="Times New Roman" w:eastAsia="宋体" w:hAnsi="Times New Roman" w:cs="Times New Roman"/>
          <w:i/>
          <w:iCs/>
          <w:sz w:val="24"/>
          <w:szCs w:val="24"/>
        </w:rPr>
        <w:t>c</w:t>
      </w:r>
      <w:r>
        <w:rPr>
          <w:rFonts w:ascii="Times New Roman" w:eastAsia="宋体" w:hAnsi="Times New Roman" w:cs="Times New Roman"/>
          <w:sz w:val="24"/>
          <w:szCs w:val="24"/>
        </w:rPr>
        <w:t xml:space="preserve"> indicates the OD value of the control group at the same time point. A</w:t>
      </w:r>
      <w:r>
        <w:rPr>
          <w:rFonts w:ascii="Times New Roman" w:eastAsia="宋体" w:hAnsi="Times New Roman" w:cs="Times New Roman"/>
          <w:sz w:val="24"/>
          <w:szCs w:val="24"/>
          <w:vertAlign w:val="subscript"/>
        </w:rPr>
        <w:t>0</w:t>
      </w:r>
      <w:r>
        <w:rPr>
          <w:rFonts w:ascii="Times New Roman" w:eastAsia="宋体" w:hAnsi="Times New Roman" w:cs="Times New Roman"/>
          <w:sz w:val="24"/>
          <w:szCs w:val="24"/>
        </w:rPr>
        <w:t xml:space="preserve"> corresponds to the initial OD value of the control group at baseline, while A</w:t>
      </w:r>
      <w:r>
        <w:rPr>
          <w:rFonts w:ascii="Times New Roman" w:eastAsia="宋体" w:hAnsi="Times New Roman" w:cs="Times New Roman"/>
          <w:i/>
          <w:iCs/>
          <w:sz w:val="24"/>
          <w:szCs w:val="24"/>
          <w:vertAlign w:val="subscript"/>
        </w:rPr>
        <w:t>b</w:t>
      </w:r>
      <w:r>
        <w:rPr>
          <w:rFonts w:ascii="Times New Roman" w:eastAsia="宋体" w:hAnsi="Times New Roman" w:cs="Times New Roman"/>
          <w:sz w:val="24"/>
          <w:szCs w:val="24"/>
        </w:rPr>
        <w:t xml:space="preserve"> represents the OD value of the blank group as measured by the CCK-8 assay.</w:t>
      </w:r>
    </w:p>
    <w:p w14:paraId="0C57C030" w14:textId="77777777" w:rsidR="003C0364" w:rsidRDefault="003C0364" w:rsidP="005E6F8D">
      <w:pPr>
        <w:spacing w:line="480" w:lineRule="auto"/>
        <w:rPr>
          <w:rFonts w:ascii="Times New Roman" w:eastAsia="宋体" w:hAnsi="Times New Roman" w:cs="Times New Roman"/>
          <w:sz w:val="24"/>
          <w:szCs w:val="24"/>
        </w:rPr>
      </w:pPr>
    </w:p>
    <w:p w14:paraId="65226C7C" w14:textId="77777777" w:rsidR="005E6F8D" w:rsidRDefault="005E6F8D" w:rsidP="005E6F8D">
      <w:pPr>
        <w:spacing w:line="480" w:lineRule="auto"/>
        <w:rPr>
          <w:rFonts w:ascii="Times New Roman" w:eastAsia="宋体" w:hAnsi="Times New Roman" w:cs="Times New Roman"/>
          <w:sz w:val="24"/>
          <w:szCs w:val="24"/>
        </w:rPr>
      </w:pPr>
    </w:p>
    <w:p w14:paraId="29EB5E09" w14:textId="77777777" w:rsidR="00155631" w:rsidRDefault="00000000" w:rsidP="005E6F8D">
      <w:pPr>
        <w:spacing w:line="480" w:lineRule="auto"/>
        <w:ind w:left="482" w:hangingChars="200" w:hanging="482"/>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 xml:space="preserve">Isolation and Characterization of Exosomes </w:t>
      </w:r>
    </w:p>
    <w:p w14:paraId="4583475A"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Exosome isolation methods have been previously described. Briefly, the presence of representative </w:t>
      </w:r>
      <w:proofErr w:type="spellStart"/>
      <w:r>
        <w:rPr>
          <w:rFonts w:ascii="Times New Roman" w:eastAsia="宋体" w:hAnsi="Times New Roman" w:cs="Times New Roman"/>
          <w:sz w:val="24"/>
          <w:szCs w:val="24"/>
        </w:rPr>
        <w:t>exosomal</w:t>
      </w:r>
      <w:proofErr w:type="spellEnd"/>
      <w:r>
        <w:rPr>
          <w:rFonts w:ascii="Times New Roman" w:eastAsia="宋体" w:hAnsi="Times New Roman" w:cs="Times New Roman"/>
          <w:sz w:val="24"/>
          <w:szCs w:val="24"/>
        </w:rPr>
        <w:t xml:space="preserve"> markers, including CD63, CD81, HSP70, and GAPDH, was confirmed via Western blotting (WB). Particle size distribution and concentration were quantified using nanoparticle tracking analysis (NTA). Detailed methodologies for WB and NTA have been reported in prior literature.</w:t>
      </w:r>
    </w:p>
    <w:p w14:paraId="5855177E" w14:textId="77777777" w:rsidR="00155631" w:rsidRDefault="00155631" w:rsidP="005E6F8D">
      <w:pPr>
        <w:spacing w:line="480" w:lineRule="auto"/>
        <w:rPr>
          <w:rFonts w:ascii="Times New Roman" w:eastAsia="宋体" w:hAnsi="Times New Roman" w:cs="Times New Roman"/>
          <w:sz w:val="24"/>
          <w:szCs w:val="24"/>
        </w:rPr>
      </w:pPr>
    </w:p>
    <w:p w14:paraId="537327C5" w14:textId="77777777" w:rsidR="00155631" w:rsidRDefault="00000000" w:rsidP="005E6F8D">
      <w:pPr>
        <w:spacing w:line="480" w:lineRule="auto"/>
        <w:ind w:left="482" w:hangingChars="200" w:hanging="482"/>
        <w:rPr>
          <w:rFonts w:ascii="Times New Roman" w:eastAsia="宋体" w:hAnsi="Times New Roman" w:cs="Times New Roman"/>
          <w:b/>
          <w:bCs/>
          <w:sz w:val="24"/>
          <w:szCs w:val="24"/>
        </w:rPr>
      </w:pPr>
      <w:r>
        <w:rPr>
          <w:rFonts w:ascii="Times New Roman" w:eastAsia="宋体" w:hAnsi="Times New Roman" w:cs="Times New Roman"/>
          <w:b/>
          <w:bCs/>
          <w:sz w:val="24"/>
          <w:szCs w:val="24"/>
        </w:rPr>
        <w:t xml:space="preserve">Exosome Loading and Release </w:t>
      </w:r>
    </w:p>
    <w:p w14:paraId="6802F01A" w14:textId="3B2BFF35"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The loading capacity and sustained release profile of exosomes of PSM were assessed using a BCA protein assay kit. For the loading procedure, 25 </w:t>
      </w:r>
      <w:proofErr w:type="spellStart"/>
      <w:r>
        <w:rPr>
          <w:rFonts w:ascii="Times New Roman" w:eastAsia="宋体" w:hAnsi="Times New Roman" w:cs="Times New Roman"/>
          <w:sz w:val="24"/>
          <w:szCs w:val="24"/>
        </w:rPr>
        <w:t>μg</w:t>
      </w:r>
      <w:proofErr w:type="spellEnd"/>
      <w:r>
        <w:rPr>
          <w:rFonts w:ascii="Times New Roman" w:eastAsia="宋体" w:hAnsi="Times New Roman" w:cs="Times New Roman"/>
          <w:sz w:val="24"/>
          <w:szCs w:val="24"/>
        </w:rPr>
        <w:t xml:space="preserve"> of PSM was placed at the bottom of a 96-well plate, followed by the addition of 125 </w:t>
      </w:r>
      <w:proofErr w:type="spellStart"/>
      <w:r>
        <w:rPr>
          <w:rFonts w:ascii="Times New Roman" w:eastAsia="宋体" w:hAnsi="Times New Roman" w:cs="Times New Roman"/>
          <w:sz w:val="24"/>
          <w:szCs w:val="24"/>
        </w:rPr>
        <w:t>μL</w:t>
      </w:r>
      <w:proofErr w:type="spellEnd"/>
      <w:r>
        <w:rPr>
          <w:rFonts w:ascii="Times New Roman" w:eastAsia="宋体" w:hAnsi="Times New Roman" w:cs="Times New Roman"/>
          <w:sz w:val="24"/>
          <w:szCs w:val="24"/>
        </w:rPr>
        <w:t xml:space="preserve"> exosome solution (1 mg/mL). Subsequently, 5 </w:t>
      </w:r>
      <w:proofErr w:type="spellStart"/>
      <w:r>
        <w:rPr>
          <w:rFonts w:ascii="Times New Roman" w:eastAsia="宋体" w:hAnsi="Times New Roman" w:cs="Times New Roman"/>
          <w:sz w:val="24"/>
          <w:szCs w:val="24"/>
        </w:rPr>
        <w:t>μL</w:t>
      </w:r>
      <w:proofErr w:type="spellEnd"/>
      <w:r>
        <w:rPr>
          <w:rFonts w:ascii="Times New Roman" w:eastAsia="宋体" w:hAnsi="Times New Roman" w:cs="Times New Roman"/>
          <w:sz w:val="24"/>
          <w:szCs w:val="24"/>
        </w:rPr>
        <w:t xml:space="preserve"> aliquots were collected at designated time intervals (0.25, 0.5, 1, 2, 4, 8, 12, and 24 hours), diluted, and analyzed for protein concentration according to the manufacturer’s instructions. A loading curve was then plotted based on the obtained data. For the release study, the previously loaded exosome-hydrogel composite (PSM-Exo) was transferred into a 96-well plate, and 100 </w:t>
      </w:r>
      <w:proofErr w:type="spellStart"/>
      <w:r>
        <w:rPr>
          <w:rFonts w:ascii="Times New Roman" w:eastAsia="宋体" w:hAnsi="Times New Roman" w:cs="Times New Roman"/>
          <w:sz w:val="24"/>
          <w:szCs w:val="24"/>
        </w:rPr>
        <w:t>μL</w:t>
      </w:r>
      <w:proofErr w:type="spellEnd"/>
      <w:r>
        <w:rPr>
          <w:rFonts w:ascii="Times New Roman" w:eastAsia="宋体" w:hAnsi="Times New Roman" w:cs="Times New Roman"/>
          <w:sz w:val="24"/>
          <w:szCs w:val="24"/>
        </w:rPr>
        <w:t xml:space="preserve"> of PBS was added to each well. The protein concentration in the supernatant was measured at various time points (0.0625, 0.125, 0.25, 0.5, 1, 2, 3, 4, 5, 6, 7, 8, 9, 10, 11, and 12 days). After each measurement, the old PBS was replaced with fresh buffer. Daily individual and cumulative release curves were generated based on the results.</w:t>
      </w:r>
    </w:p>
    <w:p w14:paraId="1F745058" w14:textId="77777777" w:rsidR="003C0364" w:rsidRDefault="003C0364" w:rsidP="005E6F8D">
      <w:pPr>
        <w:spacing w:line="480" w:lineRule="auto"/>
        <w:rPr>
          <w:rFonts w:ascii="Times New Roman" w:eastAsia="宋体" w:hAnsi="Times New Roman" w:cs="Times New Roman"/>
          <w:sz w:val="24"/>
          <w:szCs w:val="24"/>
        </w:rPr>
      </w:pPr>
    </w:p>
    <w:p w14:paraId="0A342427" w14:textId="77777777" w:rsidR="005E6F8D" w:rsidRDefault="005E6F8D" w:rsidP="005E6F8D">
      <w:pPr>
        <w:spacing w:line="480" w:lineRule="auto"/>
        <w:rPr>
          <w:rFonts w:ascii="Times New Roman" w:eastAsia="宋体" w:hAnsi="Times New Roman" w:cs="Times New Roman"/>
          <w:sz w:val="24"/>
          <w:szCs w:val="24"/>
        </w:rPr>
      </w:pPr>
    </w:p>
    <w:p w14:paraId="53C21319"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Treatment of Diabetic Wounds</w:t>
      </w:r>
    </w:p>
    <w:p w14:paraId="5763975F"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Full Thickness Skin Wound Model</w:t>
      </w:r>
    </w:p>
    <w:p w14:paraId="4C7D9AD1" w14:textId="77777777" w:rsidR="00F75F0B"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All animal experiments were conducted in accordance with ethical and humanitarian principles and were approved by the Laboratory Animal Welfare and Ethics Committee of Third Military Medical University. Mice were intraperitoneally injected with streptozotocin (STZ) at a dose of 120 mg/kg to induce diabetes. Those exhibiting fasting blood glucose levels higher than 16.7 mmol/L were selected for inclusion in the formal experimental phase. Subsequently, a full-thickness skin wound model was established. Briefly, mice were anesthetized with isoflurane, and a standardized 10-mm diameter wound was created on the dorsal surface using a biopsy punch. The animals were then randomly assigned to four treatment groups: (1) Control group (treated with 3M hydrocolloid wound dressing), and (2) PSM-Exo intervention group. Wound healing was monitored over a 12-day period. Digital images of the wounds were captured on post-wounding days 0, 3, 7, 10, and 12, and the wound area was analyzed using ImageJ software. On the 12th day after the operation, the animal was euthanized and samples were collected from the wound.</w:t>
      </w:r>
    </w:p>
    <w:p w14:paraId="22B309EE" w14:textId="29D0DB66"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wound closure rate is calculated by the following formula:</w:t>
      </w:r>
    </w:p>
    <w:p w14:paraId="4990B0F3" w14:textId="77777777" w:rsidR="00155631" w:rsidRDefault="00000000" w:rsidP="0084773E">
      <w:pPr>
        <w:spacing w:line="480" w:lineRule="auto"/>
        <w:ind w:firstLineChars="200" w:firstLine="480"/>
        <w:jc w:val="right"/>
        <w:rPr>
          <w:rFonts w:ascii="Times New Roman" w:eastAsia="宋体" w:hAnsi="Times New Roman" w:cs="Times New Roman"/>
          <w:sz w:val="24"/>
          <w:szCs w:val="24"/>
        </w:rPr>
      </w:pPr>
      <m:oMath>
        <m:r>
          <m:rPr>
            <m:sty m:val="p"/>
          </m:rPr>
          <w:rPr>
            <w:rFonts w:ascii="Cambria Math" w:eastAsia="宋体" w:hAnsi="Cambria Math" w:cs="Times New Roman"/>
            <w:sz w:val="24"/>
            <w:szCs w:val="24"/>
          </w:rPr>
          <m:t xml:space="preserve">WCR </m:t>
        </m:r>
        <m:d>
          <m:dPr>
            <m:ctrlPr>
              <w:rPr>
                <w:rFonts w:ascii="Cambria Math" w:eastAsia="宋体" w:hAnsi="Cambria Math" w:cs="Times New Roman"/>
                <w:iCs/>
                <w:sz w:val="24"/>
                <w:szCs w:val="24"/>
              </w:rPr>
            </m:ctrlPr>
          </m:dPr>
          <m:e>
            <m:r>
              <m:rPr>
                <m:sty m:val="p"/>
              </m:rPr>
              <w:rPr>
                <w:rFonts w:ascii="Cambria Math" w:eastAsia="宋体" w:hAnsi="Cambria Math" w:cs="Times New Roman"/>
                <w:sz w:val="24"/>
                <w:szCs w:val="24"/>
              </w:rPr>
              <m:t>%</m:t>
            </m:r>
          </m:e>
        </m:d>
        <m:r>
          <m:rPr>
            <m:sty m:val="p"/>
          </m:rPr>
          <w:rPr>
            <w:rFonts w:ascii="Cambria Math" w:eastAsia="宋体" w:hAnsi="Cambria Math" w:cs="Times New Roman"/>
            <w:sz w:val="24"/>
            <w:szCs w:val="24"/>
          </w:rPr>
          <m:t>=</m:t>
        </m:r>
        <m:f>
          <m:fPr>
            <m:ctrlPr>
              <w:rPr>
                <w:rFonts w:ascii="Cambria Math" w:eastAsia="宋体" w:hAnsi="Cambria Math" w:cs="Times New Roman"/>
                <w:iCs/>
                <w:sz w:val="24"/>
                <w:szCs w:val="24"/>
              </w:rPr>
            </m:ctrlPr>
          </m:fPr>
          <m:num>
            <m:sSub>
              <m:sSubPr>
                <m:ctrlPr>
                  <w:rPr>
                    <w:rFonts w:ascii="Cambria Math" w:eastAsia="宋体" w:hAnsi="Cambria Math" w:cs="Times New Roman"/>
                    <w:i/>
                    <w:iCs/>
                    <w:sz w:val="24"/>
                    <w:szCs w:val="24"/>
                  </w:rPr>
                </m:ctrlPr>
              </m:sSubPr>
              <m:e>
                <m:r>
                  <w:rPr>
                    <w:rFonts w:ascii="Cambria Math" w:eastAsia="宋体" w:hAnsi="Cambria Math" w:cs="Times New Roman"/>
                    <w:sz w:val="24"/>
                    <w:szCs w:val="24"/>
                  </w:rPr>
                  <m:t>S</m:t>
                </m:r>
              </m:e>
              <m:sub>
                <m:r>
                  <w:rPr>
                    <w:rFonts w:ascii="Cambria Math" w:eastAsia="宋体" w:hAnsi="Cambria Math" w:cs="Times New Roman"/>
                    <w:sz w:val="24"/>
                    <w:szCs w:val="24"/>
                  </w:rPr>
                  <m:t>0</m:t>
                </m:r>
              </m:sub>
            </m:sSub>
            <m:r>
              <w:rPr>
                <w:rFonts w:ascii="Cambria Math" w:eastAsia="宋体" w:hAnsi="Cambria Math" w:cs="Times New Roman"/>
                <w:sz w:val="24"/>
                <w:szCs w:val="24"/>
              </w:rPr>
              <m:t xml:space="preserve"> - </m:t>
            </m:r>
            <m:sSub>
              <m:sSubPr>
                <m:ctrlPr>
                  <w:rPr>
                    <w:rFonts w:ascii="Cambria Math" w:eastAsia="宋体" w:hAnsi="Cambria Math" w:cs="Times New Roman"/>
                    <w:i/>
                    <w:iCs/>
                    <w:sz w:val="24"/>
                    <w:szCs w:val="24"/>
                  </w:rPr>
                </m:ctrlPr>
              </m:sSubPr>
              <m:e>
                <m:r>
                  <w:rPr>
                    <w:rFonts w:ascii="Cambria Math" w:eastAsia="宋体" w:hAnsi="Cambria Math" w:cs="Times New Roman"/>
                    <w:sz w:val="24"/>
                    <w:szCs w:val="24"/>
                  </w:rPr>
                  <m:t>S</m:t>
                </m:r>
              </m:e>
              <m:sub>
                <m:r>
                  <w:rPr>
                    <w:rFonts w:ascii="Cambria Math" w:eastAsia="宋体" w:hAnsi="Cambria Math" w:cs="Times New Roman"/>
                    <w:sz w:val="24"/>
                    <w:szCs w:val="24"/>
                  </w:rPr>
                  <m:t>t</m:t>
                </m:r>
              </m:sub>
            </m:sSub>
          </m:num>
          <m:den>
            <m:sSub>
              <m:sSubPr>
                <m:ctrlPr>
                  <w:rPr>
                    <w:rFonts w:ascii="Cambria Math" w:eastAsia="宋体" w:hAnsi="Cambria Math" w:cs="Times New Roman"/>
                    <w:i/>
                    <w:iCs/>
                    <w:sz w:val="24"/>
                    <w:szCs w:val="24"/>
                  </w:rPr>
                </m:ctrlPr>
              </m:sSubPr>
              <m:e>
                <m:r>
                  <w:rPr>
                    <w:rFonts w:ascii="Cambria Math" w:eastAsia="宋体" w:hAnsi="Cambria Math" w:cs="Times New Roman"/>
                    <w:sz w:val="24"/>
                    <w:szCs w:val="24"/>
                  </w:rPr>
                  <m:t>S</m:t>
                </m:r>
              </m:e>
              <m:sub>
                <m:r>
                  <w:rPr>
                    <w:rFonts w:ascii="Cambria Math" w:eastAsia="宋体" w:hAnsi="Cambria Math" w:cs="Times New Roman"/>
                    <w:sz w:val="24"/>
                    <w:szCs w:val="24"/>
                  </w:rPr>
                  <m:t>0</m:t>
                </m:r>
              </m:sub>
            </m:sSub>
          </m:den>
        </m:f>
        <m:r>
          <w:rPr>
            <w:rFonts w:ascii="Cambria Math" w:eastAsia="宋体" w:hAnsi="Cambria Math" w:cs="Times New Roman"/>
            <w:sz w:val="24"/>
            <w:szCs w:val="24"/>
          </w:rPr>
          <m:t>×100%</m:t>
        </m:r>
      </m:oMath>
      <w:r>
        <w:rPr>
          <w:rFonts w:ascii="Times New Roman" w:eastAsia="宋体" w:hAnsi="Times New Roman" w:cs="Times New Roman"/>
          <w:sz w:val="24"/>
          <w:szCs w:val="24"/>
        </w:rPr>
        <w:t xml:space="preserve">                 (eq. S15)</w:t>
      </w:r>
    </w:p>
    <w:p w14:paraId="2F2F04DE" w14:textId="21EA56CB"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Among them, WCR is the wound closure rate, and S</w:t>
      </w:r>
      <w:r>
        <w:rPr>
          <w:rFonts w:ascii="Times New Roman" w:eastAsia="宋体" w:hAnsi="Times New Roman" w:cs="Times New Roman"/>
          <w:sz w:val="24"/>
          <w:szCs w:val="24"/>
          <w:vertAlign w:val="subscript"/>
        </w:rPr>
        <w:t>0</w:t>
      </w:r>
      <w:r>
        <w:rPr>
          <w:rFonts w:ascii="Times New Roman" w:eastAsia="宋体" w:hAnsi="Times New Roman" w:cs="Times New Roman"/>
          <w:sz w:val="24"/>
          <w:szCs w:val="24"/>
        </w:rPr>
        <w:t xml:space="preserve"> is the initial wound area. S</w:t>
      </w:r>
      <w:r>
        <w:rPr>
          <w:rFonts w:ascii="Times New Roman" w:eastAsia="宋体" w:hAnsi="Times New Roman" w:cs="Times New Roman"/>
          <w:sz w:val="24"/>
          <w:szCs w:val="24"/>
          <w:vertAlign w:val="subscript"/>
        </w:rPr>
        <w:t>t</w:t>
      </w:r>
      <w:r>
        <w:rPr>
          <w:rFonts w:ascii="Times New Roman" w:eastAsia="宋体" w:hAnsi="Times New Roman" w:cs="Times New Roman"/>
          <w:sz w:val="24"/>
          <w:szCs w:val="24"/>
        </w:rPr>
        <w:t xml:space="preserve"> represents the wound area on day t.</w:t>
      </w:r>
    </w:p>
    <w:p w14:paraId="10C49E1C" w14:textId="77777777" w:rsidR="003C0364" w:rsidRDefault="003C0364" w:rsidP="005E6F8D">
      <w:pPr>
        <w:spacing w:line="480" w:lineRule="auto"/>
        <w:rPr>
          <w:rFonts w:ascii="Times New Roman" w:eastAsia="宋体" w:hAnsi="Times New Roman" w:cs="Times New Roman"/>
          <w:sz w:val="24"/>
          <w:szCs w:val="24"/>
        </w:rPr>
      </w:pPr>
    </w:p>
    <w:p w14:paraId="0DE8DB8D" w14:textId="77777777" w:rsidR="005E6F8D" w:rsidRDefault="005E6F8D" w:rsidP="005E6F8D">
      <w:pPr>
        <w:spacing w:line="480" w:lineRule="auto"/>
        <w:rPr>
          <w:rFonts w:ascii="Times New Roman" w:eastAsia="宋体" w:hAnsi="Times New Roman" w:cs="Times New Roman"/>
          <w:sz w:val="24"/>
          <w:szCs w:val="24"/>
        </w:rPr>
      </w:pPr>
    </w:p>
    <w:p w14:paraId="39DA8035"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Histological Stain</w:t>
      </w:r>
    </w:p>
    <w:p w14:paraId="0E7536A4"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For histological assessment, the samples were fixed with 4% paraformaldehyde, embedded in paraffin, and cut into 6 </w:t>
      </w:r>
      <w:proofErr w:type="spellStart"/>
      <w:r>
        <w:rPr>
          <w:rFonts w:ascii="Times New Roman" w:eastAsia="宋体" w:hAnsi="Times New Roman" w:cs="Times New Roman"/>
          <w:sz w:val="24"/>
          <w:szCs w:val="24"/>
        </w:rPr>
        <w:t>μm</w:t>
      </w:r>
      <w:proofErr w:type="spellEnd"/>
      <w:r>
        <w:rPr>
          <w:rFonts w:ascii="Times New Roman" w:eastAsia="宋体" w:hAnsi="Times New Roman" w:cs="Times New Roman"/>
          <w:sz w:val="24"/>
          <w:szCs w:val="24"/>
        </w:rPr>
        <w:t xml:space="preserve"> thick sections. Hematoxylin and eosin staining (H&amp;E) and Masson's trichrome were used for histological analysis of wounds. After staining, the images were taken with a microscope and analyzed by Image J software.</w:t>
      </w:r>
    </w:p>
    <w:p w14:paraId="41BDECB2" w14:textId="77777777" w:rsidR="00155631" w:rsidRDefault="00155631" w:rsidP="005E6F8D">
      <w:pPr>
        <w:spacing w:line="480" w:lineRule="auto"/>
        <w:rPr>
          <w:rFonts w:ascii="Times New Roman" w:eastAsia="宋体" w:hAnsi="Times New Roman" w:cs="Times New Roman"/>
          <w:sz w:val="24"/>
          <w:szCs w:val="24"/>
        </w:rPr>
      </w:pPr>
    </w:p>
    <w:p w14:paraId="2E2E4E91"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Immunofluorescence Stain</w:t>
      </w:r>
    </w:p>
    <w:p w14:paraId="4188EBB7" w14:textId="073CCD42"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For immunofluorescence staining, the samples co-incubated with primary antibodies (anti-CD31 anti-α-SMA, anti-Vimentin and anti-Fibronectin 1:100) overnight at 4℃and followed co-incubated with secondary antibodies conjugated for 1 hours at 37℃. Then, DAPI was used to stain the nuclei for 10 minutes. Finally, the images were taken with a microscope and processed with Image J software, in order to evaluate the angiogenesis.</w:t>
      </w:r>
    </w:p>
    <w:p w14:paraId="3CC7998E" w14:textId="77777777" w:rsidR="00155631" w:rsidRDefault="00000000" w:rsidP="0084773E">
      <w:pPr>
        <w:widowControl/>
        <w:jc w:val="left"/>
        <w:rPr>
          <w:rFonts w:ascii="Times New Roman" w:eastAsia="宋体" w:hAnsi="Times New Roman" w:cs="Times New Roman"/>
          <w:b/>
          <w:bCs/>
          <w:szCs w:val="21"/>
        </w:rPr>
      </w:pPr>
      <w:r>
        <w:rPr>
          <w:rFonts w:ascii="Times New Roman" w:eastAsia="宋体" w:hAnsi="Times New Roman" w:cs="Times New Roman"/>
          <w:b/>
          <w:bCs/>
          <w:szCs w:val="21"/>
        </w:rPr>
        <w:br w:type="page"/>
      </w:r>
    </w:p>
    <w:p w14:paraId="505AC0C4" w14:textId="77777777" w:rsidR="00155631" w:rsidRDefault="00000000" w:rsidP="0084773E">
      <w:pPr>
        <w:spacing w:line="480" w:lineRule="auto"/>
        <w:jc w:val="left"/>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Supplementary Formulas</w:t>
      </w:r>
    </w:p>
    <w:p w14:paraId="44A1F36C" w14:textId="77777777" w:rsidR="00155631" w:rsidRDefault="00155631" w:rsidP="0084773E">
      <w:pPr>
        <w:spacing w:line="480" w:lineRule="auto"/>
        <w:jc w:val="left"/>
        <w:rPr>
          <w:rFonts w:ascii="Times New Roman" w:eastAsia="宋体" w:hAnsi="Times New Roman" w:cs="Times New Roman"/>
          <w:sz w:val="24"/>
          <w:szCs w:val="24"/>
        </w:rPr>
      </w:pPr>
    </w:p>
    <w:p w14:paraId="1404565F" w14:textId="77777777" w:rsidR="00155631" w:rsidRDefault="00000000" w:rsidP="0084773E">
      <w:pPr>
        <w:spacing w:line="480" w:lineRule="auto"/>
        <w:ind w:firstLineChars="200" w:firstLine="480"/>
        <w:jc w:val="right"/>
        <w:rPr>
          <w:rFonts w:ascii="Times New Roman" w:eastAsia="宋体" w:hAnsi="Times New Roman" w:cs="Times New Roman"/>
          <w:sz w:val="24"/>
          <w:szCs w:val="24"/>
        </w:rPr>
      </w:pPr>
      <m:oMath>
        <m:r>
          <w:rPr>
            <w:rFonts w:ascii="Cambria Math" w:eastAsia="宋体" w:hAnsi="Cambria Math" w:cs="Times New Roman"/>
            <w:sz w:val="24"/>
            <w:szCs w:val="24"/>
          </w:rPr>
          <m:t>σ</m:t>
        </m:r>
        <m:d>
          <m:dPr>
            <m:ctrlPr>
              <w:rPr>
                <w:rFonts w:ascii="Cambria Math" w:eastAsia="宋体" w:hAnsi="Cambria Math" w:cs="Times New Roman"/>
                <w:i/>
                <w:sz w:val="24"/>
                <w:szCs w:val="24"/>
              </w:rPr>
            </m:ctrlPr>
          </m:dPr>
          <m:e>
            <m:r>
              <w:rPr>
                <w:rFonts w:ascii="Cambria Math" w:eastAsia="宋体" w:hAnsi="Cambria Math" w:cs="Times New Roman"/>
                <w:sz w:val="24"/>
                <w:szCs w:val="24"/>
              </w:rPr>
              <m:t>t</m:t>
            </m:r>
          </m:e>
        </m:d>
        <m:r>
          <w:rPr>
            <w:rFonts w:ascii="Cambria Math" w:eastAsia="宋体" w:hAnsi="Cambria Math" w:cs="Times New Roman"/>
            <w:sz w:val="24"/>
            <w:szCs w:val="24"/>
          </w:rPr>
          <m:t>=</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σ</m:t>
            </m:r>
          </m:e>
          <m:sub>
            <m:r>
              <w:rPr>
                <w:rFonts w:ascii="Cambria Math" w:eastAsia="宋体" w:hAnsi="Cambria Math" w:cs="Times New Roman"/>
                <w:sz w:val="24"/>
                <w:szCs w:val="24"/>
              </w:rPr>
              <m:t>∞</m:t>
            </m:r>
          </m:sub>
        </m:sSub>
        <m:r>
          <w:rPr>
            <w:rFonts w:ascii="Cambria Math" w:eastAsia="宋体" w:hAnsi="Cambria Math" w:cs="Times New Roman"/>
            <w:sz w:val="24"/>
            <w:szCs w:val="24"/>
          </w:rPr>
          <m:t>+</m:t>
        </m:r>
        <m:d>
          <m:dPr>
            <m:ctrlPr>
              <w:rPr>
                <w:rFonts w:ascii="Cambria Math" w:eastAsia="宋体" w:hAnsi="Cambria Math" w:cs="Times New Roman"/>
                <w:i/>
                <w:sz w:val="24"/>
                <w:szCs w:val="24"/>
              </w:rPr>
            </m:ctrlPr>
          </m:dPr>
          <m:e>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σ</m:t>
                </m:r>
              </m:e>
              <m:sub>
                <m:r>
                  <w:rPr>
                    <w:rFonts w:ascii="Cambria Math" w:eastAsia="宋体" w:hAnsi="Cambria Math" w:cs="Times New Roman"/>
                    <w:sz w:val="24"/>
                    <w:szCs w:val="24"/>
                  </w:rPr>
                  <m:t>0</m:t>
                </m:r>
              </m:sub>
            </m:sSub>
            <m:r>
              <w:rPr>
                <w:rFonts w:ascii="Cambria Math" w:eastAsia="宋体" w:hAnsi="Cambria Math" w:cs="Times New Roman"/>
                <w:sz w:val="24"/>
                <w:szCs w:val="24"/>
              </w:rPr>
              <m:t>-</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σ</m:t>
                </m:r>
              </m:e>
              <m:sub>
                <m:r>
                  <w:rPr>
                    <w:rFonts w:ascii="Cambria Math" w:eastAsia="宋体" w:hAnsi="Cambria Math" w:cs="Times New Roman"/>
                    <w:sz w:val="24"/>
                    <w:szCs w:val="24"/>
                  </w:rPr>
                  <m:t>∞</m:t>
                </m:r>
              </m:sub>
            </m:sSub>
          </m:e>
        </m:d>
        <m:r>
          <w:rPr>
            <w:rFonts w:ascii="Cambria Math" w:eastAsia="宋体" w:hAnsi="Cambria Math" w:cs="Times New Roman"/>
            <w:sz w:val="24"/>
            <w:szCs w:val="24"/>
          </w:rPr>
          <m:t>×</m:t>
        </m:r>
        <m:sSup>
          <m:sSupPr>
            <m:ctrlPr>
              <w:rPr>
                <w:rFonts w:ascii="Cambria Math" w:eastAsia="宋体" w:hAnsi="Cambria Math" w:cs="Times New Roman"/>
                <w:i/>
                <w:sz w:val="24"/>
                <w:szCs w:val="24"/>
              </w:rPr>
            </m:ctrlPr>
          </m:sSupPr>
          <m:e>
            <m:r>
              <w:rPr>
                <w:rFonts w:ascii="Cambria Math" w:eastAsia="宋体" w:hAnsi="Cambria Math" w:cs="Times New Roman"/>
                <w:sz w:val="24"/>
                <w:szCs w:val="24"/>
              </w:rPr>
              <m:t>e</m:t>
            </m:r>
          </m:e>
          <m:sup>
            <m:d>
              <m:dPr>
                <m:ctrlPr>
                  <w:rPr>
                    <w:rFonts w:ascii="Cambria Math" w:eastAsia="宋体" w:hAnsi="Cambria Math" w:cs="Times New Roman"/>
                    <w:i/>
                    <w:sz w:val="24"/>
                    <w:szCs w:val="24"/>
                  </w:rPr>
                </m:ctrlPr>
              </m:dPr>
              <m:e>
                <m:r>
                  <w:rPr>
                    <w:rFonts w:ascii="Cambria Math" w:eastAsia="宋体" w:hAnsi="Cambria Math" w:cs="Times New Roman"/>
                    <w:sz w:val="24"/>
                    <w:szCs w:val="24"/>
                  </w:rPr>
                  <m:t>-</m:t>
                </m:r>
                <m:f>
                  <m:fPr>
                    <m:ctrlPr>
                      <w:rPr>
                        <w:rFonts w:ascii="Cambria Math" w:eastAsia="宋体" w:hAnsi="Cambria Math" w:cs="Times New Roman"/>
                        <w:i/>
                        <w:sz w:val="24"/>
                        <w:szCs w:val="24"/>
                      </w:rPr>
                    </m:ctrlPr>
                  </m:fPr>
                  <m:num>
                    <m:r>
                      <w:rPr>
                        <w:rFonts w:ascii="Cambria Math" w:eastAsia="宋体" w:hAnsi="Cambria Math" w:cs="Times New Roman"/>
                        <w:sz w:val="24"/>
                        <w:szCs w:val="24"/>
                      </w:rPr>
                      <m:t>t</m:t>
                    </m:r>
                  </m:num>
                  <m:den>
                    <m:r>
                      <w:rPr>
                        <w:rFonts w:ascii="Cambria Math" w:eastAsia="宋体" w:hAnsi="Cambria Math" w:cs="Times New Roman"/>
                        <w:sz w:val="24"/>
                        <w:szCs w:val="24"/>
                      </w:rPr>
                      <m:t>τ</m:t>
                    </m:r>
                  </m:den>
                </m:f>
              </m:e>
            </m:d>
          </m:sup>
        </m:sSup>
      </m:oMath>
      <w:r>
        <w:rPr>
          <w:rFonts w:ascii="Times New Roman" w:eastAsia="宋体" w:hAnsi="Times New Roman" w:cs="Times New Roman"/>
          <w:sz w:val="24"/>
          <w:szCs w:val="24"/>
        </w:rPr>
        <w:t xml:space="preserve">                   (eq. 1)</w:t>
      </w:r>
    </w:p>
    <w:p w14:paraId="05722FB7" w14:textId="77777777" w:rsidR="00155631" w:rsidRDefault="00000000" w:rsidP="005E6F8D">
      <w:pPr>
        <w:spacing w:line="480" w:lineRule="auto"/>
        <w:ind w:firstLineChars="200" w:firstLine="480"/>
        <w:rPr>
          <w:rFonts w:ascii="Times New Roman" w:hAnsi="Times New Roman" w:cs="Times New Roman"/>
          <w:sz w:val="24"/>
          <w:szCs w:val="24"/>
          <w:shd w:val="clear" w:color="auto" w:fill="FFFFFF"/>
        </w:rPr>
      </w:pPr>
      <w:r>
        <w:rPr>
          <w:rFonts w:ascii="Times New Roman" w:eastAsia="PingFang SC" w:hAnsi="Times New Roman" w:cs="Times New Roman"/>
          <w:sz w:val="24"/>
          <w:szCs w:val="24"/>
          <w:shd w:val="clear" w:color="auto" w:fill="FFFFFF"/>
        </w:rPr>
        <w:t>Among them, σ (t), σ</w:t>
      </w:r>
      <w:r>
        <w:rPr>
          <w:rFonts w:ascii="Times New Roman" w:eastAsia="PingFang SC" w:hAnsi="Times New Roman" w:cs="Times New Roman"/>
          <w:sz w:val="24"/>
          <w:szCs w:val="24"/>
          <w:shd w:val="clear" w:color="auto" w:fill="FFFFFF"/>
          <w:vertAlign w:val="subscript"/>
        </w:rPr>
        <w:t>∞</w:t>
      </w:r>
      <w:r>
        <w:rPr>
          <w:rFonts w:ascii="Times New Roman" w:eastAsia="PingFang SC" w:hAnsi="Times New Roman" w:cs="Times New Roman"/>
          <w:sz w:val="24"/>
          <w:szCs w:val="24"/>
          <w:shd w:val="clear" w:color="auto" w:fill="FFFFFF"/>
        </w:rPr>
        <w:t xml:space="preserve"> and σ</w:t>
      </w:r>
      <w:r>
        <w:rPr>
          <w:rFonts w:ascii="Times New Roman" w:eastAsia="PingFang SC" w:hAnsi="Times New Roman" w:cs="Times New Roman"/>
          <w:sz w:val="24"/>
          <w:szCs w:val="24"/>
          <w:shd w:val="clear" w:color="auto" w:fill="FFFFFF"/>
          <w:vertAlign w:val="subscript"/>
        </w:rPr>
        <w:t>0</w:t>
      </w:r>
      <w:r>
        <w:rPr>
          <w:rFonts w:ascii="Times New Roman" w:eastAsia="PingFang SC" w:hAnsi="Times New Roman" w:cs="Times New Roman"/>
          <w:sz w:val="24"/>
          <w:szCs w:val="24"/>
          <w:shd w:val="clear" w:color="auto" w:fill="FFFFFF"/>
        </w:rPr>
        <w:t xml:space="preserve"> are the stress values at time t, the final time and the initial time respectively, and τ and t are the relaxation time and time respectively.</w:t>
      </w:r>
    </w:p>
    <w:p w14:paraId="089D319C" w14:textId="77777777" w:rsidR="00155631" w:rsidRDefault="00155631" w:rsidP="0084773E">
      <w:pPr>
        <w:spacing w:line="480" w:lineRule="auto"/>
        <w:ind w:firstLineChars="200" w:firstLine="480"/>
        <w:jc w:val="left"/>
        <w:rPr>
          <w:rFonts w:ascii="Times New Roman" w:hAnsi="Times New Roman" w:cs="Times New Roman"/>
          <w:color w:val="2A2F45"/>
          <w:sz w:val="24"/>
          <w:szCs w:val="24"/>
          <w:shd w:val="clear" w:color="auto" w:fill="FFFFFF"/>
        </w:rPr>
      </w:pPr>
    </w:p>
    <w:p w14:paraId="1184F502" w14:textId="77777777" w:rsidR="00155631" w:rsidRDefault="00000000" w:rsidP="0084773E">
      <w:pPr>
        <w:spacing w:line="360" w:lineRule="auto"/>
        <w:jc w:val="right"/>
        <w:rPr>
          <w:rFonts w:ascii="Times New Roman" w:eastAsia="宋体" w:hAnsi="Times New Roman" w:cs="Times New Roman"/>
          <w:sz w:val="24"/>
          <w:szCs w:val="24"/>
        </w:rPr>
      </w:pPr>
      <m:oMath>
        <m:r>
          <w:rPr>
            <w:rFonts w:ascii="Cambria Math" w:eastAsia="宋体" w:hAnsi="Cambria Math" w:cs="Times New Roman"/>
            <w:sz w:val="24"/>
            <w:szCs w:val="24"/>
          </w:rPr>
          <m:t>M</m:t>
        </m:r>
        <m:d>
          <m:dPr>
            <m:ctrlPr>
              <w:rPr>
                <w:rFonts w:ascii="Cambria Math" w:eastAsia="宋体" w:hAnsi="Cambria Math" w:cs="Times New Roman"/>
                <w:i/>
                <w:sz w:val="24"/>
                <w:szCs w:val="24"/>
              </w:rPr>
            </m:ctrlPr>
          </m:dPr>
          <m:e>
            <m:r>
              <w:rPr>
                <w:rFonts w:ascii="Cambria Math" w:eastAsia="宋体" w:hAnsi="Cambria Math" w:cs="Times New Roman"/>
                <w:sz w:val="24"/>
                <w:szCs w:val="24"/>
              </w:rPr>
              <m:t>t</m:t>
            </m:r>
          </m:e>
        </m:d>
        <m:r>
          <w:rPr>
            <w:rFonts w:ascii="Cambria Math" w:eastAsia="宋体" w:hAnsi="Cambria Math" w:cs="Times New Roman"/>
            <w:sz w:val="24"/>
            <w:szCs w:val="24"/>
          </w:rPr>
          <m:t>=A</m:t>
        </m:r>
        <m:sSup>
          <m:sSupPr>
            <m:ctrlPr>
              <w:rPr>
                <w:rFonts w:ascii="Cambria Math" w:eastAsia="宋体" w:hAnsi="Cambria Math" w:cs="Times New Roman"/>
                <w:i/>
                <w:sz w:val="24"/>
                <w:szCs w:val="24"/>
              </w:rPr>
            </m:ctrlPr>
          </m:sSupPr>
          <m:e>
            <m:r>
              <w:rPr>
                <w:rFonts w:ascii="Cambria Math" w:eastAsia="宋体" w:hAnsi="Cambria Math" w:cs="Times New Roman"/>
                <w:sz w:val="24"/>
                <w:szCs w:val="24"/>
              </w:rPr>
              <m:t>e</m:t>
            </m:r>
          </m:e>
          <m:sup>
            <m:sSup>
              <m:sSupPr>
                <m:ctrlPr>
                  <w:rPr>
                    <w:rFonts w:ascii="Cambria Math" w:eastAsia="宋体" w:hAnsi="Cambria Math" w:cs="Times New Roman"/>
                    <w:i/>
                    <w:sz w:val="24"/>
                    <w:szCs w:val="24"/>
                  </w:rPr>
                </m:ctrlPr>
              </m:sSupPr>
              <m:e>
                <m:d>
                  <m:dPr>
                    <m:ctrlPr>
                      <w:rPr>
                        <w:rFonts w:ascii="Cambria Math" w:eastAsia="宋体" w:hAnsi="Cambria Math" w:cs="Times New Roman"/>
                        <w:i/>
                        <w:sz w:val="24"/>
                        <w:szCs w:val="24"/>
                      </w:rPr>
                    </m:ctrlPr>
                  </m:dPr>
                  <m:e>
                    <m:r>
                      <w:rPr>
                        <w:rFonts w:ascii="Cambria Math" w:eastAsia="宋体" w:hAnsi="Cambria Math" w:cs="Times New Roman"/>
                        <w:sz w:val="24"/>
                        <w:szCs w:val="24"/>
                      </w:rPr>
                      <m:t>-</m:t>
                    </m:r>
                    <m:f>
                      <m:fPr>
                        <m:ctrlPr>
                          <w:rPr>
                            <w:rFonts w:ascii="Cambria Math" w:eastAsia="宋体" w:hAnsi="Cambria Math" w:cs="Times New Roman"/>
                            <w:i/>
                            <w:sz w:val="24"/>
                            <w:szCs w:val="24"/>
                          </w:rPr>
                        </m:ctrlPr>
                      </m:fPr>
                      <m:num>
                        <m:r>
                          <w:rPr>
                            <w:rFonts w:ascii="Cambria Math" w:eastAsia="宋体" w:hAnsi="Cambria Math" w:cs="Times New Roman"/>
                            <w:sz w:val="24"/>
                            <w:szCs w:val="24"/>
                          </w:rPr>
                          <m:t>t</m:t>
                        </m:r>
                      </m:num>
                      <m:den>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T</m:t>
                            </m:r>
                          </m:e>
                          <m:sub>
                            <m:r>
                              <w:rPr>
                                <w:rFonts w:ascii="Cambria Math" w:eastAsia="宋体" w:hAnsi="Cambria Math" w:cs="Times New Roman"/>
                                <w:sz w:val="24"/>
                                <w:szCs w:val="24"/>
                              </w:rPr>
                              <m:t>2A</m:t>
                            </m:r>
                          </m:sub>
                        </m:sSub>
                      </m:den>
                    </m:f>
                  </m:e>
                </m:d>
              </m:e>
              <m:sup>
                <m:r>
                  <w:rPr>
                    <w:rFonts w:ascii="Cambria Math" w:eastAsia="宋体" w:hAnsi="Cambria Math" w:cs="Times New Roman"/>
                    <w:sz w:val="24"/>
                    <w:szCs w:val="24"/>
                  </w:rPr>
                  <m:t>β</m:t>
                </m:r>
              </m:sup>
            </m:sSup>
          </m:sup>
        </m:sSup>
        <m:r>
          <w:rPr>
            <w:rFonts w:ascii="Cambria Math" w:eastAsia="宋体" w:hAnsi="Cambria Math" w:cs="Times New Roman"/>
            <w:sz w:val="24"/>
            <w:szCs w:val="24"/>
          </w:rPr>
          <m:t>+B</m:t>
        </m:r>
        <m:sSup>
          <m:sSupPr>
            <m:ctrlPr>
              <w:rPr>
                <w:rFonts w:ascii="Cambria Math" w:eastAsia="宋体" w:hAnsi="Cambria Math" w:cs="Times New Roman"/>
                <w:i/>
                <w:sz w:val="24"/>
                <w:szCs w:val="24"/>
              </w:rPr>
            </m:ctrlPr>
          </m:sSupPr>
          <m:e>
            <m:r>
              <w:rPr>
                <w:rFonts w:ascii="Cambria Math" w:eastAsia="宋体" w:hAnsi="Cambria Math" w:cs="Times New Roman"/>
                <w:sz w:val="24"/>
                <w:szCs w:val="24"/>
              </w:rPr>
              <m:t>e</m:t>
            </m:r>
          </m:e>
          <m:sup>
            <m:d>
              <m:dPr>
                <m:ctrlPr>
                  <w:rPr>
                    <w:rFonts w:ascii="Cambria Math" w:eastAsia="宋体" w:hAnsi="Cambria Math" w:cs="Times New Roman"/>
                    <w:i/>
                    <w:sz w:val="24"/>
                    <w:szCs w:val="24"/>
                  </w:rPr>
                </m:ctrlPr>
              </m:dPr>
              <m:e>
                <m:r>
                  <w:rPr>
                    <w:rFonts w:ascii="Cambria Math" w:eastAsia="宋体" w:hAnsi="Cambria Math" w:cs="Times New Roman"/>
                    <w:sz w:val="24"/>
                    <w:szCs w:val="24"/>
                  </w:rPr>
                  <m:t>-</m:t>
                </m:r>
                <m:f>
                  <m:fPr>
                    <m:ctrlPr>
                      <w:rPr>
                        <w:rFonts w:ascii="Cambria Math" w:eastAsia="宋体" w:hAnsi="Cambria Math" w:cs="Times New Roman"/>
                        <w:i/>
                        <w:sz w:val="24"/>
                        <w:szCs w:val="24"/>
                      </w:rPr>
                    </m:ctrlPr>
                  </m:fPr>
                  <m:num>
                    <m:r>
                      <w:rPr>
                        <w:rFonts w:ascii="Cambria Math" w:eastAsia="宋体" w:hAnsi="Cambria Math" w:cs="Times New Roman"/>
                        <w:sz w:val="24"/>
                        <w:szCs w:val="24"/>
                      </w:rPr>
                      <m:t>t</m:t>
                    </m:r>
                  </m:num>
                  <m:den>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T</m:t>
                        </m:r>
                      </m:e>
                      <m:sub>
                        <m:r>
                          <w:rPr>
                            <w:rFonts w:ascii="Cambria Math" w:eastAsia="宋体" w:hAnsi="Cambria Math" w:cs="Times New Roman"/>
                            <w:sz w:val="24"/>
                            <w:szCs w:val="24"/>
                          </w:rPr>
                          <m:t>2B</m:t>
                        </m:r>
                      </m:sub>
                    </m:sSub>
                  </m:den>
                </m:f>
              </m:e>
            </m:d>
          </m:sup>
        </m:sSup>
        <m:r>
          <w:rPr>
            <w:rFonts w:ascii="Cambria Math" w:eastAsia="宋体" w:hAnsi="Cambria Math" w:cs="Times New Roman"/>
            <w:sz w:val="24"/>
            <w:szCs w:val="24"/>
          </w:rPr>
          <m:t>+C</m:t>
        </m:r>
        <m:sSup>
          <m:sSupPr>
            <m:ctrlPr>
              <w:rPr>
                <w:rFonts w:ascii="Cambria Math" w:eastAsia="宋体" w:hAnsi="Cambria Math" w:cs="Times New Roman"/>
                <w:i/>
                <w:sz w:val="24"/>
                <w:szCs w:val="24"/>
              </w:rPr>
            </m:ctrlPr>
          </m:sSupPr>
          <m:e>
            <m:r>
              <w:rPr>
                <w:rFonts w:ascii="Cambria Math" w:eastAsia="宋体" w:hAnsi="Cambria Math" w:cs="Times New Roman"/>
                <w:sz w:val="24"/>
                <w:szCs w:val="24"/>
              </w:rPr>
              <m:t>e</m:t>
            </m:r>
          </m:e>
          <m:sup>
            <m:d>
              <m:dPr>
                <m:ctrlPr>
                  <w:rPr>
                    <w:rFonts w:ascii="Cambria Math" w:eastAsia="宋体" w:hAnsi="Cambria Math" w:cs="Times New Roman"/>
                    <w:i/>
                    <w:sz w:val="24"/>
                    <w:szCs w:val="24"/>
                  </w:rPr>
                </m:ctrlPr>
              </m:dPr>
              <m:e>
                <m:r>
                  <w:rPr>
                    <w:rFonts w:ascii="Cambria Math" w:eastAsia="宋体" w:hAnsi="Cambria Math" w:cs="Times New Roman"/>
                    <w:sz w:val="24"/>
                    <w:szCs w:val="24"/>
                  </w:rPr>
                  <m:t>-</m:t>
                </m:r>
                <m:f>
                  <m:fPr>
                    <m:ctrlPr>
                      <w:rPr>
                        <w:rFonts w:ascii="Cambria Math" w:eastAsia="宋体" w:hAnsi="Cambria Math" w:cs="Times New Roman"/>
                        <w:i/>
                        <w:sz w:val="24"/>
                        <w:szCs w:val="24"/>
                      </w:rPr>
                    </m:ctrlPr>
                  </m:fPr>
                  <m:num>
                    <m:r>
                      <w:rPr>
                        <w:rFonts w:ascii="Cambria Math" w:eastAsia="宋体" w:hAnsi="Cambria Math" w:cs="Times New Roman"/>
                        <w:sz w:val="24"/>
                        <w:szCs w:val="24"/>
                      </w:rPr>
                      <m:t>t</m:t>
                    </m:r>
                  </m:num>
                  <m:den>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T</m:t>
                        </m:r>
                      </m:e>
                      <m:sub>
                        <m:r>
                          <w:rPr>
                            <w:rFonts w:ascii="Cambria Math" w:eastAsia="宋体" w:hAnsi="Cambria Math" w:cs="Times New Roman"/>
                            <w:sz w:val="24"/>
                            <w:szCs w:val="24"/>
                          </w:rPr>
                          <m:t>2C</m:t>
                        </m:r>
                      </m:sub>
                    </m:sSub>
                  </m:den>
                </m:f>
              </m:e>
            </m:d>
          </m:sup>
        </m:sSup>
        <m:r>
          <w:rPr>
            <w:rFonts w:ascii="Cambria Math" w:eastAsia="宋体" w:hAnsi="Cambria Math" w:cs="Times New Roman"/>
            <w:sz w:val="24"/>
            <w:szCs w:val="24"/>
          </w:rPr>
          <m:t>+</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A</m:t>
            </m:r>
          </m:e>
          <m:sub>
            <m:r>
              <w:rPr>
                <w:rFonts w:ascii="Cambria Math" w:eastAsia="宋体" w:hAnsi="Cambria Math" w:cs="Times New Roman"/>
                <w:sz w:val="24"/>
                <w:szCs w:val="24"/>
              </w:rPr>
              <m:t>0</m:t>
            </m:r>
          </m:sub>
        </m:sSub>
      </m:oMath>
      <w:r>
        <w:rPr>
          <w:rFonts w:ascii="Times New Roman" w:eastAsia="宋体" w:hAnsi="Times New Roman" w:cs="Times New Roman"/>
          <w:sz w:val="24"/>
          <w:szCs w:val="24"/>
        </w:rPr>
        <w:t xml:space="preserve">            (</w:t>
      </w:r>
      <w:r>
        <w:rPr>
          <w:rFonts w:ascii="Times New Roman" w:hAnsi="Times New Roman" w:cs="Times New Roman"/>
          <w:sz w:val="24"/>
          <w:szCs w:val="24"/>
          <w:shd w:val="clear" w:color="auto" w:fill="FFFFFF"/>
        </w:rPr>
        <w:t>eq.</w:t>
      </w:r>
      <w:r>
        <w:rPr>
          <w:rFonts w:ascii="Times New Roman" w:eastAsia="PingFang SC" w:hAnsi="Times New Roman" w:cs="Times New Roman"/>
          <w:sz w:val="24"/>
          <w:szCs w:val="24"/>
          <w:shd w:val="clear" w:color="auto" w:fill="FFFFFF"/>
        </w:rPr>
        <w:t xml:space="preserve"> </w:t>
      </w:r>
      <w:r>
        <w:rPr>
          <w:rFonts w:ascii="Times New Roman" w:eastAsia="宋体" w:hAnsi="Times New Roman" w:cs="Times New Roman"/>
          <w:sz w:val="24"/>
          <w:szCs w:val="24"/>
        </w:rPr>
        <w:t>2)</w:t>
      </w:r>
    </w:p>
    <w:p w14:paraId="34B7FE35" w14:textId="77777777" w:rsidR="00155631" w:rsidRDefault="00000000" w:rsidP="0084773E">
      <w:pPr>
        <w:spacing w:line="360" w:lineRule="auto"/>
        <w:jc w:val="right"/>
        <w:rPr>
          <w:rFonts w:ascii="Times New Roman" w:eastAsia="宋体" w:hAnsi="Times New Roman" w:cs="Times New Roman"/>
          <w:sz w:val="24"/>
          <w:szCs w:val="24"/>
        </w:rPr>
      </w:pPr>
      <m:oMath>
        <m:r>
          <w:rPr>
            <w:rFonts w:ascii="Cambria Math" w:eastAsia="宋体" w:hAnsi="Cambria Math" w:cs="Times New Roman"/>
            <w:sz w:val="24"/>
            <w:szCs w:val="24"/>
          </w:rPr>
          <m:t>MeN=</m:t>
        </m:r>
        <m:f>
          <m:fPr>
            <m:ctrlPr>
              <w:rPr>
                <w:rFonts w:ascii="Cambria Math" w:eastAsia="宋体" w:hAnsi="Cambria Math" w:cs="Times New Roman"/>
                <w:i/>
                <w:sz w:val="24"/>
                <w:szCs w:val="24"/>
              </w:rPr>
            </m:ctrlPr>
          </m:fPr>
          <m:num>
            <m:r>
              <w:rPr>
                <w:rFonts w:ascii="Cambria Math" w:eastAsia="宋体" w:hAnsi="Cambria Math" w:cs="Times New Roman"/>
                <w:sz w:val="24"/>
                <w:szCs w:val="24"/>
              </w:rPr>
              <m:t>ρ</m:t>
            </m:r>
          </m:num>
          <m:den>
            <m:r>
              <w:rPr>
                <w:rFonts w:ascii="Cambria Math" w:eastAsia="宋体" w:hAnsi="Cambria Math" w:cs="Times New Roman"/>
                <w:sz w:val="24"/>
                <w:szCs w:val="24"/>
              </w:rPr>
              <m:t>XLD</m:t>
            </m:r>
          </m:den>
        </m:f>
        <m:r>
          <w:rPr>
            <w:rFonts w:ascii="Cambria Math" w:eastAsia="宋体" w:hAnsi="Cambria Math" w:cs="Times New Roman"/>
            <w:sz w:val="24"/>
            <w:szCs w:val="24"/>
          </w:rPr>
          <m:t>=</m:t>
        </m:r>
        <m:f>
          <m:fPr>
            <m:ctrlPr>
              <w:rPr>
                <w:rFonts w:ascii="Cambria Math" w:eastAsia="宋体" w:hAnsi="Cambria Math" w:cs="Times New Roman"/>
                <w:i/>
                <w:sz w:val="24"/>
                <w:szCs w:val="24"/>
              </w:rPr>
            </m:ctrlPr>
          </m:fPr>
          <m:num>
            <m:r>
              <w:rPr>
                <w:rFonts w:ascii="Cambria Math" w:eastAsia="宋体" w:hAnsi="Cambria Math" w:cs="Times New Roman"/>
                <w:sz w:val="24"/>
                <w:szCs w:val="24"/>
              </w:rPr>
              <m:t>3</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C</m:t>
                </m:r>
              </m:e>
              <m:sub>
                <m:r>
                  <w:rPr>
                    <w:rFonts w:ascii="Cambria Math" w:eastAsia="宋体" w:hAnsi="Cambria Math" w:cs="Times New Roman"/>
                    <w:sz w:val="24"/>
                    <w:szCs w:val="24"/>
                  </w:rPr>
                  <m:t>∞</m:t>
                </m:r>
              </m:sub>
            </m:sSub>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M</m:t>
                </m:r>
              </m:e>
              <m:sub>
                <m:r>
                  <w:rPr>
                    <w:rFonts w:ascii="Cambria Math" w:eastAsia="宋体" w:hAnsi="Cambria Math" w:cs="Times New Roman"/>
                    <w:sz w:val="24"/>
                    <w:szCs w:val="24"/>
                  </w:rPr>
                  <m:t>ru</m:t>
                </m:r>
              </m:sub>
            </m:sSub>
          </m:num>
          <m:den>
            <m:r>
              <w:rPr>
                <w:rFonts w:ascii="Cambria Math" w:eastAsia="宋体" w:hAnsi="Cambria Math" w:cs="Times New Roman"/>
                <w:sz w:val="24"/>
                <w:szCs w:val="24"/>
              </w:rPr>
              <m:t>5N</m:t>
            </m:r>
            <m:rad>
              <m:radPr>
                <m:degHide m:val="1"/>
                <m:ctrlPr>
                  <w:rPr>
                    <w:rFonts w:ascii="Cambria Math" w:eastAsia="宋体" w:hAnsi="Cambria Math" w:cs="Times New Roman"/>
                    <w:i/>
                    <w:sz w:val="24"/>
                    <w:szCs w:val="24"/>
                  </w:rPr>
                </m:ctrlPr>
              </m:radPr>
              <m:deg/>
              <m:e>
                <m:r>
                  <w:rPr>
                    <w:rFonts w:ascii="Cambria Math" w:eastAsia="宋体" w:hAnsi="Cambria Math" w:cs="Times New Roman"/>
                    <w:sz w:val="24"/>
                    <w:szCs w:val="24"/>
                  </w:rPr>
                  <m:t>q</m:t>
                </m:r>
              </m:e>
            </m:rad>
          </m:den>
        </m:f>
      </m:oMath>
      <w:r>
        <w:rPr>
          <w:rFonts w:ascii="Times New Roman" w:eastAsia="宋体" w:hAnsi="Times New Roman" w:cs="Times New Roman"/>
          <w:sz w:val="24"/>
          <w:szCs w:val="24"/>
        </w:rPr>
        <w:t xml:space="preserve">                       (</w:t>
      </w:r>
      <w:r>
        <w:rPr>
          <w:rFonts w:ascii="Times New Roman" w:hAnsi="Times New Roman" w:cs="Times New Roman"/>
          <w:sz w:val="24"/>
          <w:szCs w:val="24"/>
          <w:shd w:val="clear" w:color="auto" w:fill="FFFFFF"/>
        </w:rPr>
        <w:t>eq.</w:t>
      </w:r>
      <w:r>
        <w:rPr>
          <w:rFonts w:ascii="Times New Roman" w:eastAsia="PingFang SC" w:hAnsi="Times New Roman" w:cs="Times New Roman"/>
          <w:sz w:val="24"/>
          <w:szCs w:val="24"/>
          <w:shd w:val="clear" w:color="auto" w:fill="FFFFFF"/>
        </w:rPr>
        <w:t xml:space="preserve"> </w:t>
      </w:r>
      <w:r>
        <w:rPr>
          <w:rFonts w:ascii="Times New Roman" w:eastAsia="宋体" w:hAnsi="Times New Roman" w:cs="Times New Roman"/>
          <w:sz w:val="24"/>
          <w:szCs w:val="24"/>
        </w:rPr>
        <w:t>3)</w:t>
      </w:r>
    </w:p>
    <w:p w14:paraId="119FFEBD"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In the above XLD formula, </w:t>
      </w:r>
      <w:r>
        <w:rPr>
          <w:rFonts w:ascii="Times New Roman" w:eastAsia="宋体" w:hAnsi="Times New Roman" w:cs="Times New Roman"/>
          <w:i/>
          <w:iCs/>
          <w:sz w:val="24"/>
          <w:szCs w:val="24"/>
        </w:rPr>
        <w:t>A</w:t>
      </w:r>
      <w:r>
        <w:rPr>
          <w:rFonts w:ascii="Times New Roman" w:eastAsia="宋体" w:hAnsi="Times New Roman" w:cs="Times New Roman"/>
          <w:sz w:val="24"/>
          <w:szCs w:val="24"/>
        </w:rPr>
        <w:t xml:space="preserve"> represents the proportion of the signal from the crosslinked chain part, </w:t>
      </w:r>
      <w:r>
        <w:rPr>
          <w:rFonts w:ascii="Times New Roman" w:eastAsia="宋体" w:hAnsi="Times New Roman" w:cs="Times New Roman"/>
          <w:i/>
          <w:iCs/>
          <w:sz w:val="24"/>
          <w:szCs w:val="24"/>
        </w:rPr>
        <w:t>B</w:t>
      </w:r>
      <w:r>
        <w:rPr>
          <w:rFonts w:ascii="Times New Roman" w:eastAsia="宋体" w:hAnsi="Times New Roman" w:cs="Times New Roman"/>
          <w:sz w:val="24"/>
          <w:szCs w:val="24"/>
        </w:rPr>
        <w:t xml:space="preserve"> represents the proportion of the signal from the pendant chain part, </w:t>
      </w:r>
      <w:r>
        <w:rPr>
          <w:rFonts w:ascii="Times New Roman" w:eastAsia="宋体" w:hAnsi="Times New Roman" w:cs="Times New Roman"/>
          <w:i/>
          <w:iCs/>
          <w:sz w:val="24"/>
          <w:szCs w:val="24"/>
        </w:rPr>
        <w:t>C</w:t>
      </w:r>
      <w:r>
        <w:rPr>
          <w:rFonts w:ascii="Times New Roman" w:eastAsia="宋体" w:hAnsi="Times New Roman" w:cs="Times New Roman"/>
          <w:sz w:val="24"/>
          <w:szCs w:val="24"/>
        </w:rPr>
        <w:t xml:space="preserve"> represents the proportion of the signal from the free chain part, T</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A represents the relaxation time of the signal from the crosslinked chain part, T</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B represents the relaxation time of the signal from the pendant chain part, T</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 xml:space="preserve">C represents the relaxation time of the signal from the free chain part, </w:t>
      </w:r>
      <w:r>
        <w:rPr>
          <w:rFonts w:ascii="Times New Roman" w:eastAsia="宋体" w:hAnsi="Times New Roman" w:cs="Times New Roman"/>
          <w:i/>
          <w:iCs/>
          <w:sz w:val="24"/>
          <w:szCs w:val="24"/>
        </w:rPr>
        <w:t>β</w:t>
      </w:r>
      <w:r>
        <w:rPr>
          <w:rFonts w:ascii="Times New Roman" w:eastAsia="宋体" w:hAnsi="Times New Roman" w:cs="Times New Roman"/>
          <w:sz w:val="24"/>
          <w:szCs w:val="24"/>
        </w:rPr>
        <w:t xml:space="preserve"> denotes the Weibull distribution parameter, A</w:t>
      </w:r>
      <w:r>
        <w:rPr>
          <w:rFonts w:ascii="Times New Roman" w:eastAsia="宋体" w:hAnsi="Times New Roman" w:cs="Times New Roman"/>
          <w:sz w:val="24"/>
          <w:szCs w:val="24"/>
          <w:vertAlign w:val="subscript"/>
        </w:rPr>
        <w:t>0</w:t>
      </w:r>
      <w:r>
        <w:rPr>
          <w:rFonts w:ascii="Times New Roman" w:eastAsia="宋体" w:hAnsi="Times New Roman" w:cs="Times New Roman"/>
          <w:sz w:val="24"/>
          <w:szCs w:val="24"/>
        </w:rPr>
        <w:t xml:space="preserve"> represents the constant fraction, and </w:t>
      </w:r>
      <w:r>
        <w:rPr>
          <w:rFonts w:ascii="Times New Roman" w:eastAsia="宋体" w:hAnsi="Times New Roman" w:cs="Times New Roman"/>
          <w:i/>
          <w:iCs/>
          <w:sz w:val="24"/>
          <w:szCs w:val="24"/>
        </w:rPr>
        <w:t>c</w:t>
      </w:r>
      <w:r>
        <w:rPr>
          <w:rFonts w:ascii="Times New Roman" w:eastAsia="宋体" w:hAnsi="Times New Roman" w:cs="Times New Roman"/>
          <w:sz w:val="24"/>
          <w:szCs w:val="24"/>
        </w:rPr>
        <w:t xml:space="preserve"> represents the polymer concentration. </w:t>
      </w:r>
      <w:proofErr w:type="spellStart"/>
      <w:r>
        <w:rPr>
          <w:rFonts w:ascii="Times New Roman" w:eastAsia="宋体" w:hAnsi="Times New Roman" w:cs="Times New Roman"/>
          <w:sz w:val="24"/>
          <w:szCs w:val="24"/>
        </w:rPr>
        <w:t>MeN</w:t>
      </w:r>
      <w:proofErr w:type="spellEnd"/>
      <w:r>
        <w:rPr>
          <w:rFonts w:ascii="Times New Roman" w:eastAsia="宋体" w:hAnsi="Times New Roman" w:cs="Times New Roman"/>
          <w:sz w:val="24"/>
          <w:szCs w:val="24"/>
        </w:rPr>
        <w:t xml:space="preserve"> denotes the entanglement molecular weight obtained from the NMR method. In the </w:t>
      </w:r>
      <w:proofErr w:type="spellStart"/>
      <w:r>
        <w:rPr>
          <w:rFonts w:ascii="Times New Roman" w:eastAsia="宋体" w:hAnsi="Times New Roman" w:cs="Times New Roman"/>
          <w:sz w:val="24"/>
          <w:szCs w:val="24"/>
        </w:rPr>
        <w:t>MeN</w:t>
      </w:r>
      <w:proofErr w:type="spellEnd"/>
      <w:r>
        <w:rPr>
          <w:rFonts w:ascii="Times New Roman" w:eastAsia="宋体" w:hAnsi="Times New Roman" w:cs="Times New Roman"/>
          <w:sz w:val="24"/>
          <w:szCs w:val="24"/>
        </w:rPr>
        <w:t xml:space="preserve"> formula, ρ, XLD, C</w:t>
      </w:r>
      <w:r>
        <w:rPr>
          <w:rFonts w:ascii="Times New Roman" w:eastAsia="宋体" w:hAnsi="Times New Roman" w:cs="Times New Roman"/>
          <w:sz w:val="24"/>
          <w:szCs w:val="24"/>
          <w:vertAlign w:val="subscript"/>
        </w:rPr>
        <w:t>∞</w:t>
      </w:r>
      <w:r>
        <w:rPr>
          <w:rFonts w:ascii="Times New Roman" w:eastAsia="宋体" w:hAnsi="Times New Roman" w:cs="Times New Roman"/>
          <w:sz w:val="24"/>
          <w:szCs w:val="24"/>
        </w:rPr>
        <w:t xml:space="preserve">, </w:t>
      </w:r>
      <w:proofErr w:type="spellStart"/>
      <w:r>
        <w:rPr>
          <w:rFonts w:ascii="Times New Roman" w:eastAsia="宋体" w:hAnsi="Times New Roman" w:cs="Times New Roman"/>
          <w:sz w:val="24"/>
          <w:szCs w:val="24"/>
        </w:rPr>
        <w:t>Mru</w:t>
      </w:r>
      <w:proofErr w:type="spellEnd"/>
      <w:r>
        <w:rPr>
          <w:rFonts w:ascii="Times New Roman" w:eastAsia="宋体" w:hAnsi="Times New Roman" w:cs="Times New Roman"/>
          <w:sz w:val="24"/>
          <w:szCs w:val="24"/>
        </w:rPr>
        <w:t>, N, and q represent the density, crosslinking density, number of main-chain bonds within the chain segment, molar mass of the monomer unit, number of main-chain bonds in the repeating unit, and anisotropy rate of the crosslinked chain segment, respectively.</w:t>
      </w:r>
    </w:p>
    <w:p w14:paraId="41FC5713" w14:textId="77777777" w:rsidR="00155631" w:rsidRDefault="00155631" w:rsidP="0084773E">
      <w:pPr>
        <w:spacing w:line="480" w:lineRule="auto"/>
        <w:ind w:firstLineChars="200" w:firstLine="480"/>
        <w:jc w:val="left"/>
        <w:rPr>
          <w:rFonts w:ascii="Times New Roman" w:eastAsia="宋体" w:hAnsi="Times New Roman" w:cs="Times New Roman"/>
          <w:sz w:val="24"/>
          <w:szCs w:val="24"/>
        </w:rPr>
      </w:pPr>
    </w:p>
    <w:p w14:paraId="08A55982" w14:textId="77777777" w:rsidR="00155631" w:rsidRDefault="00155631" w:rsidP="0084773E">
      <w:pPr>
        <w:spacing w:line="480" w:lineRule="auto"/>
        <w:ind w:firstLineChars="200" w:firstLine="480"/>
        <w:jc w:val="left"/>
        <w:rPr>
          <w:rFonts w:ascii="Times New Roman" w:eastAsia="宋体" w:hAnsi="Times New Roman" w:cs="Times New Roman"/>
          <w:sz w:val="24"/>
          <w:szCs w:val="24"/>
        </w:rPr>
      </w:pPr>
    </w:p>
    <w:p w14:paraId="4A678F64" w14:textId="77777777" w:rsidR="00155631" w:rsidRDefault="00000000" w:rsidP="0084773E">
      <w:pPr>
        <w:spacing w:line="480" w:lineRule="auto"/>
        <w:jc w:val="right"/>
        <w:rPr>
          <w:rFonts w:ascii="Times New Roman" w:eastAsia="宋体" w:hAnsi="Times New Roman" w:cs="Times New Roman"/>
          <w:sz w:val="24"/>
          <w:szCs w:val="24"/>
        </w:rPr>
      </w:pPr>
      <m:oMath>
        <m:r>
          <w:rPr>
            <w:rFonts w:ascii="Cambria Math" w:eastAsia="宋体" w:hAnsi="Cambria Math" w:cs="Times New Roman"/>
            <w:sz w:val="24"/>
            <w:szCs w:val="24"/>
          </w:rPr>
          <w:lastRenderedPageBreak/>
          <m:t>MeR=</m:t>
        </m:r>
        <m:f>
          <m:fPr>
            <m:ctrlPr>
              <w:rPr>
                <w:rFonts w:ascii="Cambria Math" w:eastAsia="宋体" w:hAnsi="Cambria Math" w:cs="Times New Roman"/>
                <w:i/>
                <w:sz w:val="24"/>
                <w:szCs w:val="24"/>
              </w:rPr>
            </m:ctrlPr>
          </m:fPr>
          <m:num>
            <m:r>
              <w:rPr>
                <w:rFonts w:ascii="Cambria Math" w:eastAsia="宋体" w:hAnsi="Cambria Math" w:cs="Times New Roman"/>
                <w:sz w:val="24"/>
                <w:szCs w:val="24"/>
              </w:rPr>
              <m:t>1</m:t>
            </m:r>
          </m:num>
          <m:den>
            <m:f>
              <m:fPr>
                <m:ctrlPr>
                  <w:rPr>
                    <w:rFonts w:ascii="Cambria Math" w:eastAsia="宋体" w:hAnsi="Cambria Math" w:cs="Times New Roman"/>
                    <w:i/>
                    <w:sz w:val="24"/>
                    <w:szCs w:val="24"/>
                  </w:rPr>
                </m:ctrlPr>
              </m:fPr>
              <m:num>
                <m:r>
                  <w:rPr>
                    <w:rFonts w:ascii="Cambria Math" w:eastAsia="宋体" w:hAnsi="Cambria Math" w:cs="Times New Roman"/>
                    <w:sz w:val="24"/>
                    <w:szCs w:val="24"/>
                  </w:rPr>
                  <m:t>G</m:t>
                </m:r>
              </m:num>
              <m:den>
                <m:r>
                  <w:rPr>
                    <w:rFonts w:ascii="Cambria Math" w:eastAsia="宋体" w:hAnsi="Cambria Math" w:cs="Times New Roman"/>
                    <w:sz w:val="24"/>
                    <w:szCs w:val="24"/>
                  </w:rPr>
                  <m:t>ρRT</m:t>
                </m:r>
              </m:den>
            </m:f>
            <m:r>
              <w:rPr>
                <w:rFonts w:ascii="Cambria Math" w:eastAsia="宋体" w:hAnsi="Cambria Math" w:cs="Times New Roman"/>
                <w:sz w:val="24"/>
                <w:szCs w:val="24"/>
              </w:rPr>
              <m:t>+</m:t>
            </m:r>
            <m:f>
              <m:fPr>
                <m:ctrlPr>
                  <w:rPr>
                    <w:rFonts w:ascii="Cambria Math" w:eastAsia="宋体" w:hAnsi="Cambria Math" w:cs="Times New Roman"/>
                    <w:i/>
                    <w:sz w:val="24"/>
                    <w:szCs w:val="24"/>
                  </w:rPr>
                </m:ctrlPr>
              </m:fPr>
              <m:num>
                <m:r>
                  <w:rPr>
                    <w:rFonts w:ascii="Cambria Math" w:eastAsia="宋体" w:hAnsi="Cambria Math" w:cs="Times New Roman"/>
                    <w:sz w:val="24"/>
                    <w:szCs w:val="24"/>
                  </w:rPr>
                  <m:t>2</m:t>
                </m:r>
              </m:num>
              <m:den>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M</m:t>
                        </m:r>
                      </m:e>
                      <m:sub>
                        <m:r>
                          <w:rPr>
                            <w:rFonts w:ascii="Cambria Math" w:eastAsia="宋体" w:hAnsi="Cambria Math" w:cs="Times New Roman"/>
                            <w:sz w:val="24"/>
                            <w:szCs w:val="24"/>
                          </w:rPr>
                          <m:t>w</m:t>
                        </m:r>
                      </m:sub>
                    </m:sSub>
                  </m:e>
                </m:acc>
              </m:den>
            </m:f>
          </m:den>
        </m:f>
      </m:oMath>
      <w:r>
        <w:rPr>
          <w:rFonts w:ascii="Times New Roman" w:eastAsia="宋体" w:hAnsi="Times New Roman" w:cs="Times New Roman"/>
          <w:sz w:val="24"/>
          <w:szCs w:val="24"/>
        </w:rPr>
        <w:t xml:space="preserve">                         (</w:t>
      </w:r>
      <w:r>
        <w:rPr>
          <w:rFonts w:ascii="Times New Roman" w:hAnsi="Times New Roman" w:cs="Times New Roman"/>
          <w:sz w:val="24"/>
          <w:szCs w:val="24"/>
          <w:shd w:val="clear" w:color="auto" w:fill="FFFFFF"/>
        </w:rPr>
        <w:t>eq.</w:t>
      </w:r>
      <w:r>
        <w:rPr>
          <w:rFonts w:ascii="Times New Roman" w:eastAsia="PingFang SC" w:hAnsi="Times New Roman" w:cs="Times New Roman"/>
          <w:sz w:val="24"/>
          <w:szCs w:val="24"/>
          <w:shd w:val="clear" w:color="auto" w:fill="FFFFFF"/>
        </w:rPr>
        <w:t xml:space="preserve"> </w:t>
      </w:r>
      <w:r>
        <w:rPr>
          <w:rFonts w:ascii="Times New Roman" w:eastAsia="宋体" w:hAnsi="Times New Roman" w:cs="Times New Roman"/>
          <w:sz w:val="24"/>
          <w:szCs w:val="24"/>
        </w:rPr>
        <w:t>4)</w:t>
      </w:r>
    </w:p>
    <w:p w14:paraId="01F4CDE4" w14:textId="77777777" w:rsidR="00155631" w:rsidRDefault="00000000" w:rsidP="0084773E">
      <w:pPr>
        <w:spacing w:line="480" w:lineRule="auto"/>
        <w:jc w:val="right"/>
        <w:rPr>
          <w:rFonts w:ascii="Times New Roman" w:eastAsia="宋体" w:hAnsi="Times New Roman" w:cs="Times New Roman"/>
          <w:sz w:val="24"/>
          <w:szCs w:val="24"/>
        </w:rPr>
      </w:pPr>
      <m:oMath>
        <m:r>
          <w:rPr>
            <w:rFonts w:ascii="Cambria Math" w:eastAsia="宋体" w:hAnsi="Cambria Math" w:cs="Times New Roman"/>
            <w:sz w:val="24"/>
            <w:szCs w:val="24"/>
          </w:rPr>
          <m:t>Me=MeR×</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E</m:t>
            </m:r>
          </m:e>
          <m:sub>
            <m:r>
              <w:rPr>
                <w:rFonts w:ascii="Cambria Math" w:eastAsia="宋体" w:hAnsi="Cambria Math" w:cs="Times New Roman"/>
                <w:sz w:val="24"/>
                <w:szCs w:val="24"/>
              </w:rPr>
              <m:t>r</m:t>
            </m:r>
          </m:sub>
        </m:sSub>
        <m:r>
          <w:rPr>
            <w:rFonts w:ascii="Cambria Math" w:eastAsia="宋体" w:hAnsi="Cambria Math" w:cs="Times New Roman"/>
            <w:sz w:val="24"/>
            <w:szCs w:val="24"/>
          </w:rPr>
          <m:t>+MeN</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×P</m:t>
            </m:r>
          </m:e>
          <m:sub>
            <m:r>
              <w:rPr>
                <w:rFonts w:ascii="Cambria Math" w:eastAsia="宋体" w:hAnsi="Cambria Math" w:cs="Times New Roman"/>
                <w:sz w:val="24"/>
                <w:szCs w:val="24"/>
              </w:rPr>
              <m:t>r</m:t>
            </m:r>
          </m:sub>
        </m:sSub>
        <m:r>
          <w:rPr>
            <w:rFonts w:ascii="Cambria Math" w:eastAsia="宋体" w:hAnsi="Cambria Math" w:cs="Times New Roman"/>
            <w:sz w:val="24"/>
            <w:szCs w:val="24"/>
          </w:rPr>
          <m:t>=</m:t>
        </m:r>
        <m:f>
          <m:fPr>
            <m:ctrlPr>
              <w:rPr>
                <w:rFonts w:ascii="Cambria Math" w:eastAsia="宋体" w:hAnsi="Cambria Math" w:cs="Times New Roman"/>
                <w:i/>
                <w:sz w:val="24"/>
                <w:szCs w:val="24"/>
              </w:rPr>
            </m:ctrlPr>
          </m:fPr>
          <m:num>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E</m:t>
                </m:r>
              </m:e>
              <m:sub>
                <m:r>
                  <w:rPr>
                    <w:rFonts w:ascii="Cambria Math" w:eastAsia="宋体" w:hAnsi="Cambria Math" w:cs="Times New Roman"/>
                    <w:sz w:val="24"/>
                    <w:szCs w:val="24"/>
                  </w:rPr>
                  <m:t>r</m:t>
                </m:r>
              </m:sub>
            </m:sSub>
          </m:num>
          <m:den>
            <m:f>
              <m:fPr>
                <m:ctrlPr>
                  <w:rPr>
                    <w:rFonts w:ascii="Cambria Math" w:eastAsia="宋体" w:hAnsi="Cambria Math" w:cs="Times New Roman"/>
                    <w:i/>
                    <w:sz w:val="24"/>
                    <w:szCs w:val="24"/>
                  </w:rPr>
                </m:ctrlPr>
              </m:fPr>
              <m:num>
                <m:r>
                  <w:rPr>
                    <w:rFonts w:ascii="Cambria Math" w:eastAsia="宋体" w:hAnsi="Cambria Math" w:cs="Times New Roman"/>
                    <w:sz w:val="24"/>
                    <w:szCs w:val="24"/>
                  </w:rPr>
                  <m:t>G</m:t>
                </m:r>
              </m:num>
              <m:den>
                <m:r>
                  <w:rPr>
                    <w:rFonts w:ascii="Cambria Math" w:eastAsia="宋体" w:hAnsi="Cambria Math" w:cs="Times New Roman"/>
                    <w:sz w:val="24"/>
                    <w:szCs w:val="24"/>
                  </w:rPr>
                  <m:t>ρRT</m:t>
                </m:r>
              </m:den>
            </m:f>
            <m:r>
              <w:rPr>
                <w:rFonts w:ascii="Cambria Math" w:eastAsia="宋体" w:hAnsi="Cambria Math" w:cs="Times New Roman"/>
                <w:sz w:val="24"/>
                <w:szCs w:val="24"/>
              </w:rPr>
              <m:t>+</m:t>
            </m:r>
            <m:f>
              <m:fPr>
                <m:ctrlPr>
                  <w:rPr>
                    <w:rFonts w:ascii="Cambria Math" w:eastAsia="宋体" w:hAnsi="Cambria Math" w:cs="Times New Roman"/>
                    <w:i/>
                    <w:sz w:val="24"/>
                    <w:szCs w:val="24"/>
                  </w:rPr>
                </m:ctrlPr>
              </m:fPr>
              <m:num>
                <m:r>
                  <w:rPr>
                    <w:rFonts w:ascii="Cambria Math" w:eastAsia="宋体" w:hAnsi="Cambria Math" w:cs="Times New Roman"/>
                    <w:sz w:val="24"/>
                    <w:szCs w:val="24"/>
                  </w:rPr>
                  <m:t>2</m:t>
                </m:r>
              </m:num>
              <m:den>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M</m:t>
                        </m:r>
                      </m:e>
                      <m:sub>
                        <m:r>
                          <w:rPr>
                            <w:rFonts w:ascii="Cambria Math" w:eastAsia="宋体" w:hAnsi="Cambria Math" w:cs="Times New Roman"/>
                            <w:sz w:val="24"/>
                            <w:szCs w:val="24"/>
                          </w:rPr>
                          <m:t>n</m:t>
                        </m:r>
                      </m:sub>
                    </m:sSub>
                  </m:e>
                </m:acc>
              </m:den>
            </m:f>
          </m:den>
        </m:f>
        <m:r>
          <w:rPr>
            <w:rFonts w:ascii="Cambria Math" w:eastAsia="宋体" w:hAnsi="Cambria Math" w:cs="Times New Roman"/>
            <w:sz w:val="24"/>
            <w:szCs w:val="24"/>
          </w:rPr>
          <m:t>+</m:t>
        </m:r>
        <m:f>
          <m:fPr>
            <m:ctrlPr>
              <w:rPr>
                <w:rFonts w:ascii="Cambria Math" w:eastAsia="宋体" w:hAnsi="Cambria Math" w:cs="Times New Roman"/>
                <w:i/>
                <w:sz w:val="24"/>
                <w:szCs w:val="24"/>
              </w:rPr>
            </m:ctrlPr>
          </m:fPr>
          <m:num>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P</m:t>
                </m:r>
              </m:e>
              <m:sub>
                <m:r>
                  <w:rPr>
                    <w:rFonts w:ascii="Cambria Math" w:eastAsia="宋体" w:hAnsi="Cambria Math" w:cs="Times New Roman"/>
                    <w:sz w:val="24"/>
                    <w:szCs w:val="24"/>
                  </w:rPr>
                  <m:t>r</m:t>
                </m:r>
              </m:sub>
            </m:sSub>
            <m:r>
              <w:rPr>
                <w:rFonts w:ascii="Cambria Math" w:eastAsia="宋体" w:hAnsi="Cambria Math" w:cs="Times New Roman"/>
                <w:sz w:val="24"/>
                <w:szCs w:val="24"/>
              </w:rPr>
              <m:t>3</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C</m:t>
                </m:r>
              </m:e>
              <m:sub>
                <m:r>
                  <w:rPr>
                    <w:rFonts w:ascii="Cambria Math" w:eastAsia="宋体" w:hAnsi="Cambria Math" w:cs="Times New Roman"/>
                    <w:sz w:val="24"/>
                    <w:szCs w:val="24"/>
                  </w:rPr>
                  <m:t>∞</m:t>
                </m:r>
              </m:sub>
            </m:sSub>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M</m:t>
                </m:r>
              </m:e>
              <m:sub>
                <m:r>
                  <w:rPr>
                    <w:rFonts w:ascii="Cambria Math" w:eastAsia="宋体" w:hAnsi="Cambria Math" w:cs="Times New Roman"/>
                    <w:sz w:val="24"/>
                    <w:szCs w:val="24"/>
                  </w:rPr>
                  <m:t>ru</m:t>
                </m:r>
              </m:sub>
            </m:sSub>
          </m:num>
          <m:den>
            <m:r>
              <w:rPr>
                <w:rFonts w:ascii="Cambria Math" w:eastAsia="宋体" w:hAnsi="Cambria Math" w:cs="Times New Roman"/>
                <w:sz w:val="24"/>
                <w:szCs w:val="24"/>
              </w:rPr>
              <m:t>5N</m:t>
            </m:r>
            <m:rad>
              <m:radPr>
                <m:degHide m:val="1"/>
                <m:ctrlPr>
                  <w:rPr>
                    <w:rFonts w:ascii="Cambria Math" w:eastAsia="宋体" w:hAnsi="Cambria Math" w:cs="Times New Roman"/>
                    <w:i/>
                    <w:sz w:val="24"/>
                    <w:szCs w:val="24"/>
                  </w:rPr>
                </m:ctrlPr>
              </m:radPr>
              <m:deg/>
              <m:e>
                <m:r>
                  <w:rPr>
                    <w:rFonts w:ascii="Cambria Math" w:eastAsia="宋体" w:hAnsi="Cambria Math" w:cs="Times New Roman"/>
                    <w:sz w:val="24"/>
                    <w:szCs w:val="24"/>
                  </w:rPr>
                  <m:t>q</m:t>
                </m:r>
              </m:e>
            </m:rad>
          </m:den>
        </m:f>
      </m:oMath>
      <w:r>
        <w:rPr>
          <w:rFonts w:ascii="Times New Roman" w:eastAsia="宋体" w:hAnsi="Times New Roman" w:cs="Times New Roman"/>
          <w:sz w:val="24"/>
          <w:szCs w:val="24"/>
        </w:rPr>
        <w:t xml:space="preserve">        (</w:t>
      </w:r>
      <w:r>
        <w:rPr>
          <w:rFonts w:ascii="Times New Roman" w:hAnsi="Times New Roman" w:cs="Times New Roman"/>
          <w:sz w:val="24"/>
          <w:szCs w:val="24"/>
          <w:shd w:val="clear" w:color="auto" w:fill="FFFFFF"/>
        </w:rPr>
        <w:t>eq.</w:t>
      </w:r>
      <w:r>
        <w:rPr>
          <w:rFonts w:ascii="Times New Roman" w:eastAsia="PingFang SC" w:hAnsi="Times New Roman" w:cs="Times New Roman"/>
          <w:sz w:val="24"/>
          <w:szCs w:val="24"/>
          <w:shd w:val="clear" w:color="auto" w:fill="FFFFFF"/>
        </w:rPr>
        <w:t xml:space="preserve"> </w:t>
      </w:r>
      <w:r>
        <w:rPr>
          <w:rFonts w:ascii="Times New Roman" w:eastAsia="宋体" w:hAnsi="Times New Roman" w:cs="Times New Roman"/>
          <w:sz w:val="24"/>
          <w:szCs w:val="24"/>
        </w:rPr>
        <w:t>5)</w:t>
      </w:r>
    </w:p>
    <w:p w14:paraId="278B6026"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Here, </w:t>
      </w:r>
      <w:proofErr w:type="spellStart"/>
      <w:r>
        <w:rPr>
          <w:rFonts w:ascii="Times New Roman" w:eastAsia="宋体" w:hAnsi="Times New Roman" w:cs="Times New Roman"/>
          <w:sz w:val="24"/>
          <w:szCs w:val="24"/>
        </w:rPr>
        <w:t>MeR</w:t>
      </w:r>
      <w:proofErr w:type="spellEnd"/>
      <w:r>
        <w:rPr>
          <w:rFonts w:ascii="Times New Roman" w:eastAsia="宋体" w:hAnsi="Times New Roman" w:cs="Times New Roman"/>
          <w:sz w:val="24"/>
          <w:szCs w:val="24"/>
        </w:rPr>
        <w:t xml:space="preserve"> and Me denote the entanglement molecular weight obtained from the rheological method and the modified entanglement molecular weight, respectively. Er and </w:t>
      </w:r>
      <w:proofErr w:type="spellStart"/>
      <w:r>
        <w:rPr>
          <w:rFonts w:ascii="Times New Roman" w:eastAsia="宋体" w:hAnsi="Times New Roman" w:cs="Times New Roman"/>
          <w:sz w:val="24"/>
          <w:szCs w:val="24"/>
        </w:rPr>
        <w:t>Pr</w:t>
      </w:r>
      <w:proofErr w:type="spellEnd"/>
      <w:r>
        <w:rPr>
          <w:rFonts w:ascii="Times New Roman" w:eastAsia="宋体" w:hAnsi="Times New Roman" w:cs="Times New Roman"/>
          <w:sz w:val="24"/>
          <w:szCs w:val="24"/>
        </w:rPr>
        <w:t xml:space="preserve"> represent the elastic coefficient and plastic coefficient, respectively. In the </w:t>
      </w:r>
      <w:proofErr w:type="spellStart"/>
      <w:r>
        <w:rPr>
          <w:rFonts w:ascii="Times New Roman" w:eastAsia="宋体" w:hAnsi="Times New Roman" w:cs="Times New Roman"/>
          <w:sz w:val="24"/>
          <w:szCs w:val="24"/>
        </w:rPr>
        <w:t>MeR</w:t>
      </w:r>
      <w:proofErr w:type="spellEnd"/>
      <w:r>
        <w:rPr>
          <w:rFonts w:ascii="Times New Roman" w:eastAsia="宋体" w:hAnsi="Times New Roman" w:cs="Times New Roman"/>
          <w:sz w:val="24"/>
          <w:szCs w:val="24"/>
        </w:rPr>
        <w:t xml:space="preserve"> formula, G, ρ, R, T, and Mw correspond to the plateau modulus, density, gas constant, absolute temperature, and weight-average molecular weight, respectively.</w:t>
      </w:r>
    </w:p>
    <w:p w14:paraId="28F44DC0" w14:textId="77777777" w:rsidR="00155631" w:rsidRDefault="00155631" w:rsidP="0084773E">
      <w:pPr>
        <w:spacing w:line="480" w:lineRule="auto"/>
        <w:ind w:firstLineChars="200" w:firstLine="480"/>
        <w:jc w:val="left"/>
        <w:rPr>
          <w:rFonts w:ascii="Times New Roman" w:eastAsia="宋体" w:hAnsi="Times New Roman" w:cs="Times New Roman"/>
          <w:sz w:val="24"/>
          <w:szCs w:val="24"/>
        </w:rPr>
      </w:pPr>
    </w:p>
    <w:p w14:paraId="3F579538" w14:textId="77777777" w:rsidR="00155631" w:rsidRDefault="00000000" w:rsidP="0084773E">
      <w:pPr>
        <w:spacing w:line="480" w:lineRule="auto"/>
        <w:ind w:firstLineChars="200" w:firstLine="480"/>
        <w:jc w:val="right"/>
        <w:rPr>
          <w:rFonts w:ascii="Times New Roman" w:eastAsia="宋体" w:hAnsi="Times New Roman" w:cs="Times New Roman"/>
          <w:sz w:val="24"/>
          <w:szCs w:val="24"/>
        </w:rPr>
      </w:pPr>
      <m:oMath>
        <m:r>
          <w:rPr>
            <w:rFonts w:ascii="Cambria Math" w:eastAsia="宋体" w:hAnsi="Cambria Math" w:cs="Times New Roman"/>
            <w:sz w:val="24"/>
            <w:szCs w:val="24"/>
          </w:rPr>
          <m:t>MeN=</m:t>
        </m:r>
        <m:f>
          <m:fPr>
            <m:ctrlPr>
              <w:rPr>
                <w:rFonts w:ascii="Cambria Math" w:eastAsia="宋体" w:hAnsi="Cambria Math" w:cs="Times New Roman"/>
                <w:i/>
                <w:sz w:val="24"/>
                <w:szCs w:val="24"/>
              </w:rPr>
            </m:ctrlPr>
          </m:fPr>
          <m:num>
            <m:r>
              <w:rPr>
                <w:rFonts w:ascii="Cambria Math" w:eastAsia="宋体" w:hAnsi="Cambria Math" w:cs="Times New Roman"/>
                <w:sz w:val="24"/>
                <w:szCs w:val="24"/>
              </w:rPr>
              <m:t>76240</m:t>
            </m:r>
          </m:num>
          <m:den>
            <m:sSup>
              <m:sSupPr>
                <m:ctrlPr>
                  <w:rPr>
                    <w:rFonts w:ascii="Cambria Math" w:eastAsia="宋体" w:hAnsi="Cambria Math" w:cs="Times New Roman"/>
                    <w:i/>
                    <w:sz w:val="24"/>
                    <w:szCs w:val="24"/>
                  </w:rPr>
                </m:ctrlPr>
              </m:sSupPr>
              <m:e>
                <m:r>
                  <w:rPr>
                    <w:rFonts w:ascii="Cambria Math" w:eastAsia="宋体" w:hAnsi="Cambria Math" w:cs="Times New Roman"/>
                    <w:sz w:val="24"/>
                    <w:szCs w:val="24"/>
                  </w:rPr>
                  <m:t>e</m:t>
                </m:r>
              </m:e>
              <m:sup>
                <m:r>
                  <w:rPr>
                    <w:rFonts w:ascii="Cambria Math" w:eastAsia="宋体" w:hAnsi="Cambria Math" w:cs="Times New Roman"/>
                    <w:sz w:val="24"/>
                    <w:szCs w:val="24"/>
                  </w:rPr>
                  <m:t>0.4c</m:t>
                </m:r>
              </m:sup>
            </m:sSup>
          </m:den>
        </m:f>
        <m:r>
          <w:rPr>
            <w:rFonts w:ascii="Cambria Math" w:eastAsia="宋体" w:hAnsi="Cambria Math" w:cs="Times New Roman"/>
            <w:sz w:val="24"/>
            <w:szCs w:val="24"/>
          </w:rPr>
          <m:t>-2331</m:t>
        </m:r>
      </m:oMath>
      <w:r>
        <w:rPr>
          <w:rFonts w:ascii="Times New Roman" w:eastAsia="宋体" w:hAnsi="Times New Roman" w:cs="Times New Roman"/>
          <w:sz w:val="24"/>
          <w:szCs w:val="24"/>
        </w:rPr>
        <w:t xml:space="preserve">                        (eq. 6)</w:t>
      </w:r>
    </w:p>
    <w:p w14:paraId="1E045059" w14:textId="77777777" w:rsidR="00155631" w:rsidRDefault="00000000" w:rsidP="0084773E">
      <w:pPr>
        <w:spacing w:line="480" w:lineRule="auto"/>
        <w:ind w:firstLineChars="200" w:firstLine="480"/>
        <w:jc w:val="right"/>
        <w:rPr>
          <w:rFonts w:ascii="Times New Roman" w:eastAsia="宋体" w:hAnsi="Times New Roman" w:cs="Times New Roman"/>
          <w:sz w:val="24"/>
          <w:szCs w:val="24"/>
        </w:rPr>
      </w:pPr>
      <m:oMath>
        <m:r>
          <w:rPr>
            <w:rFonts w:ascii="Cambria Math" w:eastAsia="宋体" w:hAnsi="Cambria Math" w:cs="Times New Roman"/>
            <w:sz w:val="24"/>
            <w:szCs w:val="24"/>
          </w:rPr>
          <m:t>MeR=1536+</m:t>
        </m:r>
        <m:f>
          <m:fPr>
            <m:ctrlPr>
              <w:rPr>
                <w:rFonts w:ascii="Cambria Math" w:eastAsia="宋体" w:hAnsi="Cambria Math" w:cs="Times New Roman"/>
                <w:i/>
                <w:sz w:val="24"/>
                <w:szCs w:val="24"/>
              </w:rPr>
            </m:ctrlPr>
          </m:fPr>
          <m:num>
            <m:r>
              <w:rPr>
                <w:rFonts w:ascii="Cambria Math" w:eastAsia="宋体" w:hAnsi="Cambria Math" w:cs="Times New Roman"/>
                <w:sz w:val="24"/>
                <w:szCs w:val="24"/>
              </w:rPr>
              <m:t>58572</m:t>
            </m:r>
          </m:num>
          <m:den>
            <m:r>
              <w:rPr>
                <w:rFonts w:ascii="Cambria Math" w:eastAsia="宋体" w:hAnsi="Cambria Math" w:cs="Times New Roman"/>
                <w:sz w:val="24"/>
                <w:szCs w:val="24"/>
              </w:rPr>
              <m:t>1+</m:t>
            </m:r>
            <m:sSup>
              <m:sSupPr>
                <m:ctrlPr>
                  <w:rPr>
                    <w:rFonts w:ascii="Cambria Math" w:eastAsia="宋体" w:hAnsi="Cambria Math" w:cs="Times New Roman"/>
                    <w:i/>
                    <w:sz w:val="24"/>
                    <w:szCs w:val="24"/>
                  </w:rPr>
                </m:ctrlPr>
              </m:sSupPr>
              <m:e>
                <m:r>
                  <w:rPr>
                    <w:rFonts w:ascii="Cambria Math" w:eastAsia="宋体" w:hAnsi="Cambria Math" w:cs="Times New Roman"/>
                    <w:sz w:val="24"/>
                    <w:szCs w:val="24"/>
                  </w:rPr>
                  <m:t>e</m:t>
                </m:r>
              </m:e>
              <m:sup>
                <m:d>
                  <m:dPr>
                    <m:ctrlPr>
                      <w:rPr>
                        <w:rFonts w:ascii="Cambria Math" w:eastAsia="宋体" w:hAnsi="Cambria Math" w:cs="Times New Roman"/>
                        <w:i/>
                        <w:sz w:val="24"/>
                        <w:szCs w:val="24"/>
                      </w:rPr>
                    </m:ctrlPr>
                  </m:dPr>
                  <m:e>
                    <m:r>
                      <w:rPr>
                        <w:rFonts w:ascii="Cambria Math" w:eastAsia="宋体" w:hAnsi="Cambria Math" w:cs="Times New Roman"/>
                        <w:sz w:val="24"/>
                        <w:szCs w:val="24"/>
                      </w:rPr>
                      <m:t>3.3c-12.7</m:t>
                    </m:r>
                  </m:e>
                </m:d>
              </m:sup>
            </m:sSup>
          </m:den>
        </m:f>
      </m:oMath>
      <w:r>
        <w:rPr>
          <w:rFonts w:ascii="Times New Roman" w:eastAsia="宋体" w:hAnsi="Times New Roman" w:cs="Times New Roman"/>
          <w:sz w:val="24"/>
          <w:szCs w:val="24"/>
        </w:rPr>
        <w:t xml:space="preserve">                     (eq. 7)</w:t>
      </w:r>
    </w:p>
    <w:p w14:paraId="268B395B" w14:textId="77777777" w:rsidR="00155631" w:rsidRDefault="00000000" w:rsidP="0084773E">
      <w:pPr>
        <w:spacing w:line="480" w:lineRule="auto"/>
        <w:ind w:firstLineChars="200" w:firstLine="480"/>
        <w:jc w:val="right"/>
        <w:rPr>
          <w:rFonts w:ascii="Times New Roman" w:eastAsia="宋体" w:hAnsi="Times New Roman" w:cs="Times New Roman"/>
          <w:sz w:val="24"/>
          <w:szCs w:val="24"/>
        </w:rPr>
      </w:pPr>
      <m:oMath>
        <m:r>
          <w:rPr>
            <w:rFonts w:ascii="Cambria Math" w:eastAsia="宋体" w:hAnsi="Cambria Math" w:cs="Times New Roman"/>
            <w:sz w:val="24"/>
            <w:szCs w:val="24"/>
          </w:rPr>
          <m:t>Me=1867+</m:t>
        </m:r>
        <m:f>
          <m:fPr>
            <m:ctrlPr>
              <w:rPr>
                <w:rFonts w:ascii="Cambria Math" w:eastAsia="宋体" w:hAnsi="Cambria Math" w:cs="Times New Roman"/>
                <w:i/>
                <w:sz w:val="24"/>
                <w:szCs w:val="24"/>
              </w:rPr>
            </m:ctrlPr>
          </m:fPr>
          <m:num>
            <m:r>
              <w:rPr>
                <w:rFonts w:ascii="Cambria Math" w:eastAsia="宋体" w:hAnsi="Cambria Math" w:cs="Times New Roman"/>
                <w:sz w:val="24"/>
                <w:szCs w:val="24"/>
              </w:rPr>
              <m:t>32721</m:t>
            </m:r>
          </m:num>
          <m:den>
            <m:r>
              <w:rPr>
                <w:rFonts w:ascii="Cambria Math" w:eastAsia="宋体" w:hAnsi="Cambria Math" w:cs="Times New Roman"/>
                <w:sz w:val="24"/>
                <w:szCs w:val="24"/>
              </w:rPr>
              <m:t>1+</m:t>
            </m:r>
            <m:sSup>
              <m:sSupPr>
                <m:ctrlPr>
                  <w:rPr>
                    <w:rFonts w:ascii="Cambria Math" w:eastAsia="宋体" w:hAnsi="Cambria Math" w:cs="Times New Roman"/>
                    <w:i/>
                    <w:sz w:val="24"/>
                    <w:szCs w:val="24"/>
                  </w:rPr>
                </m:ctrlPr>
              </m:sSupPr>
              <m:e>
                <m:r>
                  <w:rPr>
                    <w:rFonts w:ascii="Cambria Math" w:eastAsia="宋体" w:hAnsi="Cambria Math" w:cs="Times New Roman"/>
                    <w:sz w:val="24"/>
                    <w:szCs w:val="24"/>
                  </w:rPr>
                  <m:t>e</m:t>
                </m:r>
              </m:e>
              <m:sup>
                <m:d>
                  <m:dPr>
                    <m:ctrlPr>
                      <w:rPr>
                        <w:rFonts w:ascii="Cambria Math" w:eastAsia="宋体" w:hAnsi="Cambria Math" w:cs="Times New Roman"/>
                        <w:i/>
                        <w:sz w:val="24"/>
                        <w:szCs w:val="24"/>
                      </w:rPr>
                    </m:ctrlPr>
                  </m:dPr>
                  <m:e>
                    <m:r>
                      <w:rPr>
                        <w:rFonts w:ascii="Cambria Math" w:eastAsia="宋体" w:hAnsi="Cambria Math" w:cs="Times New Roman"/>
                        <w:sz w:val="24"/>
                        <w:szCs w:val="24"/>
                      </w:rPr>
                      <m:t>3c-12.3</m:t>
                    </m:r>
                  </m:e>
                </m:d>
              </m:sup>
            </m:sSup>
          </m:den>
        </m:f>
      </m:oMath>
      <w:r>
        <w:rPr>
          <w:rFonts w:ascii="Times New Roman" w:eastAsia="宋体" w:hAnsi="Times New Roman" w:cs="Times New Roman"/>
          <w:sz w:val="24"/>
          <w:szCs w:val="24"/>
        </w:rPr>
        <w:t xml:space="preserve">                    (eq. 8)</w:t>
      </w:r>
    </w:p>
    <w:p w14:paraId="4624156D" w14:textId="77777777" w:rsidR="00155631" w:rsidRDefault="00000000" w:rsidP="0084773E">
      <w:pPr>
        <w:spacing w:line="480" w:lineRule="auto"/>
        <w:ind w:firstLineChars="200" w:firstLine="480"/>
        <w:jc w:val="right"/>
        <w:rPr>
          <w:rFonts w:ascii="Times New Roman" w:eastAsia="宋体" w:hAnsi="Times New Roman" w:cs="Times New Roman"/>
          <w:sz w:val="24"/>
          <w:szCs w:val="24"/>
        </w:rPr>
      </w:pP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E</m:t>
            </m:r>
          </m:e>
          <m:sub>
            <m:r>
              <w:rPr>
                <w:rFonts w:ascii="Cambria Math" w:eastAsia="宋体" w:hAnsi="Cambria Math" w:cs="Times New Roman"/>
                <w:sz w:val="24"/>
                <w:szCs w:val="24"/>
              </w:rPr>
              <m:t>r</m:t>
            </m:r>
          </m:sub>
        </m:sSub>
        <m:r>
          <w:rPr>
            <w:rFonts w:ascii="Cambria Math" w:eastAsia="宋体" w:hAnsi="Cambria Math" w:cs="Times New Roman"/>
            <w:sz w:val="24"/>
            <w:szCs w:val="24"/>
          </w:rPr>
          <m:t>=0.4+0.12</m:t>
        </m:r>
        <m:func>
          <m:funcPr>
            <m:ctrlPr>
              <w:rPr>
                <w:rFonts w:ascii="Cambria Math" w:eastAsia="宋体" w:hAnsi="Cambria Math" w:cs="Times New Roman"/>
                <w:i/>
                <w:sz w:val="24"/>
                <w:szCs w:val="24"/>
              </w:rPr>
            </m:ctrlPr>
          </m:funcPr>
          <m:fName>
            <m:r>
              <m:rPr>
                <m:sty m:val="p"/>
              </m:rPr>
              <w:rPr>
                <w:rFonts w:ascii="Cambria Math" w:eastAsia="宋体" w:hAnsi="Cambria Math" w:cs="Times New Roman"/>
                <w:sz w:val="24"/>
                <w:szCs w:val="24"/>
              </w:rPr>
              <m:t>ln</m:t>
            </m:r>
          </m:fName>
          <m:e>
            <m:d>
              <m:dPr>
                <m:ctrlPr>
                  <w:rPr>
                    <w:rFonts w:ascii="Cambria Math" w:eastAsia="宋体" w:hAnsi="Cambria Math" w:cs="Times New Roman"/>
                    <w:i/>
                    <w:sz w:val="24"/>
                    <w:szCs w:val="24"/>
                  </w:rPr>
                </m:ctrlPr>
              </m:dPr>
              <m:e>
                <m:r>
                  <w:rPr>
                    <w:rFonts w:ascii="Cambria Math" w:eastAsia="宋体" w:hAnsi="Cambria Math" w:cs="Times New Roman"/>
                    <w:sz w:val="24"/>
                    <w:szCs w:val="24"/>
                  </w:rPr>
                  <m:t>De-3.3</m:t>
                </m:r>
              </m:e>
            </m:d>
          </m:e>
        </m:func>
      </m:oMath>
      <w:r>
        <w:rPr>
          <w:rFonts w:ascii="Times New Roman" w:eastAsia="宋体" w:hAnsi="Times New Roman" w:cs="Times New Roman"/>
          <w:sz w:val="24"/>
          <w:szCs w:val="24"/>
        </w:rPr>
        <w:t xml:space="preserve">                    (eq. 9)</w:t>
      </w:r>
    </w:p>
    <w:p w14:paraId="7156C75E" w14:textId="77777777" w:rsidR="00155631" w:rsidRDefault="00000000" w:rsidP="005E6F8D">
      <w:pPr>
        <w:spacing w:line="480" w:lineRule="auto"/>
        <w:ind w:firstLineChars="200" w:firstLine="480"/>
        <w:rPr>
          <w:rFonts w:ascii="Times New Roman" w:eastAsia="PingFang SC" w:hAnsi="Times New Roman" w:cs="Times New Roman"/>
          <w:color w:val="2A2F45"/>
          <w:sz w:val="24"/>
          <w:szCs w:val="24"/>
          <w:shd w:val="clear" w:color="auto" w:fill="FFFFFF"/>
        </w:rPr>
      </w:pPr>
      <w:r>
        <w:rPr>
          <w:rFonts w:ascii="Times New Roman" w:eastAsia="PingFang SC" w:hAnsi="Times New Roman" w:cs="Times New Roman"/>
          <w:sz w:val="24"/>
          <w:szCs w:val="24"/>
          <w:shd w:val="clear" w:color="auto" w:fill="FFFFFF"/>
        </w:rPr>
        <w:t xml:space="preserve">Among these, </w:t>
      </w:r>
      <w:proofErr w:type="spellStart"/>
      <w:r>
        <w:rPr>
          <w:rFonts w:ascii="Times New Roman" w:eastAsia="PingFang SC" w:hAnsi="Times New Roman" w:cs="Times New Roman"/>
          <w:sz w:val="24"/>
          <w:szCs w:val="24"/>
          <w:shd w:val="clear" w:color="auto" w:fill="FFFFFF"/>
        </w:rPr>
        <w:t>MeR</w:t>
      </w:r>
      <w:proofErr w:type="spellEnd"/>
      <w:r>
        <w:rPr>
          <w:rFonts w:ascii="Times New Roman" w:eastAsia="PingFang SC" w:hAnsi="Times New Roman" w:cs="Times New Roman"/>
          <w:sz w:val="24"/>
          <w:szCs w:val="24"/>
          <w:shd w:val="clear" w:color="auto" w:fill="FFFFFF"/>
        </w:rPr>
        <w:t xml:space="preserve">, </w:t>
      </w:r>
      <w:proofErr w:type="spellStart"/>
      <w:r>
        <w:rPr>
          <w:rFonts w:ascii="Times New Roman" w:eastAsia="PingFang SC" w:hAnsi="Times New Roman" w:cs="Times New Roman"/>
          <w:sz w:val="24"/>
          <w:szCs w:val="24"/>
          <w:shd w:val="clear" w:color="auto" w:fill="FFFFFF"/>
        </w:rPr>
        <w:t>MeN</w:t>
      </w:r>
      <w:proofErr w:type="spellEnd"/>
      <w:r>
        <w:rPr>
          <w:rFonts w:ascii="Times New Roman" w:eastAsia="PingFang SC" w:hAnsi="Times New Roman" w:cs="Times New Roman"/>
          <w:sz w:val="24"/>
          <w:szCs w:val="24"/>
          <w:shd w:val="clear" w:color="auto" w:fill="FFFFFF"/>
        </w:rPr>
        <w:t xml:space="preserve">, and Me respectively denote the entanglement molecular weight obtained from the rheological method, NMR method, and the modified entanglement molecular weight. Er and </w:t>
      </w:r>
      <w:proofErr w:type="spellStart"/>
      <w:r>
        <w:rPr>
          <w:rFonts w:ascii="Times New Roman" w:eastAsia="PingFang SC" w:hAnsi="Times New Roman" w:cs="Times New Roman"/>
          <w:sz w:val="24"/>
          <w:szCs w:val="24"/>
          <w:shd w:val="clear" w:color="auto" w:fill="FFFFFF"/>
        </w:rPr>
        <w:t>Pr</w:t>
      </w:r>
      <w:proofErr w:type="spellEnd"/>
      <w:r>
        <w:rPr>
          <w:rFonts w:ascii="Times New Roman" w:eastAsia="PingFang SC" w:hAnsi="Times New Roman" w:cs="Times New Roman"/>
          <w:sz w:val="24"/>
          <w:szCs w:val="24"/>
          <w:shd w:val="clear" w:color="auto" w:fill="FFFFFF"/>
        </w:rPr>
        <w:t xml:space="preserve"> represent the elastic coefficient and plastic coefficient, respectively</w:t>
      </w:r>
      <w:r>
        <w:rPr>
          <w:rFonts w:ascii="Times New Roman" w:hAnsi="Times New Roman" w:cs="Times New Roman"/>
          <w:sz w:val="24"/>
          <w:szCs w:val="24"/>
          <w:shd w:val="clear" w:color="auto" w:fill="FFFFFF"/>
        </w:rPr>
        <w:t>, a</w:t>
      </w:r>
      <w:r>
        <w:rPr>
          <w:rFonts w:ascii="Times New Roman" w:eastAsia="PingFang SC" w:hAnsi="Times New Roman" w:cs="Times New Roman"/>
          <w:sz w:val="24"/>
          <w:szCs w:val="24"/>
          <w:shd w:val="clear" w:color="auto" w:fill="FFFFFF"/>
        </w:rPr>
        <w:t xml:space="preserve">nd </w:t>
      </w:r>
      <w:r>
        <w:rPr>
          <w:rFonts w:ascii="Times New Roman" w:eastAsia="PingFang SC" w:hAnsi="Times New Roman" w:cs="Times New Roman"/>
          <w:i/>
          <w:iCs/>
          <w:sz w:val="24"/>
          <w:szCs w:val="24"/>
          <w:shd w:val="clear" w:color="auto" w:fill="FFFFFF"/>
        </w:rPr>
        <w:t>c</w:t>
      </w:r>
      <w:r>
        <w:rPr>
          <w:rFonts w:ascii="Times New Roman" w:eastAsia="PingFang SC" w:hAnsi="Times New Roman" w:cs="Times New Roman"/>
          <w:sz w:val="24"/>
          <w:szCs w:val="24"/>
          <w:shd w:val="clear" w:color="auto" w:fill="FFFFFF"/>
        </w:rPr>
        <w:t xml:space="preserve"> represents the polymer concentration.</w:t>
      </w:r>
    </w:p>
    <w:p w14:paraId="292B5A02" w14:textId="77777777" w:rsidR="00155631" w:rsidRDefault="00000000">
      <w:pPr>
        <w:widowControl/>
        <w:jc w:val="left"/>
        <w:rPr>
          <w:rFonts w:ascii="Times New Roman" w:eastAsia="宋体" w:hAnsi="Times New Roman" w:cs="Times New Roman"/>
          <w:szCs w:val="21"/>
        </w:rPr>
      </w:pPr>
      <w:r>
        <w:rPr>
          <w:rFonts w:ascii="Times New Roman" w:eastAsia="宋体" w:hAnsi="Times New Roman" w:cs="Times New Roman"/>
          <w:szCs w:val="21"/>
        </w:rPr>
        <w:br w:type="page"/>
      </w:r>
    </w:p>
    <w:p w14:paraId="7F28D81D"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Supplementary Figures, Results and Discussions</w:t>
      </w:r>
    </w:p>
    <w:p w14:paraId="5CF7C51F" w14:textId="4F278D8A" w:rsidR="00155631" w:rsidRDefault="00E934FF" w:rsidP="005E6F8D">
      <w:pPr>
        <w:spacing w:line="480" w:lineRule="auto"/>
        <w:rPr>
          <w:rFonts w:ascii="Times New Roman" w:eastAsia="宋体" w:hAnsi="Times New Roman" w:cs="Times New Roman"/>
          <w:sz w:val="24"/>
          <w:szCs w:val="24"/>
        </w:rPr>
      </w:pPr>
      <w:r w:rsidRPr="005B7BDA">
        <w:rPr>
          <w:rFonts w:ascii="Times New Roman" w:hAnsi="Times New Roman" w:cs="Times New Roman"/>
          <w:noProof/>
          <w:sz w:val="24"/>
          <w:szCs w:val="24"/>
        </w:rPr>
        <w:drawing>
          <wp:inline distT="0" distB="0" distL="0" distR="0" wp14:anchorId="3B6DD7FA" wp14:editId="00035A6E">
            <wp:extent cx="5274000" cy="1644247"/>
            <wp:effectExtent l="0" t="0" r="3175" b="0"/>
            <wp:docPr id="1991919819"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919819" name=""/>
                    <pic:cNvPicPr/>
                  </pic:nvPicPr>
                  <pic:blipFill>
                    <a:blip r:embed="rId7">
                      <a:extLst>
                        <a:ext uri="{96DAC541-7B7A-43D3-8B79-37D633B846F1}">
                          <asvg:svgBlip xmlns:asvg="http://schemas.microsoft.com/office/drawing/2016/SVG/main" r:embed="rId8"/>
                        </a:ext>
                      </a:extLst>
                    </a:blip>
                    <a:stretch>
                      <a:fillRect/>
                    </a:stretch>
                  </pic:blipFill>
                  <pic:spPr>
                    <a:xfrm>
                      <a:off x="0" y="0"/>
                      <a:ext cx="5274000" cy="1644247"/>
                    </a:xfrm>
                    <a:prstGeom prst="rect">
                      <a:avLst/>
                    </a:prstGeom>
                  </pic:spPr>
                </pic:pic>
              </a:graphicData>
            </a:graphic>
          </wp:inline>
        </w:drawing>
      </w:r>
    </w:p>
    <w:p w14:paraId="28522861" w14:textId="77777777"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1.</w:t>
      </w:r>
      <w:r>
        <w:rPr>
          <w:rFonts w:ascii="Times New Roman" w:eastAsia="宋体" w:hAnsi="Times New Roman" w:cs="Times New Roman"/>
          <w:sz w:val="24"/>
          <w:szCs w:val="24"/>
        </w:rPr>
        <w:t xml:space="preserve"> FTIR spectra of SBMA monomer and dry gels with varying concentrations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a. Full-range characteristic peak spectra from 750 to 3800 cm</w:t>
      </w:r>
      <w:r>
        <w:rPr>
          <w:rFonts w:ascii="Times New Roman" w:eastAsia="宋体" w:hAnsi="Times New Roman" w:cs="Times New Roman"/>
          <w:sz w:val="24"/>
          <w:szCs w:val="24"/>
          <w:vertAlign w:val="superscript"/>
        </w:rPr>
        <w:t>-1</w:t>
      </w:r>
      <w:r>
        <w:rPr>
          <w:rFonts w:ascii="Times New Roman" w:eastAsia="宋体" w:hAnsi="Times New Roman" w:cs="Times New Roman"/>
          <w:sz w:val="24"/>
          <w:szCs w:val="24"/>
        </w:rPr>
        <w:t>. b. Characteristic absorption peaks corresponding to carbon-carbon double bonds within the wavelength range of 865-990 cm</w:t>
      </w:r>
      <w:r>
        <w:rPr>
          <w:rFonts w:ascii="Times New Roman" w:eastAsia="宋体" w:hAnsi="Times New Roman" w:cs="Times New Roman"/>
          <w:sz w:val="24"/>
          <w:szCs w:val="24"/>
          <w:vertAlign w:val="superscript"/>
        </w:rPr>
        <w:t>-1</w:t>
      </w:r>
      <w:r>
        <w:rPr>
          <w:rFonts w:ascii="Times New Roman" w:eastAsia="宋体" w:hAnsi="Times New Roman" w:cs="Times New Roman"/>
          <w:sz w:val="24"/>
          <w:szCs w:val="24"/>
        </w:rPr>
        <w:t xml:space="preserve"> and 1570-1840 cm</w:t>
      </w:r>
      <w:r>
        <w:rPr>
          <w:rFonts w:ascii="Times New Roman" w:eastAsia="宋体" w:hAnsi="Times New Roman" w:cs="Times New Roman"/>
          <w:sz w:val="24"/>
          <w:szCs w:val="24"/>
          <w:vertAlign w:val="superscript"/>
        </w:rPr>
        <w:t>-1</w:t>
      </w:r>
      <w:r>
        <w:rPr>
          <w:rFonts w:ascii="Times New Roman" w:eastAsia="宋体" w:hAnsi="Times New Roman" w:cs="Times New Roman"/>
          <w:sz w:val="24"/>
          <w:szCs w:val="24"/>
        </w:rPr>
        <w:t>. c. Characteristic peak spectra within the wavelength range of 990-1560 cm</w:t>
      </w:r>
      <w:r>
        <w:rPr>
          <w:rFonts w:ascii="Times New Roman" w:eastAsia="宋体" w:hAnsi="Times New Roman" w:cs="Times New Roman"/>
          <w:sz w:val="24"/>
          <w:szCs w:val="24"/>
          <w:vertAlign w:val="superscript"/>
        </w:rPr>
        <w:t>-1</w:t>
      </w:r>
      <w:r>
        <w:rPr>
          <w:rFonts w:ascii="Times New Roman" w:eastAsia="宋体" w:hAnsi="Times New Roman" w:cs="Times New Roman"/>
          <w:sz w:val="24"/>
          <w:szCs w:val="24"/>
        </w:rPr>
        <w:t>.</w:t>
      </w:r>
    </w:p>
    <w:p w14:paraId="72E3DD36"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In the FTIR spectra, the characteristic peaks corresponding to the C=C double bond at 908, 960, and 1638 cm</w:t>
      </w:r>
      <w:r>
        <w:rPr>
          <w:rFonts w:ascii="Times New Roman" w:eastAsia="宋体" w:hAnsi="Times New Roman" w:cs="Times New Roman"/>
          <w:sz w:val="24"/>
          <w:szCs w:val="24"/>
          <w:vertAlign w:val="superscript"/>
        </w:rPr>
        <w:t>-1</w:t>
      </w:r>
      <w:r>
        <w:rPr>
          <w:rFonts w:ascii="Times New Roman" w:eastAsia="宋体" w:hAnsi="Times New Roman" w:cs="Times New Roman"/>
          <w:sz w:val="24"/>
          <w:szCs w:val="24"/>
        </w:rPr>
        <w:t xml:space="preserve"> decreased in intensity with increasing monomer concentration, and the shift of the C=O bond peak at 1723 cm</w:t>
      </w:r>
      <w:r>
        <w:rPr>
          <w:rFonts w:ascii="Times New Roman" w:eastAsia="宋体" w:hAnsi="Times New Roman" w:cs="Times New Roman"/>
          <w:sz w:val="24"/>
          <w:szCs w:val="24"/>
          <w:vertAlign w:val="superscript"/>
        </w:rPr>
        <w:t>-1</w:t>
      </w:r>
      <w:r>
        <w:rPr>
          <w:rFonts w:ascii="Times New Roman" w:eastAsia="宋体" w:hAnsi="Times New Roman" w:cs="Times New Roman"/>
          <w:sz w:val="24"/>
          <w:szCs w:val="24"/>
        </w:rPr>
        <w:t xml:space="preserve"> to a higher wavenumber confirmed the occurrence of radical polymerization of SBMA. Meanwhile, the characteristic absorption peaks associated with S=O, C-N, and C-H bonds at 1040, 1147, 1302, and 1479 cm</w:t>
      </w:r>
      <w:r>
        <w:rPr>
          <w:rFonts w:ascii="Times New Roman" w:eastAsia="宋体" w:hAnsi="Times New Roman" w:cs="Times New Roman"/>
          <w:sz w:val="24"/>
          <w:szCs w:val="24"/>
          <w:vertAlign w:val="superscript"/>
        </w:rPr>
        <w:t>-1</w:t>
      </w:r>
      <w:r>
        <w:rPr>
          <w:rFonts w:ascii="Times New Roman" w:eastAsia="宋体" w:hAnsi="Times New Roman" w:cs="Times New Roman"/>
          <w:sz w:val="24"/>
          <w:szCs w:val="24"/>
        </w:rPr>
        <w:t xml:space="preserve"> gradually diminished, indicating a progressive enhancement of the dipole effect with increasing monomer concentration.</w:t>
      </w:r>
    </w:p>
    <w:p w14:paraId="2AAA67DD" w14:textId="77777777" w:rsidR="00155631" w:rsidRDefault="00155631" w:rsidP="005E6F8D">
      <w:pPr>
        <w:spacing w:line="480" w:lineRule="auto"/>
        <w:rPr>
          <w:rFonts w:ascii="Times New Roman" w:eastAsia="宋体" w:hAnsi="Times New Roman" w:cs="Times New Roman"/>
          <w:sz w:val="24"/>
          <w:szCs w:val="24"/>
        </w:rPr>
      </w:pPr>
    </w:p>
    <w:p w14:paraId="665F5DE1" w14:textId="70DB6290" w:rsidR="00155631" w:rsidRDefault="00E934FF" w:rsidP="005E6F8D">
      <w:pPr>
        <w:spacing w:line="480" w:lineRule="auto"/>
        <w:rPr>
          <w:rFonts w:ascii="Times New Roman" w:eastAsia="宋体" w:hAnsi="Times New Roman" w:cs="Times New Roman"/>
          <w:sz w:val="24"/>
          <w:szCs w:val="24"/>
        </w:rPr>
      </w:pPr>
      <w:r w:rsidRPr="005B7BDA">
        <w:rPr>
          <w:rFonts w:ascii="Times New Roman" w:hAnsi="Times New Roman" w:cs="Times New Roman"/>
          <w:noProof/>
          <w:sz w:val="24"/>
          <w:szCs w:val="24"/>
        </w:rPr>
        <w:lastRenderedPageBreak/>
        <w:drawing>
          <wp:inline distT="0" distB="0" distL="0" distR="0" wp14:anchorId="2B612C0B" wp14:editId="49E3740B">
            <wp:extent cx="5274000" cy="1644247"/>
            <wp:effectExtent l="0" t="0" r="0" b="0"/>
            <wp:docPr id="1962967716"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67716" name=""/>
                    <pic:cNvPicPr/>
                  </pic:nvPicPr>
                  <pic:blipFill>
                    <a:blip r:embed="rId9">
                      <a:extLst>
                        <a:ext uri="{96DAC541-7B7A-43D3-8B79-37D633B846F1}">
                          <asvg:svgBlip xmlns:asvg="http://schemas.microsoft.com/office/drawing/2016/SVG/main" r:embed="rId10"/>
                        </a:ext>
                      </a:extLst>
                    </a:blip>
                    <a:stretch>
                      <a:fillRect/>
                    </a:stretch>
                  </pic:blipFill>
                  <pic:spPr>
                    <a:xfrm>
                      <a:off x="0" y="0"/>
                      <a:ext cx="5274000" cy="1644247"/>
                    </a:xfrm>
                    <a:prstGeom prst="rect">
                      <a:avLst/>
                    </a:prstGeom>
                  </pic:spPr>
                </pic:pic>
              </a:graphicData>
            </a:graphic>
          </wp:inline>
        </w:drawing>
      </w:r>
    </w:p>
    <w:p w14:paraId="73A15D59" w14:textId="77777777"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2.</w:t>
      </w:r>
      <w:r>
        <w:rPr>
          <w:rFonts w:ascii="Times New Roman" w:eastAsia="宋体" w:hAnsi="Times New Roman" w:cs="Times New Roman"/>
          <w:sz w:val="24"/>
          <w:szCs w:val="24"/>
        </w:rPr>
        <w:t xml:space="preserve"> Molecular structural formulas of SBMA monomer and polymerized PSM gel, as well as one-dimensional </w:t>
      </w:r>
      <w:r>
        <w:rPr>
          <w:rFonts w:ascii="Times New Roman" w:eastAsia="宋体" w:hAnsi="Times New Roman" w:cs="Times New Roman"/>
          <w:sz w:val="24"/>
          <w:szCs w:val="24"/>
          <w:vertAlign w:val="superscript"/>
        </w:rPr>
        <w:t>1</w:t>
      </w:r>
      <w:r>
        <w:rPr>
          <w:rFonts w:ascii="Times New Roman" w:eastAsia="宋体" w:hAnsi="Times New Roman" w:cs="Times New Roman"/>
          <w:sz w:val="24"/>
          <w:szCs w:val="24"/>
        </w:rPr>
        <w:t>H-NMR spectra of SBMA and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xml:space="preserve"> gel diluents. a. SBMA monomer. b.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xml:space="preserve"> hydrogel diluent (5mg/mL).</w:t>
      </w:r>
    </w:p>
    <w:p w14:paraId="10870CA8"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The disappearance of the characteristic peaks of the methacrylate group at </w:t>
      </w:r>
      <w:r>
        <w:rPr>
          <w:rFonts w:ascii="Cambria Math" w:eastAsia="宋体" w:hAnsi="Cambria Math" w:cs="Cambria Math"/>
          <w:sz w:val="24"/>
          <w:szCs w:val="24"/>
        </w:rPr>
        <w:t>𝛿</w:t>
      </w:r>
      <w:r>
        <w:rPr>
          <w:rFonts w:ascii="Times New Roman" w:eastAsia="宋体" w:hAnsi="Times New Roman" w:cs="Times New Roman"/>
          <w:sz w:val="24"/>
          <w:szCs w:val="24"/>
        </w:rPr>
        <w:t xml:space="preserve">=6.10 and 5.72 ppm in the </w:t>
      </w:r>
      <w:r>
        <w:rPr>
          <w:rFonts w:ascii="Times New Roman" w:eastAsia="宋体" w:hAnsi="Times New Roman" w:cs="Times New Roman"/>
          <w:sz w:val="24"/>
          <w:szCs w:val="24"/>
          <w:vertAlign w:val="superscript"/>
        </w:rPr>
        <w:t>1</w:t>
      </w:r>
      <w:r>
        <w:rPr>
          <w:rFonts w:ascii="Times New Roman" w:eastAsia="宋体" w:hAnsi="Times New Roman" w:cs="Times New Roman"/>
          <w:sz w:val="24"/>
          <w:szCs w:val="24"/>
        </w:rPr>
        <w:t>H NMR spectrum proves that PSM is obtained through double bond polymerization.</w:t>
      </w:r>
    </w:p>
    <w:p w14:paraId="27FD3D1C" w14:textId="77777777" w:rsidR="00155631" w:rsidRDefault="00155631" w:rsidP="005E6F8D">
      <w:pPr>
        <w:spacing w:line="480" w:lineRule="auto"/>
        <w:rPr>
          <w:rFonts w:ascii="Times New Roman" w:eastAsia="宋体" w:hAnsi="Times New Roman" w:cs="Times New Roman"/>
          <w:sz w:val="24"/>
          <w:szCs w:val="24"/>
        </w:rPr>
      </w:pPr>
    </w:p>
    <w:p w14:paraId="391E17DD" w14:textId="1C3955E7" w:rsidR="00155631" w:rsidRDefault="00E934FF" w:rsidP="005E6F8D">
      <w:pPr>
        <w:spacing w:line="480" w:lineRule="auto"/>
        <w:rPr>
          <w:rFonts w:ascii="Times New Roman" w:eastAsia="宋体" w:hAnsi="Times New Roman" w:cs="Times New Roman"/>
          <w:sz w:val="24"/>
          <w:szCs w:val="24"/>
        </w:rPr>
      </w:pPr>
      <w:r w:rsidRPr="005B7BDA">
        <w:rPr>
          <w:rFonts w:ascii="Times New Roman" w:hAnsi="Times New Roman" w:cs="Times New Roman"/>
          <w:noProof/>
          <w:sz w:val="24"/>
          <w:szCs w:val="24"/>
        </w:rPr>
        <w:drawing>
          <wp:inline distT="0" distB="0" distL="0" distR="0" wp14:anchorId="5EA141E7" wp14:editId="6B6A2397">
            <wp:extent cx="5274000" cy="1644247"/>
            <wp:effectExtent l="0" t="0" r="3175" b="0"/>
            <wp:docPr id="917722603"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722603"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274000" cy="1644247"/>
                    </a:xfrm>
                    <a:prstGeom prst="rect">
                      <a:avLst/>
                    </a:prstGeom>
                  </pic:spPr>
                </pic:pic>
              </a:graphicData>
            </a:graphic>
          </wp:inline>
        </w:drawing>
      </w:r>
    </w:p>
    <w:p w14:paraId="52865812" w14:textId="77777777"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3.</w:t>
      </w:r>
      <w:r>
        <w:rPr>
          <w:rFonts w:ascii="Times New Roman" w:eastAsia="宋体" w:hAnsi="Times New Roman" w:cs="Times New Roman"/>
          <w:sz w:val="24"/>
          <w:szCs w:val="24"/>
        </w:rPr>
        <w:t xml:space="preserve"> Raman spectra of different hydrogels within the wavenumber range of 1000-3800 cm</w:t>
      </w:r>
      <w:r>
        <w:rPr>
          <w:rFonts w:ascii="Times New Roman" w:eastAsia="宋体" w:hAnsi="Times New Roman" w:cs="Times New Roman"/>
          <w:sz w:val="24"/>
          <w:szCs w:val="24"/>
          <w:vertAlign w:val="superscript"/>
        </w:rPr>
        <w:t>-1</w:t>
      </w:r>
      <w:r>
        <w:rPr>
          <w:rFonts w:ascii="Times New Roman" w:eastAsia="宋体" w:hAnsi="Times New Roman" w:cs="Times New Roman"/>
          <w:sz w:val="24"/>
          <w:szCs w:val="24"/>
        </w:rPr>
        <w:t>. a. Hydrogels with varying monomer concentrations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b. Hydrogel containing 5 M NaCl salt ions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E) and fully swollen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hydrogel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S). c. Completely dehydrated gel (PSM-dehydrated) and gel solution diluted to a concentration of 5 mg/mL (PSM-dilute).</w:t>
      </w:r>
    </w:p>
    <w:p w14:paraId="06ED7BC4"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In the Raman spectra, as the PSM concentration increased (2M, 4M, 6M), the </w:t>
      </w:r>
      <w:r>
        <w:rPr>
          <w:rFonts w:ascii="Times New Roman" w:eastAsia="宋体" w:hAnsi="Times New Roman" w:cs="Times New Roman"/>
          <w:sz w:val="24"/>
          <w:szCs w:val="24"/>
        </w:rPr>
        <w:lastRenderedPageBreak/>
        <w:t>characteristic peaks of O-H bonds gradually diminished, indicating a reduction in water content and degree of hydration. When ions were introduced into the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gel system or the gel was fully swollen, the O-H characteristic peak became more pronounced, which can be attributed to the disruption of electrostatic interactions and an increase in hydration degree. In the case of completely dehydrated gels, this characteristic peak was nearly absent. The diluted gel solution exhibited broad O-H stretching bands.</w:t>
      </w:r>
    </w:p>
    <w:p w14:paraId="5FB1BDC8" w14:textId="77777777" w:rsidR="00155631" w:rsidRDefault="00155631" w:rsidP="005E6F8D">
      <w:pPr>
        <w:spacing w:line="480" w:lineRule="auto"/>
        <w:rPr>
          <w:rFonts w:ascii="Times New Roman" w:eastAsia="宋体" w:hAnsi="Times New Roman" w:cs="Times New Roman"/>
          <w:sz w:val="24"/>
          <w:szCs w:val="24"/>
        </w:rPr>
      </w:pPr>
    </w:p>
    <w:p w14:paraId="40CA889C" w14:textId="793FB9A6" w:rsidR="00155631" w:rsidRDefault="00E934FF" w:rsidP="005E6F8D">
      <w:pPr>
        <w:spacing w:line="480" w:lineRule="auto"/>
        <w:rPr>
          <w:rFonts w:ascii="Times New Roman" w:eastAsia="宋体" w:hAnsi="Times New Roman" w:cs="Times New Roman"/>
          <w:sz w:val="24"/>
          <w:szCs w:val="24"/>
        </w:rPr>
      </w:pPr>
      <w:r w:rsidRPr="005B7BDA">
        <w:rPr>
          <w:rFonts w:ascii="Times New Roman" w:hAnsi="Times New Roman" w:cs="Times New Roman"/>
          <w:noProof/>
          <w:sz w:val="24"/>
          <w:szCs w:val="24"/>
        </w:rPr>
        <w:drawing>
          <wp:inline distT="0" distB="0" distL="0" distR="0" wp14:anchorId="1CC210DD" wp14:editId="6C211436">
            <wp:extent cx="5274310" cy="1303020"/>
            <wp:effectExtent l="0" t="0" r="2540" b="0"/>
            <wp:docPr id="32624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1303020"/>
                    </a:xfrm>
                    <a:prstGeom prst="rect">
                      <a:avLst/>
                    </a:prstGeom>
                    <a:noFill/>
                    <a:ln>
                      <a:noFill/>
                    </a:ln>
                  </pic:spPr>
                </pic:pic>
              </a:graphicData>
            </a:graphic>
          </wp:inline>
        </w:drawing>
      </w:r>
    </w:p>
    <w:p w14:paraId="34E7922D" w14:textId="4675A0F3"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4.</w:t>
      </w:r>
      <w:r>
        <w:rPr>
          <w:rFonts w:ascii="Times New Roman" w:eastAsia="宋体" w:hAnsi="Times New Roman" w:cs="Times New Roman"/>
          <w:sz w:val="24"/>
          <w:szCs w:val="24"/>
        </w:rPr>
        <w:t xml:space="preserve"> </w:t>
      </w:r>
      <w:r>
        <w:rPr>
          <w:rFonts w:ascii="Times New Roman" w:eastAsia="宋体" w:hAnsi="Times New Roman" w:cs="Times New Roman" w:hint="eastAsia"/>
          <w:sz w:val="24"/>
          <w:szCs w:val="24"/>
        </w:rPr>
        <w:t>SEM</w:t>
      </w:r>
      <w:r>
        <w:rPr>
          <w:rFonts w:ascii="Times New Roman" w:eastAsia="宋体" w:hAnsi="Times New Roman" w:cs="Times New Roman"/>
          <w:sz w:val="24"/>
          <w:szCs w:val="24"/>
        </w:rPr>
        <w:t xml:space="preserve"> images of different freeze-dried gels. a.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b.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c.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d.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S.</w:t>
      </w:r>
    </w:p>
    <w:p w14:paraId="32DFA975"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micrometer-scale morphology of PSM was examined using scanning electron microscopy (SEM).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displayed a porous three-dimensional structure with relatively large pore sizes (~20 </w:t>
      </w:r>
      <w:proofErr w:type="spellStart"/>
      <w:r>
        <w:rPr>
          <w:rFonts w:ascii="Times New Roman" w:eastAsia="宋体" w:hAnsi="Times New Roman" w:cs="Times New Roman"/>
          <w:sz w:val="24"/>
          <w:szCs w:val="24"/>
        </w:rPr>
        <w:t>μm</w:t>
      </w:r>
      <w:proofErr w:type="spellEnd"/>
      <w:r>
        <w:rPr>
          <w:rFonts w:ascii="Times New Roman" w:eastAsia="宋体" w:hAnsi="Times New Roman" w:cs="Times New Roman"/>
          <w:sz w:val="24"/>
          <w:szCs w:val="24"/>
        </w:rPr>
        <w:t>). In contrast,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xml:space="preserve"> exhibited a reduced degree of structural order and smaller pore sizes ranging from 2 to 10 </w:t>
      </w:r>
      <w:proofErr w:type="spellStart"/>
      <w:r>
        <w:rPr>
          <w:rFonts w:ascii="Times New Roman" w:eastAsia="宋体" w:hAnsi="Times New Roman" w:cs="Times New Roman"/>
          <w:sz w:val="24"/>
          <w:szCs w:val="24"/>
        </w:rPr>
        <w:t>μm</w:t>
      </w:r>
      <w:proofErr w:type="spellEnd"/>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formed a dense, planar architecture. However, when fully swollen,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developed a three-dimensional porous structure with pore sizes intermediate between those of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and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w:t>
      </w:r>
    </w:p>
    <w:p w14:paraId="4974B091" w14:textId="77777777" w:rsidR="00155631" w:rsidRDefault="00155631" w:rsidP="005E6F8D">
      <w:pPr>
        <w:spacing w:line="480" w:lineRule="auto"/>
        <w:rPr>
          <w:rFonts w:ascii="Times New Roman" w:eastAsia="宋体" w:hAnsi="Times New Roman" w:cs="Times New Roman"/>
          <w:sz w:val="24"/>
          <w:szCs w:val="24"/>
        </w:rPr>
      </w:pPr>
    </w:p>
    <w:p w14:paraId="1CA673F5" w14:textId="555EA379"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lastRenderedPageBreak/>
        <w:drawing>
          <wp:inline distT="0" distB="0" distL="0" distR="0" wp14:anchorId="2AB24AC6" wp14:editId="14EB6466">
            <wp:extent cx="2160000" cy="1754317"/>
            <wp:effectExtent l="0" t="0" r="0" b="0"/>
            <wp:docPr id="18031060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60000" cy="1754317"/>
                    </a:xfrm>
                    <a:prstGeom prst="rect">
                      <a:avLst/>
                    </a:prstGeom>
                    <a:noFill/>
                    <a:ln>
                      <a:noFill/>
                    </a:ln>
                  </pic:spPr>
                </pic:pic>
              </a:graphicData>
            </a:graphic>
          </wp:inline>
        </w:drawing>
      </w:r>
    </w:p>
    <w:p w14:paraId="38BB4A35" w14:textId="29AC6D8F"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5.</w:t>
      </w:r>
      <w:r>
        <w:rPr>
          <w:rFonts w:ascii="Times New Roman" w:eastAsia="宋体" w:hAnsi="Times New Roman" w:cs="Times New Roman"/>
          <w:sz w:val="24"/>
          <w:szCs w:val="24"/>
        </w:rPr>
        <w:t xml:space="preserve"> Gel permeation chromatography (GPC) test curves of the diluted solutions (5mg/mL) of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and PSM</w:t>
      </w:r>
      <w:r>
        <w:rPr>
          <w:rFonts w:ascii="Times New Roman" w:eastAsia="宋体" w:hAnsi="Times New Roman" w:cs="Times New Roman"/>
          <w:sz w:val="24"/>
          <w:szCs w:val="24"/>
          <w:vertAlign w:val="subscript"/>
        </w:rPr>
        <w:t>6M</w:t>
      </w:r>
      <w:r>
        <w:rPr>
          <w:rFonts w:ascii="Times New Roman" w:eastAsia="宋体" w:hAnsi="Times New Roman" w:cs="Times New Roman" w:hint="eastAsia"/>
          <w:sz w:val="24"/>
          <w:szCs w:val="24"/>
        </w:rPr>
        <w:t>.</w:t>
      </w:r>
    </w:p>
    <w:p w14:paraId="041AA2AF" w14:textId="56F3D446"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GPC analysis revealed that both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and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exhibited a weight-average molecular weight of approximately 120,000, with a polydispersity index of around 1.7, indicating that the molecular weights of the two samples were at a comparable level.</w:t>
      </w:r>
    </w:p>
    <w:p w14:paraId="0CDFB55F" w14:textId="77777777" w:rsidR="00155631" w:rsidRDefault="00155631" w:rsidP="005E6F8D">
      <w:pPr>
        <w:spacing w:line="480" w:lineRule="auto"/>
        <w:rPr>
          <w:rFonts w:ascii="Times New Roman" w:eastAsia="宋体" w:hAnsi="Times New Roman" w:cs="Times New Roman"/>
          <w:sz w:val="24"/>
          <w:szCs w:val="24"/>
        </w:rPr>
      </w:pPr>
    </w:p>
    <w:p w14:paraId="2046E290" w14:textId="7F27FC11" w:rsidR="0008705C" w:rsidRDefault="0008705C" w:rsidP="005E6F8D">
      <w:pPr>
        <w:spacing w:line="480" w:lineRule="auto"/>
        <w:jc w:val="center"/>
        <w:rPr>
          <w:rFonts w:ascii="Times New Roman" w:eastAsia="宋体" w:hAnsi="Times New Roman" w:cs="Times New Roman"/>
          <w:sz w:val="24"/>
          <w:szCs w:val="24"/>
        </w:rPr>
      </w:pPr>
      <w:r>
        <w:rPr>
          <w:noProof/>
        </w:rPr>
        <w:drawing>
          <wp:inline distT="0" distB="0" distL="0" distR="0" wp14:anchorId="61D7793D" wp14:editId="2FF8ECDF">
            <wp:extent cx="2160000" cy="1948057"/>
            <wp:effectExtent l="0" t="0" r="0" b="0"/>
            <wp:docPr id="3441166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60000" cy="1948057"/>
                    </a:xfrm>
                    <a:prstGeom prst="rect">
                      <a:avLst/>
                    </a:prstGeom>
                    <a:noFill/>
                    <a:ln>
                      <a:noFill/>
                    </a:ln>
                  </pic:spPr>
                </pic:pic>
              </a:graphicData>
            </a:graphic>
          </wp:inline>
        </w:drawing>
      </w:r>
    </w:p>
    <w:p w14:paraId="145E417F" w14:textId="1482D6F3" w:rsidR="0008705C" w:rsidRDefault="0008705C"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Pr>
          <w:rFonts w:ascii="Times New Roman" w:eastAsia="宋体" w:hAnsi="Times New Roman" w:cs="Times New Roman" w:hint="eastAsia"/>
          <w:b/>
          <w:bCs/>
          <w:sz w:val="24"/>
          <w:szCs w:val="24"/>
        </w:rPr>
        <w:t>6</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w:t>
      </w:r>
      <w:r w:rsidR="003F6DB6" w:rsidRPr="003F6DB6">
        <w:rPr>
          <w:rFonts w:ascii="Times New Roman" w:eastAsia="宋体" w:hAnsi="Times New Roman" w:cs="Times New Roman" w:hint="eastAsia"/>
          <w:sz w:val="24"/>
          <w:szCs w:val="24"/>
        </w:rPr>
        <w:t>Raman spectrum of PSM and integral intensity of the -OH peak.</w:t>
      </w:r>
    </w:p>
    <w:p w14:paraId="5CEE7766" w14:textId="77777777" w:rsidR="0008705C" w:rsidRDefault="0008705C" w:rsidP="005E6F8D">
      <w:pPr>
        <w:spacing w:line="480" w:lineRule="auto"/>
        <w:rPr>
          <w:rFonts w:ascii="Times New Roman" w:eastAsia="宋体" w:hAnsi="Times New Roman" w:cs="Times New Roman"/>
          <w:sz w:val="24"/>
          <w:szCs w:val="24"/>
        </w:rPr>
      </w:pPr>
    </w:p>
    <w:p w14:paraId="315E6620" w14:textId="79C420D7" w:rsidR="0008705C" w:rsidRDefault="0008705C" w:rsidP="005E6F8D">
      <w:pPr>
        <w:spacing w:line="480" w:lineRule="auto"/>
        <w:rPr>
          <w:rFonts w:ascii="Times New Roman" w:eastAsia="宋体" w:hAnsi="Times New Roman" w:cs="Times New Roman"/>
          <w:sz w:val="24"/>
          <w:szCs w:val="24"/>
        </w:rPr>
      </w:pPr>
      <w:r>
        <w:rPr>
          <w:noProof/>
        </w:rPr>
        <w:lastRenderedPageBreak/>
        <w:drawing>
          <wp:inline distT="0" distB="0" distL="0" distR="0" wp14:anchorId="42348781" wp14:editId="2A2ED4A6">
            <wp:extent cx="5274310" cy="1455420"/>
            <wp:effectExtent l="0" t="0" r="2540" b="0"/>
            <wp:docPr id="13514077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1455420"/>
                    </a:xfrm>
                    <a:prstGeom prst="rect">
                      <a:avLst/>
                    </a:prstGeom>
                    <a:noFill/>
                    <a:ln>
                      <a:noFill/>
                    </a:ln>
                  </pic:spPr>
                </pic:pic>
              </a:graphicData>
            </a:graphic>
          </wp:inline>
        </w:drawing>
      </w:r>
    </w:p>
    <w:p w14:paraId="2F0C3910" w14:textId="278747F2" w:rsidR="0008705C" w:rsidRPr="003F6DB6" w:rsidRDefault="0008705C"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Pr>
          <w:rFonts w:ascii="Times New Roman" w:eastAsia="宋体" w:hAnsi="Times New Roman" w:cs="Times New Roman" w:hint="eastAsia"/>
          <w:b/>
          <w:bCs/>
          <w:sz w:val="24"/>
          <w:szCs w:val="24"/>
        </w:rPr>
        <w:t>7</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w:t>
      </w:r>
      <w:r w:rsidR="003F6DB6" w:rsidRPr="003F6DB6">
        <w:rPr>
          <w:rFonts w:ascii="Times New Roman" w:eastAsia="宋体" w:hAnsi="Times New Roman" w:cs="Times New Roman" w:hint="eastAsia"/>
          <w:sz w:val="24"/>
          <w:szCs w:val="24"/>
        </w:rPr>
        <w:t>Normalized</w:t>
      </w:r>
      <w:r w:rsidR="003F6DB6">
        <w:rPr>
          <w:rFonts w:ascii="Times New Roman" w:eastAsia="宋体" w:hAnsi="Times New Roman" w:cs="Times New Roman" w:hint="eastAsia"/>
          <w:sz w:val="24"/>
          <w:szCs w:val="24"/>
        </w:rPr>
        <w:t xml:space="preserve"> </w:t>
      </w:r>
      <w:r w:rsidR="003F6DB6" w:rsidRPr="003F6DB6">
        <w:rPr>
          <w:rFonts w:ascii="Times New Roman" w:eastAsia="宋体" w:hAnsi="Times New Roman" w:cs="Times New Roman" w:hint="eastAsia"/>
          <w:sz w:val="24"/>
          <w:szCs w:val="24"/>
        </w:rPr>
        <w:t>field correlation function g</w:t>
      </w:r>
      <w:r w:rsidR="003F6DB6" w:rsidRPr="003F6DB6">
        <w:rPr>
          <w:rFonts w:ascii="Times New Roman" w:eastAsia="宋体" w:hAnsi="Times New Roman" w:cs="Times New Roman" w:hint="eastAsia"/>
          <w:sz w:val="24"/>
          <w:szCs w:val="24"/>
          <w:vertAlign w:val="subscript"/>
        </w:rPr>
        <w:t>1</w:t>
      </w:r>
      <w:r w:rsidR="003F6DB6">
        <w:rPr>
          <w:rFonts w:ascii="Times New Roman" w:eastAsia="宋体" w:hAnsi="Times New Roman" w:cs="Times New Roman" w:hint="eastAsia"/>
          <w:sz w:val="24"/>
          <w:szCs w:val="24"/>
        </w:rPr>
        <w:t xml:space="preserve"> </w:t>
      </w:r>
      <w:r w:rsidR="003F6DB6" w:rsidRPr="003F6DB6">
        <w:rPr>
          <w:rFonts w:ascii="Times New Roman" w:eastAsia="宋体" w:hAnsi="Times New Roman" w:cs="Times New Roman" w:hint="eastAsia"/>
          <w:sz w:val="24"/>
          <w:szCs w:val="24"/>
        </w:rPr>
        <w:t>(q, t) measured by dynamic light</w:t>
      </w:r>
      <w:r w:rsidR="003F6DB6">
        <w:rPr>
          <w:rFonts w:ascii="Times New Roman" w:eastAsia="宋体" w:hAnsi="Times New Roman" w:cs="Times New Roman" w:hint="eastAsia"/>
          <w:sz w:val="24"/>
          <w:szCs w:val="24"/>
        </w:rPr>
        <w:t xml:space="preserve"> </w:t>
      </w:r>
      <w:r w:rsidR="003F6DB6" w:rsidRPr="003F6DB6">
        <w:rPr>
          <w:rFonts w:ascii="Times New Roman" w:eastAsia="宋体" w:hAnsi="Times New Roman" w:cs="Times New Roman" w:hint="eastAsia"/>
          <w:sz w:val="24"/>
          <w:szCs w:val="24"/>
        </w:rPr>
        <w:t xml:space="preserve">scattering. The </w:t>
      </w:r>
      <w:r w:rsidR="003F6DB6">
        <w:rPr>
          <w:rFonts w:ascii="Times New Roman" w:eastAsia="宋体" w:hAnsi="Times New Roman" w:cs="Times New Roman" w:hint="eastAsia"/>
          <w:sz w:val="24"/>
          <w:szCs w:val="24"/>
        </w:rPr>
        <w:t>line</w:t>
      </w:r>
      <w:r w:rsidR="003F6DB6" w:rsidRPr="003F6DB6">
        <w:rPr>
          <w:rFonts w:ascii="Times New Roman" w:eastAsia="宋体" w:hAnsi="Times New Roman" w:cs="Times New Roman" w:hint="eastAsia"/>
          <w:sz w:val="24"/>
          <w:szCs w:val="24"/>
        </w:rPr>
        <w:t xml:space="preserve"> is the fitting curve fitted by t</w:t>
      </w:r>
      <w:r w:rsidR="003F6DB6">
        <w:rPr>
          <w:rFonts w:ascii="Times New Roman" w:eastAsia="宋体" w:hAnsi="Times New Roman" w:cs="Times New Roman" w:hint="eastAsia"/>
          <w:sz w:val="24"/>
          <w:szCs w:val="24"/>
        </w:rPr>
        <w:t>wo</w:t>
      </w:r>
      <w:r w:rsidR="003F6DB6" w:rsidRPr="003F6DB6">
        <w:rPr>
          <w:rFonts w:ascii="Times New Roman" w:eastAsia="宋体" w:hAnsi="Times New Roman" w:cs="Times New Roman" w:hint="eastAsia"/>
          <w:sz w:val="24"/>
          <w:szCs w:val="24"/>
        </w:rPr>
        <w:t xml:space="preserve"> exponential decays and</w:t>
      </w:r>
      <w:r w:rsidR="003F6DB6">
        <w:rPr>
          <w:rFonts w:ascii="Times New Roman" w:eastAsia="宋体" w:hAnsi="Times New Roman" w:cs="Times New Roman" w:hint="eastAsia"/>
          <w:sz w:val="24"/>
          <w:szCs w:val="24"/>
        </w:rPr>
        <w:t xml:space="preserve"> </w:t>
      </w:r>
      <w:r w:rsidR="003F6DB6" w:rsidRPr="003F6DB6">
        <w:rPr>
          <w:rFonts w:ascii="Times New Roman" w:eastAsia="宋体" w:hAnsi="Times New Roman" w:cs="Times New Roman" w:hint="eastAsia"/>
          <w:sz w:val="24"/>
          <w:szCs w:val="24"/>
        </w:rPr>
        <w:t xml:space="preserve">the </w:t>
      </w:r>
      <w:r w:rsidR="003F6DB6">
        <w:rPr>
          <w:rFonts w:ascii="Times New Roman" w:eastAsia="宋体" w:hAnsi="Times New Roman" w:cs="Times New Roman" w:hint="eastAsia"/>
          <w:sz w:val="24"/>
          <w:szCs w:val="24"/>
        </w:rPr>
        <w:t>points</w:t>
      </w:r>
      <w:r w:rsidR="003F6DB6" w:rsidRPr="003F6DB6">
        <w:rPr>
          <w:rFonts w:ascii="Times New Roman" w:eastAsia="宋体" w:hAnsi="Times New Roman" w:cs="Times New Roman" w:hint="eastAsia"/>
          <w:sz w:val="24"/>
          <w:szCs w:val="24"/>
        </w:rPr>
        <w:t xml:space="preserve"> are the residuals between the fitting curve and the raw data.</w:t>
      </w:r>
      <w:r w:rsidR="003F6DB6">
        <w:rPr>
          <w:rFonts w:ascii="Times New Roman" w:eastAsia="宋体" w:hAnsi="Times New Roman" w:cs="Times New Roman" w:hint="eastAsia"/>
          <w:sz w:val="24"/>
          <w:szCs w:val="24"/>
        </w:rPr>
        <w:t xml:space="preserve"> </w:t>
      </w:r>
      <w:r w:rsidR="003F6DB6">
        <w:rPr>
          <w:rFonts w:ascii="Times New Roman" w:eastAsia="宋体" w:hAnsi="Times New Roman" w:cs="Times New Roman"/>
          <w:sz w:val="24"/>
          <w:szCs w:val="24"/>
        </w:rPr>
        <w:t>a. PSM</w:t>
      </w:r>
      <w:r w:rsidR="003F6DB6">
        <w:rPr>
          <w:rFonts w:ascii="Times New Roman" w:eastAsia="宋体" w:hAnsi="Times New Roman" w:cs="Times New Roman"/>
          <w:sz w:val="24"/>
          <w:szCs w:val="24"/>
          <w:vertAlign w:val="subscript"/>
        </w:rPr>
        <w:t>2M</w:t>
      </w:r>
      <w:r w:rsidR="003F6DB6">
        <w:rPr>
          <w:rFonts w:ascii="Times New Roman" w:eastAsia="宋体" w:hAnsi="Times New Roman" w:cs="Times New Roman"/>
          <w:sz w:val="24"/>
          <w:szCs w:val="24"/>
        </w:rPr>
        <w:t>. b. PSM</w:t>
      </w:r>
      <w:r w:rsidR="003F6DB6">
        <w:rPr>
          <w:rFonts w:ascii="Times New Roman" w:eastAsia="宋体" w:hAnsi="Times New Roman" w:cs="Times New Roman"/>
          <w:sz w:val="24"/>
          <w:szCs w:val="24"/>
          <w:vertAlign w:val="subscript"/>
        </w:rPr>
        <w:t>4M</w:t>
      </w:r>
      <w:r w:rsidR="003F6DB6">
        <w:rPr>
          <w:rFonts w:ascii="Times New Roman" w:eastAsia="宋体" w:hAnsi="Times New Roman" w:cs="Times New Roman"/>
          <w:sz w:val="24"/>
          <w:szCs w:val="24"/>
        </w:rPr>
        <w:t>. c. PSM</w:t>
      </w:r>
      <w:r w:rsidR="003F6DB6">
        <w:rPr>
          <w:rFonts w:ascii="Times New Roman" w:eastAsia="宋体" w:hAnsi="Times New Roman" w:cs="Times New Roman"/>
          <w:sz w:val="24"/>
          <w:szCs w:val="24"/>
          <w:vertAlign w:val="subscript"/>
        </w:rPr>
        <w:t>6M</w:t>
      </w:r>
      <w:r w:rsidR="003F6DB6">
        <w:rPr>
          <w:rFonts w:ascii="Times New Roman" w:eastAsia="宋体" w:hAnsi="Times New Roman" w:cs="Times New Roman"/>
          <w:sz w:val="24"/>
          <w:szCs w:val="24"/>
        </w:rPr>
        <w:t>.</w:t>
      </w:r>
    </w:p>
    <w:p w14:paraId="6E9D03C2" w14:textId="4719276D" w:rsidR="0008705C" w:rsidRPr="003C0364" w:rsidRDefault="003C0364"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D</w:t>
      </w:r>
      <w:r w:rsidRPr="003C0364">
        <w:rPr>
          <w:rFonts w:ascii="Times New Roman" w:eastAsia="宋体" w:hAnsi="Times New Roman" w:cs="Times New Roman"/>
          <w:sz w:val="24"/>
          <w:szCs w:val="24"/>
        </w:rPr>
        <w:t xml:space="preserve">ynamic light scattering can quantify the elasticity of the </w:t>
      </w:r>
      <w:r>
        <w:rPr>
          <w:rFonts w:ascii="Times New Roman" w:eastAsia="宋体" w:hAnsi="Times New Roman" w:cs="Times New Roman" w:hint="eastAsia"/>
          <w:sz w:val="24"/>
          <w:szCs w:val="24"/>
        </w:rPr>
        <w:t>PSM</w:t>
      </w:r>
      <w:r w:rsidRPr="003C0364">
        <w:rPr>
          <w:rFonts w:ascii="Times New Roman" w:eastAsia="宋体" w:hAnsi="Times New Roman" w:cs="Times New Roman"/>
          <w:sz w:val="24"/>
          <w:szCs w:val="24"/>
        </w:rPr>
        <w:t>. The electric field correlation function g</w:t>
      </w:r>
      <w:r w:rsidRPr="003C0364">
        <w:rPr>
          <w:rFonts w:ascii="Times New Roman" w:eastAsia="宋体" w:hAnsi="Times New Roman" w:cs="Times New Roman"/>
          <w:sz w:val="24"/>
          <w:szCs w:val="24"/>
          <w:vertAlign w:val="subscript"/>
        </w:rPr>
        <w:t>1</w:t>
      </w:r>
      <w:r>
        <w:rPr>
          <w:rFonts w:ascii="Times New Roman" w:eastAsia="宋体" w:hAnsi="Times New Roman" w:cs="Times New Roman" w:hint="eastAsia"/>
          <w:sz w:val="24"/>
          <w:szCs w:val="24"/>
        </w:rPr>
        <w:t xml:space="preserve"> </w:t>
      </w:r>
      <w:r w:rsidRPr="003C0364">
        <w:rPr>
          <w:rFonts w:ascii="Times New Roman" w:eastAsia="宋体" w:hAnsi="Times New Roman" w:cs="Times New Roman"/>
          <w:sz w:val="24"/>
          <w:szCs w:val="24"/>
        </w:rPr>
        <w:t xml:space="preserve">(q, t) is proportional to the correlation of the </w:t>
      </w:r>
      <w:r>
        <w:rPr>
          <w:rFonts w:ascii="Times New Roman" w:eastAsia="宋体" w:hAnsi="Times New Roman" w:cs="Times New Roman"/>
          <w:sz w:val="24"/>
          <w:szCs w:val="24"/>
        </w:rPr>
        <w:t>hydrogel’s</w:t>
      </w:r>
      <w:r w:rsidRPr="003C0364">
        <w:rPr>
          <w:rFonts w:ascii="Times New Roman" w:eastAsia="宋体" w:hAnsi="Times New Roman" w:cs="Times New Roman"/>
          <w:sz w:val="24"/>
          <w:szCs w:val="24"/>
        </w:rPr>
        <w:t xml:space="preserve"> strands displacement along the longitudinal. In general, there are several relaxation</w:t>
      </w:r>
      <w:r>
        <w:rPr>
          <w:rFonts w:ascii="Times New Roman" w:eastAsia="宋体" w:hAnsi="Times New Roman" w:cs="Times New Roman" w:hint="eastAsia"/>
          <w:sz w:val="24"/>
          <w:szCs w:val="24"/>
        </w:rPr>
        <w:t xml:space="preserve"> </w:t>
      </w:r>
      <w:r w:rsidRPr="003C0364">
        <w:rPr>
          <w:rFonts w:ascii="Times New Roman" w:eastAsia="宋体" w:hAnsi="Times New Roman" w:cs="Times New Roman"/>
          <w:sz w:val="24"/>
          <w:szCs w:val="24"/>
        </w:rPr>
        <w:t xml:space="preserve">modes that can contribute to </w:t>
      </w:r>
      <w:r>
        <w:rPr>
          <w:rFonts w:ascii="Times New Roman" w:eastAsia="宋体" w:hAnsi="Times New Roman" w:cs="Times New Roman" w:hint="eastAsia"/>
          <w:sz w:val="24"/>
          <w:szCs w:val="24"/>
        </w:rPr>
        <w:t>hydrogel</w:t>
      </w:r>
      <w:r w:rsidRPr="003C0364">
        <w:rPr>
          <w:rFonts w:ascii="Times New Roman" w:eastAsia="宋体" w:hAnsi="Times New Roman" w:cs="Times New Roman"/>
          <w:sz w:val="24"/>
          <w:szCs w:val="24"/>
        </w:rPr>
        <w:t xml:space="preserve"> dynamics, but</w:t>
      </w:r>
      <w:r>
        <w:rPr>
          <w:rFonts w:ascii="Times New Roman" w:eastAsia="宋体" w:hAnsi="Times New Roman" w:cs="Times New Roman" w:hint="eastAsia"/>
          <w:sz w:val="24"/>
          <w:szCs w:val="24"/>
        </w:rPr>
        <w:t xml:space="preserve"> </w:t>
      </w:r>
      <w:r w:rsidRPr="003C0364">
        <w:rPr>
          <w:rFonts w:ascii="Times New Roman" w:eastAsia="宋体" w:hAnsi="Times New Roman" w:cs="Times New Roman"/>
          <w:sz w:val="24"/>
          <w:szCs w:val="24"/>
        </w:rPr>
        <w:t>we can only probe the slower</w:t>
      </w:r>
      <w:r>
        <w:rPr>
          <w:rFonts w:ascii="Times New Roman" w:eastAsia="宋体" w:hAnsi="Times New Roman" w:cs="Times New Roman" w:hint="eastAsia"/>
          <w:sz w:val="24"/>
          <w:szCs w:val="24"/>
        </w:rPr>
        <w:t xml:space="preserve"> </w:t>
      </w:r>
      <w:r w:rsidRPr="003C0364">
        <w:rPr>
          <w:rFonts w:ascii="Times New Roman" w:eastAsia="宋体" w:hAnsi="Times New Roman" w:cs="Times New Roman"/>
          <w:sz w:val="24"/>
          <w:szCs w:val="24"/>
        </w:rPr>
        <w:t>modes</w:t>
      </w:r>
      <w:r>
        <w:rPr>
          <w:rFonts w:ascii="Times New Roman" w:eastAsia="宋体" w:hAnsi="Times New Roman" w:cs="Times New Roman" w:hint="eastAsia"/>
          <w:sz w:val="24"/>
          <w:szCs w:val="24"/>
        </w:rPr>
        <w:t xml:space="preserve"> </w:t>
      </w:r>
      <w:r w:rsidRPr="003C0364">
        <w:rPr>
          <w:rFonts w:ascii="Times New Roman" w:eastAsia="宋体" w:hAnsi="Times New Roman" w:cs="Times New Roman"/>
          <w:sz w:val="24"/>
          <w:szCs w:val="24"/>
        </w:rPr>
        <w:t>with dynamic light scattering. The electric field correlation function g</w:t>
      </w:r>
      <w:r w:rsidRPr="003C0364">
        <w:rPr>
          <w:rFonts w:ascii="Times New Roman" w:eastAsia="宋体" w:hAnsi="Times New Roman" w:cs="Times New Roman"/>
          <w:sz w:val="24"/>
          <w:szCs w:val="24"/>
          <w:vertAlign w:val="subscript"/>
        </w:rPr>
        <w:t>1</w:t>
      </w:r>
      <w:r>
        <w:rPr>
          <w:rFonts w:ascii="Times New Roman" w:eastAsia="宋体" w:hAnsi="Times New Roman" w:cs="Times New Roman" w:hint="eastAsia"/>
          <w:sz w:val="24"/>
          <w:szCs w:val="24"/>
        </w:rPr>
        <w:t xml:space="preserve"> </w:t>
      </w:r>
      <w:r w:rsidRPr="003C0364">
        <w:rPr>
          <w:rFonts w:ascii="Times New Roman" w:eastAsia="宋体" w:hAnsi="Times New Roman" w:cs="Times New Roman"/>
          <w:sz w:val="24"/>
          <w:szCs w:val="24"/>
        </w:rPr>
        <w:t xml:space="preserve">(q, t) of the </w:t>
      </w:r>
      <w:r>
        <w:rPr>
          <w:rFonts w:ascii="Times New Roman" w:eastAsia="宋体" w:hAnsi="Times New Roman" w:cs="Times New Roman" w:hint="eastAsia"/>
          <w:sz w:val="24"/>
          <w:szCs w:val="24"/>
        </w:rPr>
        <w:t>hydrogel</w:t>
      </w:r>
      <w:r w:rsidRPr="003C0364">
        <w:rPr>
          <w:rFonts w:ascii="Times New Roman" w:eastAsia="宋体" w:hAnsi="Times New Roman" w:cs="Times New Roman"/>
          <w:sz w:val="24"/>
          <w:szCs w:val="24"/>
        </w:rPr>
        <w:t xml:space="preserve"> matrix can be fitted by </w:t>
      </w:r>
      <w:r>
        <w:rPr>
          <w:rFonts w:ascii="Times New Roman" w:eastAsia="宋体" w:hAnsi="Times New Roman" w:cs="Times New Roman" w:hint="eastAsia"/>
          <w:sz w:val="24"/>
          <w:szCs w:val="24"/>
        </w:rPr>
        <w:t>two</w:t>
      </w:r>
      <w:r w:rsidRPr="003C0364">
        <w:rPr>
          <w:rFonts w:ascii="Times New Roman" w:eastAsia="宋体" w:hAnsi="Times New Roman" w:cs="Times New Roman"/>
          <w:sz w:val="24"/>
          <w:szCs w:val="24"/>
        </w:rPr>
        <w:t xml:space="preserve"> exponential decays, the quality of the fitting can be seen from the fitting residuals.</w:t>
      </w:r>
    </w:p>
    <w:p w14:paraId="19B4E94C" w14:textId="77777777" w:rsidR="003C0364" w:rsidRDefault="003C0364" w:rsidP="005E6F8D">
      <w:pPr>
        <w:spacing w:line="480" w:lineRule="auto"/>
        <w:rPr>
          <w:rFonts w:ascii="Times New Roman" w:eastAsia="宋体" w:hAnsi="Times New Roman" w:cs="Times New Roman"/>
          <w:sz w:val="24"/>
          <w:szCs w:val="24"/>
        </w:rPr>
      </w:pPr>
    </w:p>
    <w:p w14:paraId="2CD4E917" w14:textId="02068B8F" w:rsidR="0008705C" w:rsidRDefault="0008705C" w:rsidP="005E6F8D">
      <w:pPr>
        <w:spacing w:line="480" w:lineRule="auto"/>
        <w:rPr>
          <w:rFonts w:ascii="Times New Roman" w:eastAsia="宋体" w:hAnsi="Times New Roman" w:cs="Times New Roman"/>
          <w:sz w:val="24"/>
          <w:szCs w:val="24"/>
        </w:rPr>
      </w:pPr>
      <w:r>
        <w:rPr>
          <w:noProof/>
        </w:rPr>
        <w:drawing>
          <wp:inline distT="0" distB="0" distL="0" distR="0" wp14:anchorId="1EFF9EBD" wp14:editId="28BDFAC9">
            <wp:extent cx="5274310" cy="1477645"/>
            <wp:effectExtent l="0" t="0" r="2540" b="8255"/>
            <wp:docPr id="7936663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1477645"/>
                    </a:xfrm>
                    <a:prstGeom prst="rect">
                      <a:avLst/>
                    </a:prstGeom>
                    <a:noFill/>
                    <a:ln>
                      <a:noFill/>
                    </a:ln>
                  </pic:spPr>
                </pic:pic>
              </a:graphicData>
            </a:graphic>
          </wp:inline>
        </w:drawing>
      </w:r>
    </w:p>
    <w:p w14:paraId="4968B3A1" w14:textId="3633BD9E" w:rsidR="0008705C" w:rsidRDefault="0008705C"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Pr>
          <w:rFonts w:ascii="Times New Roman" w:eastAsia="宋体" w:hAnsi="Times New Roman" w:cs="Times New Roman" w:hint="eastAsia"/>
          <w:b/>
          <w:bCs/>
          <w:sz w:val="24"/>
          <w:szCs w:val="24"/>
        </w:rPr>
        <w:t>8</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w:t>
      </w:r>
      <w:r w:rsidR="003F6DB6" w:rsidRPr="003F6DB6">
        <w:rPr>
          <w:rFonts w:ascii="Times New Roman" w:eastAsia="宋体" w:hAnsi="Times New Roman" w:cs="Times New Roman" w:hint="eastAsia"/>
          <w:sz w:val="24"/>
          <w:szCs w:val="24"/>
        </w:rPr>
        <w:t xml:space="preserve">Corresponding relaxation </w:t>
      </w:r>
      <w:r w:rsidR="003F6DB6">
        <w:rPr>
          <w:rFonts w:ascii="Times New Roman" w:eastAsia="宋体" w:hAnsi="Times New Roman" w:cs="Times New Roman" w:hint="eastAsia"/>
          <w:sz w:val="24"/>
          <w:szCs w:val="24"/>
        </w:rPr>
        <w:t>rate</w:t>
      </w:r>
      <w:r w:rsidR="003F6DB6" w:rsidRPr="003F6DB6">
        <w:rPr>
          <w:rFonts w:ascii="Times New Roman" w:eastAsia="宋体" w:hAnsi="Times New Roman" w:cs="Times New Roman" w:hint="eastAsia"/>
          <w:sz w:val="24"/>
          <w:szCs w:val="24"/>
        </w:rPr>
        <w:t xml:space="preserve"> distribution function obtained from</w:t>
      </w:r>
      <w:r w:rsidR="003F6DB6">
        <w:rPr>
          <w:rFonts w:ascii="Times New Roman" w:eastAsia="宋体" w:hAnsi="Times New Roman" w:cs="Times New Roman" w:hint="eastAsia"/>
          <w:sz w:val="24"/>
          <w:szCs w:val="24"/>
        </w:rPr>
        <w:t xml:space="preserve"> </w:t>
      </w:r>
      <w:r w:rsidR="003F6DB6" w:rsidRPr="003F6DB6">
        <w:rPr>
          <w:rFonts w:ascii="Times New Roman" w:eastAsia="宋体" w:hAnsi="Times New Roman" w:cs="Times New Roman" w:hint="eastAsia"/>
          <w:sz w:val="24"/>
          <w:szCs w:val="24"/>
        </w:rPr>
        <w:t>CONTIN fit.</w:t>
      </w:r>
      <w:r w:rsidR="003F6DB6">
        <w:rPr>
          <w:rFonts w:ascii="Times New Roman" w:eastAsia="宋体" w:hAnsi="Times New Roman" w:cs="Times New Roman" w:hint="eastAsia"/>
          <w:sz w:val="24"/>
          <w:szCs w:val="24"/>
        </w:rPr>
        <w:t xml:space="preserve"> </w:t>
      </w:r>
      <w:r w:rsidR="003F6DB6">
        <w:rPr>
          <w:rFonts w:ascii="Times New Roman" w:eastAsia="宋体" w:hAnsi="Times New Roman" w:cs="Times New Roman"/>
          <w:sz w:val="24"/>
          <w:szCs w:val="24"/>
        </w:rPr>
        <w:t>a. PSM</w:t>
      </w:r>
      <w:r w:rsidR="003F6DB6">
        <w:rPr>
          <w:rFonts w:ascii="Times New Roman" w:eastAsia="宋体" w:hAnsi="Times New Roman" w:cs="Times New Roman"/>
          <w:sz w:val="24"/>
          <w:szCs w:val="24"/>
          <w:vertAlign w:val="subscript"/>
        </w:rPr>
        <w:t>2M</w:t>
      </w:r>
      <w:r w:rsidR="003F6DB6">
        <w:rPr>
          <w:rFonts w:ascii="Times New Roman" w:eastAsia="宋体" w:hAnsi="Times New Roman" w:cs="Times New Roman"/>
          <w:sz w:val="24"/>
          <w:szCs w:val="24"/>
        </w:rPr>
        <w:t>. b. PSM</w:t>
      </w:r>
      <w:r w:rsidR="003F6DB6">
        <w:rPr>
          <w:rFonts w:ascii="Times New Roman" w:eastAsia="宋体" w:hAnsi="Times New Roman" w:cs="Times New Roman"/>
          <w:sz w:val="24"/>
          <w:szCs w:val="24"/>
          <w:vertAlign w:val="subscript"/>
        </w:rPr>
        <w:t>4M</w:t>
      </w:r>
      <w:r w:rsidR="003F6DB6">
        <w:rPr>
          <w:rFonts w:ascii="Times New Roman" w:eastAsia="宋体" w:hAnsi="Times New Roman" w:cs="Times New Roman"/>
          <w:sz w:val="24"/>
          <w:szCs w:val="24"/>
        </w:rPr>
        <w:t>. c. PSM</w:t>
      </w:r>
      <w:r w:rsidR="003F6DB6">
        <w:rPr>
          <w:rFonts w:ascii="Times New Roman" w:eastAsia="宋体" w:hAnsi="Times New Roman" w:cs="Times New Roman"/>
          <w:sz w:val="24"/>
          <w:szCs w:val="24"/>
          <w:vertAlign w:val="subscript"/>
        </w:rPr>
        <w:t>6M</w:t>
      </w:r>
      <w:r w:rsidR="003F6DB6">
        <w:rPr>
          <w:rFonts w:ascii="Times New Roman" w:eastAsia="宋体" w:hAnsi="Times New Roman" w:cs="Times New Roman"/>
          <w:sz w:val="24"/>
          <w:szCs w:val="24"/>
        </w:rPr>
        <w:t>.</w:t>
      </w:r>
    </w:p>
    <w:p w14:paraId="10EC2C02" w14:textId="69B5BB59" w:rsidR="003C0364" w:rsidRDefault="003C0364"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lastRenderedPageBreak/>
        <w:t>T</w:t>
      </w:r>
      <w:r w:rsidRPr="003C0364">
        <w:rPr>
          <w:rFonts w:ascii="Times New Roman" w:eastAsia="宋体" w:hAnsi="Times New Roman" w:cs="Times New Roman" w:hint="eastAsia"/>
          <w:sz w:val="24"/>
          <w:szCs w:val="24"/>
        </w:rPr>
        <w:t>he corresponding</w:t>
      </w:r>
      <w:r>
        <w:rPr>
          <w:rFonts w:ascii="Times New Roman" w:eastAsia="宋体" w:hAnsi="Times New Roman" w:cs="Times New Roman" w:hint="eastAsia"/>
          <w:sz w:val="24"/>
          <w:szCs w:val="24"/>
        </w:rPr>
        <w:t xml:space="preserve"> </w:t>
      </w:r>
      <w:r w:rsidRPr="003C0364">
        <w:rPr>
          <w:rFonts w:ascii="Times New Roman" w:eastAsia="宋体" w:hAnsi="Times New Roman" w:cs="Times New Roman" w:hint="eastAsia"/>
          <w:sz w:val="24"/>
          <w:szCs w:val="24"/>
        </w:rPr>
        <w:t>relaxation time distribution function f(t) can be obtained from</w:t>
      </w:r>
      <w:r>
        <w:rPr>
          <w:rFonts w:ascii="Times New Roman" w:eastAsia="宋体" w:hAnsi="Times New Roman" w:cs="Times New Roman" w:hint="eastAsia"/>
          <w:sz w:val="24"/>
          <w:szCs w:val="24"/>
        </w:rPr>
        <w:t xml:space="preserve"> </w:t>
      </w:r>
      <w:r w:rsidRPr="003C0364">
        <w:rPr>
          <w:rFonts w:ascii="Times New Roman" w:eastAsia="宋体" w:hAnsi="Times New Roman" w:cs="Times New Roman" w:hint="eastAsia"/>
          <w:sz w:val="24"/>
          <w:szCs w:val="24"/>
        </w:rPr>
        <w:t>CONTIN fitting method.</w:t>
      </w:r>
    </w:p>
    <w:p w14:paraId="1A4A85AA" w14:textId="77777777" w:rsidR="0008705C" w:rsidRDefault="0008705C" w:rsidP="005E6F8D">
      <w:pPr>
        <w:spacing w:line="480" w:lineRule="auto"/>
        <w:rPr>
          <w:rFonts w:ascii="Times New Roman" w:eastAsia="宋体" w:hAnsi="Times New Roman" w:cs="Times New Roman"/>
          <w:sz w:val="24"/>
          <w:szCs w:val="24"/>
        </w:rPr>
      </w:pPr>
    </w:p>
    <w:p w14:paraId="6FDA9260" w14:textId="65C6F82C" w:rsidR="0008705C" w:rsidRDefault="0008705C" w:rsidP="005E6F8D">
      <w:pPr>
        <w:spacing w:line="480" w:lineRule="auto"/>
        <w:rPr>
          <w:rFonts w:ascii="Times New Roman" w:eastAsia="宋体" w:hAnsi="Times New Roman" w:cs="Times New Roman"/>
          <w:sz w:val="24"/>
          <w:szCs w:val="24"/>
        </w:rPr>
      </w:pPr>
      <w:r>
        <w:rPr>
          <w:noProof/>
        </w:rPr>
        <w:drawing>
          <wp:inline distT="0" distB="0" distL="0" distR="0" wp14:anchorId="5E0B4082" wp14:editId="19BF0670">
            <wp:extent cx="5274310" cy="2924175"/>
            <wp:effectExtent l="0" t="0" r="2540" b="9525"/>
            <wp:docPr id="20324621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2924175"/>
                    </a:xfrm>
                    <a:prstGeom prst="rect">
                      <a:avLst/>
                    </a:prstGeom>
                    <a:noFill/>
                    <a:ln>
                      <a:noFill/>
                    </a:ln>
                  </pic:spPr>
                </pic:pic>
              </a:graphicData>
            </a:graphic>
          </wp:inline>
        </w:drawing>
      </w:r>
    </w:p>
    <w:p w14:paraId="7B2A06F0" w14:textId="3A076643" w:rsidR="003F6DB6" w:rsidRPr="003F6DB6" w:rsidRDefault="0008705C"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Pr>
          <w:rFonts w:ascii="Times New Roman" w:eastAsia="宋体" w:hAnsi="Times New Roman" w:cs="Times New Roman" w:hint="eastAsia"/>
          <w:b/>
          <w:bCs/>
          <w:sz w:val="24"/>
          <w:szCs w:val="24"/>
        </w:rPr>
        <w:t>9</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w:t>
      </w:r>
      <w:r w:rsidR="003F6DB6" w:rsidRPr="003F6DB6">
        <w:rPr>
          <w:rFonts w:ascii="Times New Roman" w:eastAsia="宋体" w:hAnsi="Times New Roman" w:cs="Times New Roman"/>
          <w:sz w:val="24"/>
          <w:szCs w:val="24"/>
        </w:rPr>
        <w:t>q2 dependence of the relaxation rate Γ</w:t>
      </w:r>
      <w:r w:rsidR="003F6DB6" w:rsidRPr="003F6DB6">
        <w:rPr>
          <w:rFonts w:ascii="Times New Roman" w:eastAsia="宋体" w:hAnsi="Times New Roman" w:cs="Times New Roman" w:hint="eastAsia"/>
          <w:sz w:val="24"/>
          <w:szCs w:val="24"/>
          <w:vertAlign w:val="subscript"/>
        </w:rPr>
        <w:t>1</w:t>
      </w:r>
      <w:r w:rsidR="003F6DB6">
        <w:rPr>
          <w:rFonts w:ascii="Times New Roman" w:eastAsia="宋体" w:hAnsi="Times New Roman" w:cs="Times New Roman" w:hint="eastAsia"/>
          <w:sz w:val="24"/>
          <w:szCs w:val="24"/>
        </w:rPr>
        <w:t xml:space="preserve"> (the </w:t>
      </w:r>
      <w:r w:rsidR="003F6DB6" w:rsidRPr="003F6DB6">
        <w:rPr>
          <w:rFonts w:ascii="Times New Roman" w:eastAsia="宋体" w:hAnsi="Times New Roman" w:cs="Times New Roman"/>
          <w:sz w:val="24"/>
          <w:szCs w:val="24"/>
        </w:rPr>
        <w:t>first</w:t>
      </w:r>
      <w:r w:rsidR="003F6DB6">
        <w:rPr>
          <w:rFonts w:ascii="Times New Roman" w:eastAsia="宋体" w:hAnsi="Times New Roman" w:cs="Times New Roman" w:hint="eastAsia"/>
          <w:sz w:val="24"/>
          <w:szCs w:val="24"/>
        </w:rPr>
        <w:t xml:space="preserve"> </w:t>
      </w:r>
      <w:r w:rsidR="003F6DB6" w:rsidRPr="003F6DB6">
        <w:rPr>
          <w:rFonts w:ascii="Times New Roman" w:eastAsia="宋体" w:hAnsi="Times New Roman" w:cs="Times New Roman"/>
          <w:sz w:val="24"/>
          <w:szCs w:val="24"/>
        </w:rPr>
        <w:t>mode</w:t>
      </w:r>
      <w:r w:rsidR="003F6DB6">
        <w:rPr>
          <w:rFonts w:ascii="Times New Roman" w:eastAsia="宋体" w:hAnsi="Times New Roman" w:cs="Times New Roman" w:hint="eastAsia"/>
          <w:sz w:val="24"/>
          <w:szCs w:val="24"/>
        </w:rPr>
        <w:t xml:space="preserve">) and </w:t>
      </w:r>
      <w:r w:rsidR="003F6DB6" w:rsidRPr="003F6DB6">
        <w:rPr>
          <w:rFonts w:ascii="Times New Roman" w:eastAsia="宋体" w:hAnsi="Times New Roman" w:cs="Times New Roman"/>
          <w:sz w:val="24"/>
          <w:szCs w:val="24"/>
        </w:rPr>
        <w:t>Γ</w:t>
      </w:r>
      <w:r w:rsidR="003F6DB6" w:rsidRPr="003F6DB6">
        <w:rPr>
          <w:rFonts w:ascii="Times New Roman" w:eastAsia="宋体" w:hAnsi="Times New Roman" w:cs="Times New Roman" w:hint="eastAsia"/>
          <w:sz w:val="24"/>
          <w:szCs w:val="24"/>
          <w:vertAlign w:val="subscript"/>
        </w:rPr>
        <w:t>2</w:t>
      </w:r>
      <w:r w:rsidR="003F6DB6" w:rsidRPr="003F6DB6">
        <w:rPr>
          <w:rFonts w:ascii="Times New Roman" w:eastAsia="宋体" w:hAnsi="Times New Roman" w:cs="Times New Roman"/>
          <w:sz w:val="24"/>
          <w:szCs w:val="24"/>
        </w:rPr>
        <w:t xml:space="preserve"> </w:t>
      </w:r>
      <w:r w:rsidR="003F6DB6">
        <w:rPr>
          <w:rFonts w:ascii="Times New Roman" w:eastAsia="宋体" w:hAnsi="Times New Roman" w:cs="Times New Roman" w:hint="eastAsia"/>
          <w:sz w:val="24"/>
          <w:szCs w:val="24"/>
        </w:rPr>
        <w:t>(</w:t>
      </w:r>
      <w:r w:rsidR="003F6DB6" w:rsidRPr="003F6DB6">
        <w:rPr>
          <w:rFonts w:ascii="Times New Roman" w:eastAsia="宋体" w:hAnsi="Times New Roman" w:cs="Times New Roman"/>
          <w:sz w:val="24"/>
          <w:szCs w:val="24"/>
        </w:rPr>
        <w:t>the second mode</w:t>
      </w:r>
      <w:r w:rsidR="003F6DB6">
        <w:rPr>
          <w:rFonts w:ascii="Times New Roman" w:eastAsia="宋体" w:hAnsi="Times New Roman" w:cs="Times New Roman" w:hint="eastAsia"/>
          <w:sz w:val="24"/>
          <w:szCs w:val="24"/>
        </w:rPr>
        <w:t xml:space="preserve">) for the PSM. a. </w:t>
      </w:r>
      <w:r w:rsidR="003F6DB6" w:rsidRPr="003F6DB6">
        <w:rPr>
          <w:rFonts w:ascii="Times New Roman" w:eastAsia="宋体" w:hAnsi="Times New Roman" w:cs="Times New Roman"/>
          <w:sz w:val="24"/>
          <w:szCs w:val="24"/>
        </w:rPr>
        <w:t>Γ</w:t>
      </w:r>
      <w:r w:rsidR="003F6DB6" w:rsidRPr="003F6DB6">
        <w:rPr>
          <w:rFonts w:ascii="Times New Roman" w:eastAsia="宋体" w:hAnsi="Times New Roman" w:cs="Times New Roman" w:hint="eastAsia"/>
          <w:sz w:val="24"/>
          <w:szCs w:val="24"/>
          <w:vertAlign w:val="subscript"/>
        </w:rPr>
        <w:t>1</w:t>
      </w:r>
      <w:r w:rsidR="003F6DB6" w:rsidRPr="003F6DB6">
        <w:rPr>
          <w:rFonts w:ascii="Times New Roman" w:eastAsia="宋体" w:hAnsi="Times New Roman" w:cs="Times New Roman" w:hint="eastAsia"/>
          <w:sz w:val="24"/>
          <w:szCs w:val="24"/>
        </w:rPr>
        <w:t xml:space="preserve"> of</w:t>
      </w:r>
      <w:r w:rsidR="003F6DB6">
        <w:rPr>
          <w:rFonts w:ascii="Times New Roman" w:eastAsia="宋体" w:hAnsi="Times New Roman" w:cs="Times New Roman" w:hint="eastAsia"/>
          <w:sz w:val="24"/>
          <w:szCs w:val="24"/>
        </w:rPr>
        <w:t xml:space="preserve"> PSM</w:t>
      </w:r>
      <w:r w:rsidR="003F6DB6" w:rsidRPr="003F6DB6">
        <w:rPr>
          <w:rFonts w:ascii="Times New Roman" w:eastAsia="宋体" w:hAnsi="Times New Roman" w:cs="Times New Roman" w:hint="eastAsia"/>
          <w:sz w:val="24"/>
          <w:szCs w:val="24"/>
          <w:vertAlign w:val="subscript"/>
        </w:rPr>
        <w:t>2M</w:t>
      </w:r>
      <w:r w:rsidR="003F6DB6" w:rsidRPr="003F6DB6">
        <w:rPr>
          <w:rFonts w:ascii="Times New Roman" w:eastAsia="宋体" w:hAnsi="Times New Roman" w:cs="Times New Roman" w:hint="eastAsia"/>
          <w:sz w:val="24"/>
          <w:szCs w:val="24"/>
        </w:rPr>
        <w:t xml:space="preserve">. </w:t>
      </w:r>
      <w:r w:rsidR="003F6DB6">
        <w:rPr>
          <w:rFonts w:ascii="Times New Roman" w:eastAsia="宋体" w:hAnsi="Times New Roman" w:cs="Times New Roman" w:hint="eastAsia"/>
          <w:sz w:val="24"/>
          <w:szCs w:val="24"/>
        </w:rPr>
        <w:t xml:space="preserve">b. </w:t>
      </w:r>
      <w:r w:rsidR="003F6DB6" w:rsidRPr="003F6DB6">
        <w:rPr>
          <w:rFonts w:ascii="Times New Roman" w:eastAsia="宋体" w:hAnsi="Times New Roman" w:cs="Times New Roman"/>
          <w:sz w:val="24"/>
          <w:szCs w:val="24"/>
        </w:rPr>
        <w:t>Γ</w:t>
      </w:r>
      <w:r w:rsidR="003F6DB6">
        <w:rPr>
          <w:rFonts w:ascii="Times New Roman" w:eastAsia="宋体" w:hAnsi="Times New Roman" w:cs="Times New Roman" w:hint="eastAsia"/>
          <w:sz w:val="24"/>
          <w:szCs w:val="24"/>
          <w:vertAlign w:val="subscript"/>
        </w:rPr>
        <w:t>2</w:t>
      </w:r>
      <w:r w:rsidR="003F6DB6" w:rsidRPr="003F6DB6">
        <w:rPr>
          <w:rFonts w:ascii="Times New Roman" w:eastAsia="宋体" w:hAnsi="Times New Roman" w:cs="Times New Roman" w:hint="eastAsia"/>
          <w:sz w:val="24"/>
          <w:szCs w:val="24"/>
        </w:rPr>
        <w:t xml:space="preserve"> of</w:t>
      </w:r>
      <w:r w:rsidR="003F6DB6">
        <w:rPr>
          <w:rFonts w:ascii="Times New Roman" w:eastAsia="宋体" w:hAnsi="Times New Roman" w:cs="Times New Roman" w:hint="eastAsia"/>
          <w:sz w:val="24"/>
          <w:szCs w:val="24"/>
        </w:rPr>
        <w:t xml:space="preserve"> PSM</w:t>
      </w:r>
      <w:r w:rsidR="003F6DB6" w:rsidRPr="003F6DB6">
        <w:rPr>
          <w:rFonts w:ascii="Times New Roman" w:eastAsia="宋体" w:hAnsi="Times New Roman" w:cs="Times New Roman" w:hint="eastAsia"/>
          <w:sz w:val="24"/>
          <w:szCs w:val="24"/>
          <w:vertAlign w:val="subscript"/>
        </w:rPr>
        <w:t>2M</w:t>
      </w:r>
      <w:r w:rsidR="003F6DB6" w:rsidRPr="003F6DB6">
        <w:rPr>
          <w:rFonts w:ascii="Times New Roman" w:eastAsia="宋体" w:hAnsi="Times New Roman" w:cs="Times New Roman" w:hint="eastAsia"/>
          <w:sz w:val="24"/>
          <w:szCs w:val="24"/>
        </w:rPr>
        <w:t xml:space="preserve">. </w:t>
      </w:r>
      <w:r w:rsidR="003F6DB6">
        <w:rPr>
          <w:rFonts w:ascii="Times New Roman" w:eastAsia="宋体" w:hAnsi="Times New Roman" w:cs="Times New Roman" w:hint="eastAsia"/>
          <w:sz w:val="24"/>
          <w:szCs w:val="24"/>
        </w:rPr>
        <w:t xml:space="preserve">c. </w:t>
      </w:r>
      <w:r w:rsidR="003F6DB6" w:rsidRPr="003F6DB6">
        <w:rPr>
          <w:rFonts w:ascii="Times New Roman" w:eastAsia="宋体" w:hAnsi="Times New Roman" w:cs="Times New Roman"/>
          <w:sz w:val="24"/>
          <w:szCs w:val="24"/>
        </w:rPr>
        <w:t>Γ</w:t>
      </w:r>
      <w:r w:rsidR="003F6DB6" w:rsidRPr="003F6DB6">
        <w:rPr>
          <w:rFonts w:ascii="Times New Roman" w:eastAsia="宋体" w:hAnsi="Times New Roman" w:cs="Times New Roman" w:hint="eastAsia"/>
          <w:sz w:val="24"/>
          <w:szCs w:val="24"/>
          <w:vertAlign w:val="subscript"/>
        </w:rPr>
        <w:t>1</w:t>
      </w:r>
      <w:r w:rsidR="003F6DB6" w:rsidRPr="003F6DB6">
        <w:rPr>
          <w:rFonts w:ascii="Times New Roman" w:eastAsia="宋体" w:hAnsi="Times New Roman" w:cs="Times New Roman" w:hint="eastAsia"/>
          <w:sz w:val="24"/>
          <w:szCs w:val="24"/>
        </w:rPr>
        <w:t xml:space="preserve"> of</w:t>
      </w:r>
      <w:r w:rsidR="003F6DB6">
        <w:rPr>
          <w:rFonts w:ascii="Times New Roman" w:eastAsia="宋体" w:hAnsi="Times New Roman" w:cs="Times New Roman" w:hint="eastAsia"/>
          <w:sz w:val="24"/>
          <w:szCs w:val="24"/>
        </w:rPr>
        <w:t xml:space="preserve"> PSM</w:t>
      </w:r>
      <w:r w:rsidR="003F6DB6">
        <w:rPr>
          <w:rFonts w:ascii="Times New Roman" w:eastAsia="宋体" w:hAnsi="Times New Roman" w:cs="Times New Roman" w:hint="eastAsia"/>
          <w:sz w:val="24"/>
          <w:szCs w:val="24"/>
          <w:vertAlign w:val="subscript"/>
        </w:rPr>
        <w:t>4</w:t>
      </w:r>
      <w:r w:rsidR="003F6DB6" w:rsidRPr="003F6DB6">
        <w:rPr>
          <w:rFonts w:ascii="Times New Roman" w:eastAsia="宋体" w:hAnsi="Times New Roman" w:cs="Times New Roman" w:hint="eastAsia"/>
          <w:sz w:val="24"/>
          <w:szCs w:val="24"/>
          <w:vertAlign w:val="subscript"/>
        </w:rPr>
        <w:t>M</w:t>
      </w:r>
      <w:r w:rsidR="003F6DB6" w:rsidRPr="003F6DB6">
        <w:rPr>
          <w:rFonts w:ascii="Times New Roman" w:eastAsia="宋体" w:hAnsi="Times New Roman" w:cs="Times New Roman" w:hint="eastAsia"/>
          <w:sz w:val="24"/>
          <w:szCs w:val="24"/>
        </w:rPr>
        <w:t xml:space="preserve">. </w:t>
      </w:r>
      <w:r w:rsidR="003F6DB6">
        <w:rPr>
          <w:rFonts w:ascii="Times New Roman" w:eastAsia="宋体" w:hAnsi="Times New Roman" w:cs="Times New Roman" w:hint="eastAsia"/>
          <w:sz w:val="24"/>
          <w:szCs w:val="24"/>
        </w:rPr>
        <w:t xml:space="preserve">d. </w:t>
      </w:r>
      <w:r w:rsidR="003F6DB6" w:rsidRPr="003F6DB6">
        <w:rPr>
          <w:rFonts w:ascii="Times New Roman" w:eastAsia="宋体" w:hAnsi="Times New Roman" w:cs="Times New Roman"/>
          <w:sz w:val="24"/>
          <w:szCs w:val="24"/>
        </w:rPr>
        <w:t>Γ</w:t>
      </w:r>
      <w:r w:rsidR="003F6DB6">
        <w:rPr>
          <w:rFonts w:ascii="Times New Roman" w:eastAsia="宋体" w:hAnsi="Times New Roman" w:cs="Times New Roman" w:hint="eastAsia"/>
          <w:sz w:val="24"/>
          <w:szCs w:val="24"/>
          <w:vertAlign w:val="subscript"/>
        </w:rPr>
        <w:t>2</w:t>
      </w:r>
      <w:r w:rsidR="003F6DB6" w:rsidRPr="003F6DB6">
        <w:rPr>
          <w:rFonts w:ascii="Times New Roman" w:eastAsia="宋体" w:hAnsi="Times New Roman" w:cs="Times New Roman" w:hint="eastAsia"/>
          <w:sz w:val="24"/>
          <w:szCs w:val="24"/>
        </w:rPr>
        <w:t xml:space="preserve"> of</w:t>
      </w:r>
      <w:r w:rsidR="003F6DB6">
        <w:rPr>
          <w:rFonts w:ascii="Times New Roman" w:eastAsia="宋体" w:hAnsi="Times New Roman" w:cs="Times New Roman" w:hint="eastAsia"/>
          <w:sz w:val="24"/>
          <w:szCs w:val="24"/>
        </w:rPr>
        <w:t xml:space="preserve"> PSM</w:t>
      </w:r>
      <w:r w:rsidR="003F6DB6">
        <w:rPr>
          <w:rFonts w:ascii="Times New Roman" w:eastAsia="宋体" w:hAnsi="Times New Roman" w:cs="Times New Roman" w:hint="eastAsia"/>
          <w:sz w:val="24"/>
          <w:szCs w:val="24"/>
          <w:vertAlign w:val="subscript"/>
        </w:rPr>
        <w:t>4</w:t>
      </w:r>
      <w:r w:rsidR="003F6DB6" w:rsidRPr="003F6DB6">
        <w:rPr>
          <w:rFonts w:ascii="Times New Roman" w:eastAsia="宋体" w:hAnsi="Times New Roman" w:cs="Times New Roman" w:hint="eastAsia"/>
          <w:sz w:val="24"/>
          <w:szCs w:val="24"/>
          <w:vertAlign w:val="subscript"/>
        </w:rPr>
        <w:t>M</w:t>
      </w:r>
      <w:r w:rsidR="003F6DB6" w:rsidRPr="003F6DB6">
        <w:rPr>
          <w:rFonts w:ascii="Times New Roman" w:eastAsia="宋体" w:hAnsi="Times New Roman" w:cs="Times New Roman" w:hint="eastAsia"/>
          <w:sz w:val="24"/>
          <w:szCs w:val="24"/>
        </w:rPr>
        <w:t xml:space="preserve">. </w:t>
      </w:r>
      <w:r w:rsidR="003F6DB6">
        <w:rPr>
          <w:rFonts w:ascii="Times New Roman" w:eastAsia="宋体" w:hAnsi="Times New Roman" w:cs="Times New Roman" w:hint="eastAsia"/>
          <w:sz w:val="24"/>
          <w:szCs w:val="24"/>
        </w:rPr>
        <w:t xml:space="preserve">e. </w:t>
      </w:r>
      <w:r w:rsidR="003F6DB6" w:rsidRPr="003F6DB6">
        <w:rPr>
          <w:rFonts w:ascii="Times New Roman" w:eastAsia="宋体" w:hAnsi="Times New Roman" w:cs="Times New Roman"/>
          <w:sz w:val="24"/>
          <w:szCs w:val="24"/>
        </w:rPr>
        <w:t>Γ</w:t>
      </w:r>
      <w:r w:rsidR="003F6DB6" w:rsidRPr="003F6DB6">
        <w:rPr>
          <w:rFonts w:ascii="Times New Roman" w:eastAsia="宋体" w:hAnsi="Times New Roman" w:cs="Times New Roman" w:hint="eastAsia"/>
          <w:sz w:val="24"/>
          <w:szCs w:val="24"/>
          <w:vertAlign w:val="subscript"/>
        </w:rPr>
        <w:t>1</w:t>
      </w:r>
      <w:r w:rsidR="003F6DB6" w:rsidRPr="003F6DB6">
        <w:rPr>
          <w:rFonts w:ascii="Times New Roman" w:eastAsia="宋体" w:hAnsi="Times New Roman" w:cs="Times New Roman" w:hint="eastAsia"/>
          <w:sz w:val="24"/>
          <w:szCs w:val="24"/>
        </w:rPr>
        <w:t xml:space="preserve"> of</w:t>
      </w:r>
      <w:r w:rsidR="003F6DB6">
        <w:rPr>
          <w:rFonts w:ascii="Times New Roman" w:eastAsia="宋体" w:hAnsi="Times New Roman" w:cs="Times New Roman" w:hint="eastAsia"/>
          <w:sz w:val="24"/>
          <w:szCs w:val="24"/>
        </w:rPr>
        <w:t xml:space="preserve"> PSM</w:t>
      </w:r>
      <w:r w:rsidR="003F6DB6">
        <w:rPr>
          <w:rFonts w:ascii="Times New Roman" w:eastAsia="宋体" w:hAnsi="Times New Roman" w:cs="Times New Roman" w:hint="eastAsia"/>
          <w:sz w:val="24"/>
          <w:szCs w:val="24"/>
          <w:vertAlign w:val="subscript"/>
        </w:rPr>
        <w:t>6</w:t>
      </w:r>
      <w:r w:rsidR="003F6DB6" w:rsidRPr="003F6DB6">
        <w:rPr>
          <w:rFonts w:ascii="Times New Roman" w:eastAsia="宋体" w:hAnsi="Times New Roman" w:cs="Times New Roman" w:hint="eastAsia"/>
          <w:sz w:val="24"/>
          <w:szCs w:val="24"/>
          <w:vertAlign w:val="subscript"/>
        </w:rPr>
        <w:t>M</w:t>
      </w:r>
      <w:r w:rsidR="003F6DB6" w:rsidRPr="003F6DB6">
        <w:rPr>
          <w:rFonts w:ascii="Times New Roman" w:eastAsia="宋体" w:hAnsi="Times New Roman" w:cs="Times New Roman" w:hint="eastAsia"/>
          <w:sz w:val="24"/>
          <w:szCs w:val="24"/>
        </w:rPr>
        <w:t xml:space="preserve">. </w:t>
      </w:r>
      <w:r w:rsidR="003F6DB6">
        <w:rPr>
          <w:rFonts w:ascii="Times New Roman" w:eastAsia="宋体" w:hAnsi="Times New Roman" w:cs="Times New Roman" w:hint="eastAsia"/>
          <w:sz w:val="24"/>
          <w:szCs w:val="24"/>
        </w:rPr>
        <w:t xml:space="preserve">f. </w:t>
      </w:r>
      <w:r w:rsidR="003F6DB6" w:rsidRPr="003F6DB6">
        <w:rPr>
          <w:rFonts w:ascii="Times New Roman" w:eastAsia="宋体" w:hAnsi="Times New Roman" w:cs="Times New Roman"/>
          <w:sz w:val="24"/>
          <w:szCs w:val="24"/>
        </w:rPr>
        <w:t>Γ</w:t>
      </w:r>
      <w:r w:rsidR="003F6DB6">
        <w:rPr>
          <w:rFonts w:ascii="Times New Roman" w:eastAsia="宋体" w:hAnsi="Times New Roman" w:cs="Times New Roman" w:hint="eastAsia"/>
          <w:sz w:val="24"/>
          <w:szCs w:val="24"/>
          <w:vertAlign w:val="subscript"/>
        </w:rPr>
        <w:t>2</w:t>
      </w:r>
      <w:r w:rsidR="003F6DB6" w:rsidRPr="003F6DB6">
        <w:rPr>
          <w:rFonts w:ascii="Times New Roman" w:eastAsia="宋体" w:hAnsi="Times New Roman" w:cs="Times New Roman" w:hint="eastAsia"/>
          <w:sz w:val="24"/>
          <w:szCs w:val="24"/>
        </w:rPr>
        <w:t xml:space="preserve"> of</w:t>
      </w:r>
      <w:r w:rsidR="003F6DB6">
        <w:rPr>
          <w:rFonts w:ascii="Times New Roman" w:eastAsia="宋体" w:hAnsi="Times New Roman" w:cs="Times New Roman" w:hint="eastAsia"/>
          <w:sz w:val="24"/>
          <w:szCs w:val="24"/>
        </w:rPr>
        <w:t xml:space="preserve"> PSM</w:t>
      </w:r>
      <w:r w:rsidR="003F6DB6">
        <w:rPr>
          <w:rFonts w:ascii="Times New Roman" w:eastAsia="宋体" w:hAnsi="Times New Roman" w:cs="Times New Roman" w:hint="eastAsia"/>
          <w:sz w:val="24"/>
          <w:szCs w:val="24"/>
          <w:vertAlign w:val="subscript"/>
        </w:rPr>
        <w:t>6</w:t>
      </w:r>
      <w:r w:rsidR="003F6DB6" w:rsidRPr="003F6DB6">
        <w:rPr>
          <w:rFonts w:ascii="Times New Roman" w:eastAsia="宋体" w:hAnsi="Times New Roman" w:cs="Times New Roman" w:hint="eastAsia"/>
          <w:sz w:val="24"/>
          <w:szCs w:val="24"/>
          <w:vertAlign w:val="subscript"/>
        </w:rPr>
        <w:t>M</w:t>
      </w:r>
      <w:r w:rsidR="003F6DB6" w:rsidRPr="003F6DB6">
        <w:rPr>
          <w:rFonts w:ascii="Times New Roman" w:eastAsia="宋体" w:hAnsi="Times New Roman" w:cs="Times New Roman" w:hint="eastAsia"/>
          <w:sz w:val="24"/>
          <w:szCs w:val="24"/>
        </w:rPr>
        <w:t>.</w:t>
      </w:r>
    </w:p>
    <w:p w14:paraId="1149B484" w14:textId="2DE115AF" w:rsidR="0008705C" w:rsidRPr="003C0364" w:rsidRDefault="003C0364" w:rsidP="005E6F8D">
      <w:pPr>
        <w:spacing w:line="480" w:lineRule="auto"/>
        <w:ind w:firstLineChars="200" w:firstLine="480"/>
        <w:rPr>
          <w:rFonts w:ascii="Times New Roman" w:eastAsia="宋体" w:hAnsi="Times New Roman" w:cs="Times New Roman"/>
          <w:sz w:val="24"/>
          <w:szCs w:val="24"/>
        </w:rPr>
      </w:pPr>
      <w:r w:rsidRPr="003C0364">
        <w:rPr>
          <w:rFonts w:ascii="Times New Roman" w:eastAsia="宋体" w:hAnsi="Times New Roman" w:cs="Times New Roman"/>
          <w:sz w:val="24"/>
          <w:szCs w:val="24"/>
        </w:rPr>
        <w:t>There are t</w:t>
      </w:r>
      <w:r>
        <w:rPr>
          <w:rFonts w:ascii="Times New Roman" w:eastAsia="宋体" w:hAnsi="Times New Roman" w:cs="Times New Roman" w:hint="eastAsia"/>
          <w:sz w:val="24"/>
          <w:szCs w:val="24"/>
        </w:rPr>
        <w:t>wo</w:t>
      </w:r>
      <w:r w:rsidRPr="003C0364">
        <w:rPr>
          <w:rFonts w:ascii="Times New Roman" w:eastAsia="宋体" w:hAnsi="Times New Roman" w:cs="Times New Roman"/>
          <w:sz w:val="24"/>
          <w:szCs w:val="24"/>
        </w:rPr>
        <w:t xml:space="preserve"> relaxation modes at each angle</w:t>
      </w:r>
      <w:r>
        <w:rPr>
          <w:rFonts w:ascii="Times New Roman" w:eastAsia="宋体" w:hAnsi="Times New Roman" w:cs="Times New Roman" w:hint="eastAsia"/>
          <w:sz w:val="24"/>
          <w:szCs w:val="24"/>
        </w:rPr>
        <w:t xml:space="preserve"> and</w:t>
      </w:r>
      <w:r w:rsidRPr="003C0364">
        <w:rPr>
          <w:rFonts w:ascii="Times New Roman" w:eastAsia="宋体" w:hAnsi="Times New Roman" w:cs="Times New Roman"/>
          <w:sz w:val="24"/>
          <w:szCs w:val="24"/>
        </w:rPr>
        <w:t xml:space="preserve"> is dominant and diffusive. If one relaxation mode is diffusive, the relaxation rate Γ at different scattering angles have the quadratic dependence on the scattering wavevector q, and from the slope of relaxation rate Γ/q</w:t>
      </w:r>
      <w:r w:rsidRPr="003C0364">
        <w:rPr>
          <w:rFonts w:ascii="Times New Roman" w:eastAsia="宋体" w:hAnsi="Times New Roman" w:cs="Times New Roman"/>
          <w:sz w:val="24"/>
          <w:szCs w:val="24"/>
          <w:vertAlign w:val="superscript"/>
        </w:rPr>
        <w:t>2</w:t>
      </w:r>
      <w:r>
        <w:rPr>
          <w:rFonts w:ascii="Times New Roman" w:eastAsia="宋体" w:hAnsi="Times New Roman" w:cs="Times New Roman" w:hint="eastAsia"/>
          <w:sz w:val="24"/>
          <w:szCs w:val="24"/>
        </w:rPr>
        <w:t>,</w:t>
      </w:r>
      <w:r w:rsidRPr="003C0364">
        <w:rPr>
          <w:rFonts w:ascii="Times New Roman" w:eastAsia="宋体" w:hAnsi="Times New Roman" w:cs="Times New Roman"/>
          <w:sz w:val="24"/>
          <w:szCs w:val="24"/>
        </w:rPr>
        <w:t xml:space="preserve"> we can obtain the elastic diffusion coefficient of the </w:t>
      </w:r>
      <w:r>
        <w:rPr>
          <w:rFonts w:ascii="Times New Roman" w:eastAsia="宋体" w:hAnsi="Times New Roman" w:cs="Times New Roman" w:hint="eastAsia"/>
          <w:sz w:val="24"/>
          <w:szCs w:val="24"/>
        </w:rPr>
        <w:t>hydro</w:t>
      </w:r>
      <w:r w:rsidRPr="003C0364">
        <w:rPr>
          <w:rFonts w:ascii="Times New Roman" w:eastAsia="宋体" w:hAnsi="Times New Roman" w:cs="Times New Roman"/>
          <w:sz w:val="24"/>
          <w:szCs w:val="24"/>
        </w:rPr>
        <w:t xml:space="preserve">gels </w:t>
      </w:r>
      <w:r>
        <w:rPr>
          <w:rFonts w:ascii="Times New Roman" w:eastAsia="宋体" w:hAnsi="Times New Roman" w:cs="Times New Roman" w:hint="eastAsia"/>
          <w:sz w:val="24"/>
          <w:szCs w:val="24"/>
        </w:rPr>
        <w:t>(</w:t>
      </w:r>
      <w:proofErr w:type="spellStart"/>
      <w:r w:rsidRPr="003C0364">
        <w:rPr>
          <w:rFonts w:ascii="Times New Roman" w:eastAsia="宋体" w:hAnsi="Times New Roman" w:cs="Times New Roman"/>
          <w:sz w:val="24"/>
          <w:szCs w:val="24"/>
        </w:rPr>
        <w:t>D</w:t>
      </w:r>
      <w:r w:rsidRPr="003C0364">
        <w:rPr>
          <w:rFonts w:ascii="Times New Roman" w:eastAsia="宋体" w:hAnsi="Times New Roman" w:cs="Times New Roman"/>
          <w:sz w:val="24"/>
          <w:szCs w:val="24"/>
          <w:vertAlign w:val="subscript"/>
        </w:rPr>
        <w:t>gel</w:t>
      </w:r>
      <w:proofErr w:type="spellEnd"/>
      <w:r>
        <w:rPr>
          <w:rFonts w:ascii="Times New Roman" w:eastAsia="宋体" w:hAnsi="Times New Roman" w:cs="Times New Roman" w:hint="eastAsia"/>
          <w:sz w:val="24"/>
          <w:szCs w:val="24"/>
        </w:rPr>
        <w:t>)</w:t>
      </w:r>
      <w:r w:rsidRPr="003C0364">
        <w:rPr>
          <w:rFonts w:ascii="Times New Roman" w:eastAsia="宋体" w:hAnsi="Times New Roman" w:cs="Times New Roman"/>
          <w:sz w:val="24"/>
          <w:szCs w:val="24"/>
        </w:rPr>
        <w:t xml:space="preserve">. Besides, </w:t>
      </w:r>
      <w:proofErr w:type="spellStart"/>
      <w:r w:rsidRPr="003C0364">
        <w:rPr>
          <w:rFonts w:ascii="Times New Roman" w:eastAsia="宋体" w:hAnsi="Times New Roman" w:cs="Times New Roman"/>
          <w:sz w:val="24"/>
          <w:szCs w:val="24"/>
        </w:rPr>
        <w:t>D</w:t>
      </w:r>
      <w:r w:rsidRPr="003C0364">
        <w:rPr>
          <w:rFonts w:ascii="Times New Roman" w:eastAsia="宋体" w:hAnsi="Times New Roman" w:cs="Times New Roman"/>
          <w:sz w:val="24"/>
          <w:szCs w:val="24"/>
          <w:vertAlign w:val="subscript"/>
        </w:rPr>
        <w:t>gel</w:t>
      </w:r>
      <w:proofErr w:type="spellEnd"/>
      <w:r w:rsidRPr="003C0364">
        <w:rPr>
          <w:rFonts w:ascii="Times New Roman" w:eastAsia="宋体" w:hAnsi="Times New Roman" w:cs="Times New Roman"/>
          <w:sz w:val="24"/>
          <w:szCs w:val="24"/>
        </w:rPr>
        <w:t xml:space="preserve"> can also be interpreted as the cooperative diffusion coefficient related to the dynamic correlation length of concentration fluctuations of the </w:t>
      </w:r>
      <w:r>
        <w:rPr>
          <w:rFonts w:ascii="Times New Roman" w:eastAsia="宋体" w:hAnsi="Times New Roman" w:cs="Times New Roman" w:hint="eastAsia"/>
          <w:sz w:val="24"/>
          <w:szCs w:val="24"/>
        </w:rPr>
        <w:t>hydro</w:t>
      </w:r>
      <w:r w:rsidRPr="003C0364">
        <w:rPr>
          <w:rFonts w:ascii="Times New Roman" w:eastAsia="宋体" w:hAnsi="Times New Roman" w:cs="Times New Roman"/>
          <w:sz w:val="24"/>
          <w:szCs w:val="24"/>
        </w:rPr>
        <w:t xml:space="preserve">gel, analogous to that in the </w:t>
      </w:r>
      <w:proofErr w:type="spellStart"/>
      <w:r w:rsidRPr="003C0364">
        <w:rPr>
          <w:rFonts w:ascii="Times New Roman" w:eastAsia="宋体" w:hAnsi="Times New Roman" w:cs="Times New Roman"/>
          <w:sz w:val="24"/>
          <w:szCs w:val="24"/>
        </w:rPr>
        <w:t>semidilute</w:t>
      </w:r>
      <w:proofErr w:type="spellEnd"/>
      <w:r w:rsidRPr="003C0364">
        <w:rPr>
          <w:rFonts w:ascii="Times New Roman" w:eastAsia="宋体" w:hAnsi="Times New Roman" w:cs="Times New Roman"/>
          <w:sz w:val="24"/>
          <w:szCs w:val="24"/>
        </w:rPr>
        <w:t xml:space="preserve"> solutions. So </w:t>
      </w:r>
      <w:proofErr w:type="spellStart"/>
      <w:r w:rsidRPr="003C0364">
        <w:rPr>
          <w:rFonts w:ascii="Times New Roman" w:eastAsia="宋体" w:hAnsi="Times New Roman" w:cs="Times New Roman"/>
          <w:sz w:val="24"/>
          <w:szCs w:val="24"/>
        </w:rPr>
        <w:t>D</w:t>
      </w:r>
      <w:r w:rsidRPr="003C0364">
        <w:rPr>
          <w:rFonts w:ascii="Times New Roman" w:eastAsia="宋体" w:hAnsi="Times New Roman" w:cs="Times New Roman"/>
          <w:sz w:val="24"/>
          <w:szCs w:val="24"/>
          <w:vertAlign w:val="subscript"/>
        </w:rPr>
        <w:t>gel</w:t>
      </w:r>
      <w:proofErr w:type="spellEnd"/>
      <w:r w:rsidRPr="003C0364">
        <w:rPr>
          <w:rFonts w:ascii="Times New Roman" w:eastAsia="宋体" w:hAnsi="Times New Roman" w:cs="Times New Roman"/>
          <w:sz w:val="24"/>
          <w:szCs w:val="24"/>
        </w:rPr>
        <w:t xml:space="preserve"> can be converted to the dynamic correlation length </w:t>
      </w:r>
      <w:proofErr w:type="spellStart"/>
      <w:r w:rsidRPr="003C0364">
        <w:rPr>
          <w:rFonts w:ascii="Times New Roman" w:eastAsia="宋体" w:hAnsi="Times New Roman" w:cs="Times New Roman"/>
          <w:sz w:val="24"/>
          <w:szCs w:val="24"/>
        </w:rPr>
        <w:t>ξ</w:t>
      </w:r>
      <w:r w:rsidRPr="003C0364">
        <w:rPr>
          <w:rFonts w:ascii="Times New Roman" w:eastAsia="宋体" w:hAnsi="Times New Roman" w:cs="Times New Roman"/>
          <w:sz w:val="24"/>
          <w:szCs w:val="24"/>
          <w:vertAlign w:val="subscript"/>
        </w:rPr>
        <w:t>dynamic</w:t>
      </w:r>
      <w:proofErr w:type="spellEnd"/>
      <w:r w:rsidRPr="003C0364">
        <w:rPr>
          <w:rFonts w:ascii="Times New Roman" w:eastAsia="宋体" w:hAnsi="Times New Roman" w:cs="Times New Roman"/>
          <w:sz w:val="24"/>
          <w:szCs w:val="24"/>
        </w:rPr>
        <w:t xml:space="preserve"> by </w:t>
      </w:r>
      <w:proofErr w:type="spellStart"/>
      <w:r w:rsidRPr="003C0364">
        <w:rPr>
          <w:rFonts w:ascii="Times New Roman" w:eastAsia="宋体" w:hAnsi="Times New Roman" w:cs="Times New Roman"/>
          <w:sz w:val="24"/>
          <w:szCs w:val="24"/>
        </w:rPr>
        <w:t>ξ</w:t>
      </w:r>
      <w:r w:rsidRPr="003C0364">
        <w:rPr>
          <w:rFonts w:ascii="Times New Roman" w:eastAsia="宋体" w:hAnsi="Times New Roman" w:cs="Times New Roman"/>
          <w:sz w:val="24"/>
          <w:szCs w:val="24"/>
          <w:vertAlign w:val="subscript"/>
        </w:rPr>
        <w:t>dynamic</w:t>
      </w:r>
      <w:proofErr w:type="spellEnd"/>
      <w:r w:rsidRPr="003C0364">
        <w:rPr>
          <w:rFonts w:ascii="Times New Roman" w:eastAsia="宋体" w:hAnsi="Times New Roman" w:cs="Times New Roman"/>
          <w:sz w:val="24"/>
          <w:szCs w:val="24"/>
        </w:rPr>
        <w:t>=</w:t>
      </w:r>
      <w:proofErr w:type="spellStart"/>
      <w:r w:rsidRPr="003C0364">
        <w:rPr>
          <w:rFonts w:ascii="Times New Roman" w:eastAsia="宋体" w:hAnsi="Times New Roman" w:cs="Times New Roman"/>
          <w:sz w:val="24"/>
          <w:szCs w:val="24"/>
        </w:rPr>
        <w:t>k</w:t>
      </w:r>
      <w:r w:rsidRPr="003C0364">
        <w:rPr>
          <w:rFonts w:ascii="Times New Roman" w:eastAsia="宋体" w:hAnsi="Times New Roman" w:cs="Times New Roman"/>
          <w:sz w:val="24"/>
          <w:szCs w:val="24"/>
          <w:vertAlign w:val="subscript"/>
        </w:rPr>
        <w:t>B</w:t>
      </w:r>
      <w:r w:rsidRPr="003C0364">
        <w:rPr>
          <w:rFonts w:ascii="Times New Roman" w:eastAsia="宋体" w:hAnsi="Times New Roman" w:cs="Times New Roman"/>
          <w:sz w:val="24"/>
          <w:szCs w:val="24"/>
        </w:rPr>
        <w:t>T</w:t>
      </w:r>
      <w:proofErr w:type="spellEnd"/>
      <w:r w:rsidRPr="003C0364">
        <w:rPr>
          <w:rFonts w:ascii="Times New Roman" w:eastAsia="宋体" w:hAnsi="Times New Roman" w:cs="Times New Roman"/>
          <w:sz w:val="24"/>
          <w:szCs w:val="24"/>
        </w:rPr>
        <w:t>/6π</w:t>
      </w:r>
      <w:proofErr w:type="spellStart"/>
      <w:r w:rsidRPr="003C0364">
        <w:rPr>
          <w:rFonts w:ascii="Times New Roman" w:eastAsia="宋体" w:hAnsi="Times New Roman" w:cs="Times New Roman"/>
          <w:sz w:val="24"/>
          <w:szCs w:val="24"/>
        </w:rPr>
        <w:t>ηD</w:t>
      </w:r>
      <w:r w:rsidRPr="003C0364">
        <w:rPr>
          <w:rFonts w:ascii="Times New Roman" w:eastAsia="宋体" w:hAnsi="Times New Roman" w:cs="Times New Roman"/>
          <w:sz w:val="24"/>
          <w:szCs w:val="24"/>
          <w:vertAlign w:val="subscript"/>
        </w:rPr>
        <w:t>gel</w:t>
      </w:r>
      <w:proofErr w:type="spellEnd"/>
      <w:r w:rsidRPr="003C0364">
        <w:rPr>
          <w:rFonts w:ascii="Times New Roman" w:eastAsia="宋体" w:hAnsi="Times New Roman" w:cs="Times New Roman"/>
          <w:sz w:val="24"/>
          <w:szCs w:val="24"/>
        </w:rPr>
        <w:t xml:space="preserve"> (with k</w:t>
      </w:r>
      <w:r w:rsidRPr="003C0364">
        <w:rPr>
          <w:rFonts w:ascii="Times New Roman" w:eastAsia="宋体" w:hAnsi="Times New Roman" w:cs="Times New Roman"/>
          <w:sz w:val="24"/>
          <w:szCs w:val="24"/>
          <w:vertAlign w:val="subscript"/>
        </w:rPr>
        <w:t>B</w:t>
      </w:r>
      <w:r w:rsidRPr="003C0364">
        <w:rPr>
          <w:rFonts w:ascii="Times New Roman" w:eastAsia="宋体" w:hAnsi="Times New Roman" w:cs="Times New Roman"/>
          <w:sz w:val="24"/>
          <w:szCs w:val="24"/>
        </w:rPr>
        <w:t>, T, and η are the Boltzmann constant, the absolute temperature, and the solvent viscosity, respectively).</w:t>
      </w:r>
    </w:p>
    <w:p w14:paraId="30BAF333" w14:textId="77777777" w:rsidR="003C0364" w:rsidRPr="0008705C" w:rsidRDefault="003C0364" w:rsidP="005E6F8D">
      <w:pPr>
        <w:spacing w:line="480" w:lineRule="auto"/>
        <w:rPr>
          <w:rFonts w:ascii="Times New Roman" w:eastAsia="宋体" w:hAnsi="Times New Roman" w:cs="Times New Roman"/>
          <w:sz w:val="24"/>
          <w:szCs w:val="24"/>
        </w:rPr>
      </w:pPr>
    </w:p>
    <w:p w14:paraId="7D3DADE9" w14:textId="31E8315B"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33BA421B" wp14:editId="0B86DBAE">
            <wp:extent cx="2160000" cy="1745736"/>
            <wp:effectExtent l="0" t="0" r="0" b="6985"/>
            <wp:docPr id="9977266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60000" cy="1745736"/>
                    </a:xfrm>
                    <a:prstGeom prst="rect">
                      <a:avLst/>
                    </a:prstGeom>
                    <a:noFill/>
                    <a:ln>
                      <a:noFill/>
                    </a:ln>
                  </pic:spPr>
                </pic:pic>
              </a:graphicData>
            </a:graphic>
          </wp:inline>
        </w:drawing>
      </w:r>
    </w:p>
    <w:p w14:paraId="4245D0E2" w14:textId="76DDC75A"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08705C">
        <w:rPr>
          <w:rFonts w:ascii="Times New Roman" w:eastAsia="宋体" w:hAnsi="Times New Roman" w:cs="Times New Roman" w:hint="eastAsia"/>
          <w:b/>
          <w:bCs/>
          <w:sz w:val="24"/>
          <w:szCs w:val="24"/>
        </w:rPr>
        <w:t>10</w:t>
      </w:r>
      <w:r>
        <w:rPr>
          <w:rFonts w:ascii="Times New Roman" w:eastAsia="宋体" w:hAnsi="Times New Roman" w:cs="Times New Roman"/>
          <w:b/>
          <w:bCs/>
          <w:sz w:val="24"/>
          <w:szCs w:val="24"/>
        </w:rPr>
        <w:t>.</w:t>
      </w:r>
      <w:r>
        <w:rPr>
          <w:rFonts w:ascii="Times New Roman" w:hAnsi="Times New Roman" w:cs="Times New Roman"/>
        </w:rPr>
        <w:t xml:space="preserve"> </w:t>
      </w:r>
      <w:r>
        <w:rPr>
          <w:rFonts w:ascii="Times New Roman" w:eastAsia="宋体" w:hAnsi="Times New Roman" w:cs="Times New Roman"/>
          <w:sz w:val="24"/>
          <w:szCs w:val="24"/>
        </w:rPr>
        <w:t>Creep test data of hydrogels with different concentrations.</w:t>
      </w:r>
    </w:p>
    <w:p w14:paraId="0B6B5714"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The degree of elastic-plastic </w:t>
      </w:r>
      <w:proofErr w:type="spellStart"/>
      <w:r>
        <w:rPr>
          <w:rFonts w:ascii="Times New Roman" w:eastAsia="宋体" w:hAnsi="Times New Roman" w:cs="Times New Roman"/>
          <w:sz w:val="24"/>
          <w:szCs w:val="24"/>
        </w:rPr>
        <w:t>behaviour</w:t>
      </w:r>
      <w:proofErr w:type="spellEnd"/>
      <w:r>
        <w:rPr>
          <w:rFonts w:ascii="Times New Roman" w:eastAsia="宋体" w:hAnsi="Times New Roman" w:cs="Times New Roman"/>
          <w:sz w:val="24"/>
          <w:szCs w:val="24"/>
        </w:rPr>
        <w:t xml:space="preserve"> in the PSM gels can be quantified through rheological tests conducted in creep mode. Two stress regions were established, i.e., the pressure region (10 Pa - 900 s) and the recovery region (0 Pa - 900 s), to characterize the creep process of the gel. These designed regions encompass material states such as rapid elastic deformation, hysteretic elastic deformation, recoverable elastic deformation, and nonrecoverable plastic deformation. With increasing polymer concentration, the maximum strain in the pressure region significantly decreases, from 346% at </w:t>
      </w:r>
      <w:r>
        <w:rPr>
          <w:rFonts w:ascii="Times New Roman" w:eastAsia="宋体" w:hAnsi="Times New Roman" w:cs="Times New Roman"/>
          <w:i/>
          <w:iCs/>
          <w:sz w:val="24"/>
          <w:szCs w:val="24"/>
        </w:rPr>
        <w:t>c</w:t>
      </w:r>
      <w:r>
        <w:rPr>
          <w:rFonts w:ascii="Times New Roman" w:eastAsia="宋体" w:hAnsi="Times New Roman" w:cs="Times New Roman"/>
          <w:sz w:val="24"/>
          <w:szCs w:val="24"/>
        </w:rPr>
        <w:t xml:space="preserve"> = 2M to 0.4% at </w:t>
      </w:r>
      <w:r>
        <w:rPr>
          <w:rFonts w:ascii="Times New Roman" w:eastAsia="宋体" w:hAnsi="Times New Roman" w:cs="Times New Roman"/>
          <w:i/>
          <w:iCs/>
          <w:sz w:val="24"/>
          <w:szCs w:val="24"/>
        </w:rPr>
        <w:t>c</w:t>
      </w:r>
      <w:r>
        <w:rPr>
          <w:rFonts w:ascii="Times New Roman" w:eastAsia="宋体" w:hAnsi="Times New Roman" w:cs="Times New Roman"/>
          <w:sz w:val="24"/>
          <w:szCs w:val="24"/>
        </w:rPr>
        <w:t xml:space="preserve"> = 6M, indicating that the molecular chains at higher concentrations exhibit reduced mobility. The creep curve was further normalized. For the plastic gel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the deformation rate in the pressure region is relatively slow, with most of the deformation being irrecoverable. The elastic ratio is only 6%, and 98% of the elasticity corresponds to stagnant elasticity, which depends on the high degree of freedom within the molecular chain network. For the elastic gel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the proportion of rapid elastic deformation in the initial stage reaches 90%, approximately 58% of which represents ideal elasticity. Low stress levels are insufficient to disrupt the stable structure formed by high-concentration chain entanglements.</w:t>
      </w:r>
    </w:p>
    <w:p w14:paraId="2FF8601A" w14:textId="77777777" w:rsidR="00155631" w:rsidRDefault="00155631" w:rsidP="005E6F8D">
      <w:pPr>
        <w:spacing w:line="480" w:lineRule="auto"/>
        <w:rPr>
          <w:rFonts w:ascii="Times New Roman" w:eastAsia="宋体" w:hAnsi="Times New Roman" w:cs="Times New Roman"/>
          <w:sz w:val="24"/>
          <w:szCs w:val="24"/>
        </w:rPr>
      </w:pPr>
    </w:p>
    <w:p w14:paraId="668B8402" w14:textId="6325E87D"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4054E27F" wp14:editId="1381E8DF">
            <wp:extent cx="2160000" cy="1772001"/>
            <wp:effectExtent l="0" t="0" r="0" b="0"/>
            <wp:docPr id="158612840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60000" cy="1772001"/>
                    </a:xfrm>
                    <a:prstGeom prst="rect">
                      <a:avLst/>
                    </a:prstGeom>
                    <a:noFill/>
                    <a:ln>
                      <a:noFill/>
                    </a:ln>
                  </pic:spPr>
                </pic:pic>
              </a:graphicData>
            </a:graphic>
          </wp:inline>
        </w:drawing>
      </w:r>
    </w:p>
    <w:p w14:paraId="11543445" w14:textId="470C5394"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08705C">
        <w:rPr>
          <w:rFonts w:ascii="Times New Roman" w:eastAsia="宋体" w:hAnsi="Times New Roman" w:cs="Times New Roman" w:hint="eastAsia"/>
          <w:b/>
          <w:bCs/>
          <w:sz w:val="24"/>
          <w:szCs w:val="24"/>
        </w:rPr>
        <w:t>11</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Initial strain values and concentration-dependent curves of hydrogels with varying concentrations (2~7 M) under creep test conditions.</w:t>
      </w:r>
    </w:p>
    <w:p w14:paraId="6665F1FD" w14:textId="77777777" w:rsidR="00155631" w:rsidRDefault="00155631" w:rsidP="005E6F8D">
      <w:pPr>
        <w:spacing w:line="480" w:lineRule="auto"/>
        <w:rPr>
          <w:rFonts w:ascii="Times New Roman" w:eastAsia="宋体" w:hAnsi="Times New Roman" w:cs="Times New Roman"/>
          <w:sz w:val="24"/>
          <w:szCs w:val="24"/>
        </w:rPr>
      </w:pPr>
    </w:p>
    <w:p w14:paraId="70015637" w14:textId="3F24F161"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074CE332" wp14:editId="2BB4972F">
            <wp:extent cx="2160000" cy="1743135"/>
            <wp:effectExtent l="0" t="0" r="0" b="0"/>
            <wp:docPr id="17936878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60000" cy="1743135"/>
                    </a:xfrm>
                    <a:prstGeom prst="rect">
                      <a:avLst/>
                    </a:prstGeom>
                    <a:noFill/>
                    <a:ln>
                      <a:noFill/>
                    </a:ln>
                  </pic:spPr>
                </pic:pic>
              </a:graphicData>
            </a:graphic>
          </wp:inline>
        </w:drawing>
      </w:r>
    </w:p>
    <w:p w14:paraId="7E557DFA" w14:textId="56BB38CB"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08705C">
        <w:rPr>
          <w:rFonts w:ascii="Times New Roman" w:eastAsia="宋体" w:hAnsi="Times New Roman" w:cs="Times New Roman" w:hint="eastAsia"/>
          <w:b/>
          <w:bCs/>
          <w:sz w:val="24"/>
          <w:szCs w:val="24"/>
        </w:rPr>
        <w:t>12</w:t>
      </w:r>
      <w:r>
        <w:rPr>
          <w:rFonts w:ascii="Times New Roman" w:eastAsia="宋体" w:hAnsi="Times New Roman" w:cs="Times New Roman"/>
          <w:b/>
          <w:bCs/>
          <w:sz w:val="24"/>
          <w:szCs w:val="24"/>
        </w:rPr>
        <w:t>.</w:t>
      </w:r>
      <w:r>
        <w:rPr>
          <w:rFonts w:ascii="Times New Roman" w:hAnsi="Times New Roman" w:cs="Times New Roman"/>
        </w:rPr>
        <w:t xml:space="preserve"> </w:t>
      </w:r>
      <w:r>
        <w:rPr>
          <w:rFonts w:ascii="Times New Roman" w:eastAsia="宋体" w:hAnsi="Times New Roman" w:cs="Times New Roman"/>
          <w:sz w:val="24"/>
          <w:szCs w:val="24"/>
        </w:rPr>
        <w:t>Quantitative statistics of the elastic proportion of the hydrogels and concentration-related fitting.</w:t>
      </w:r>
    </w:p>
    <w:p w14:paraId="30CEE5B8" w14:textId="77777777" w:rsidR="00155631" w:rsidRDefault="00155631" w:rsidP="005E6F8D">
      <w:pPr>
        <w:spacing w:line="480" w:lineRule="auto"/>
        <w:rPr>
          <w:rFonts w:ascii="Times New Roman" w:hAnsi="Times New Roman" w:cs="Times New Roman"/>
          <w:sz w:val="24"/>
          <w:szCs w:val="24"/>
        </w:rPr>
      </w:pPr>
    </w:p>
    <w:p w14:paraId="0C4F8E1A" w14:textId="123F0397"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16797F57" wp14:editId="4E16EB05">
            <wp:extent cx="2160000" cy="1766800"/>
            <wp:effectExtent l="0" t="0" r="0" b="5080"/>
            <wp:docPr id="2014286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60000" cy="1766800"/>
                    </a:xfrm>
                    <a:prstGeom prst="rect">
                      <a:avLst/>
                    </a:prstGeom>
                    <a:noFill/>
                    <a:ln>
                      <a:noFill/>
                    </a:ln>
                  </pic:spPr>
                </pic:pic>
              </a:graphicData>
            </a:graphic>
          </wp:inline>
        </w:drawing>
      </w:r>
    </w:p>
    <w:p w14:paraId="630B2F25" w14:textId="024FC5A3"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E934FF">
        <w:rPr>
          <w:rFonts w:ascii="Times New Roman" w:eastAsia="宋体" w:hAnsi="Times New Roman" w:cs="Times New Roman" w:hint="eastAsia"/>
          <w:b/>
          <w:bCs/>
          <w:sz w:val="24"/>
          <w:szCs w:val="24"/>
        </w:rPr>
        <w:t>13</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Ideal elastic ratio values and concentration-dependent fitting curves of hydrogels with varying concentrations (2~7 M) derived from creep test </w:t>
      </w:r>
      <w:r>
        <w:rPr>
          <w:rFonts w:ascii="Times New Roman" w:eastAsia="宋体" w:hAnsi="Times New Roman" w:cs="Times New Roman"/>
          <w:sz w:val="24"/>
          <w:szCs w:val="24"/>
        </w:rPr>
        <w:lastRenderedPageBreak/>
        <w:t>data.</w:t>
      </w:r>
    </w:p>
    <w:p w14:paraId="3F1C8505" w14:textId="77777777" w:rsidR="00155631" w:rsidRDefault="00155631" w:rsidP="005E6F8D">
      <w:pPr>
        <w:spacing w:line="480" w:lineRule="auto"/>
        <w:rPr>
          <w:rFonts w:ascii="Times New Roman" w:eastAsia="宋体" w:hAnsi="Times New Roman" w:cs="Times New Roman"/>
          <w:sz w:val="24"/>
          <w:szCs w:val="24"/>
        </w:rPr>
      </w:pPr>
    </w:p>
    <w:p w14:paraId="4427DDD8" w14:textId="1EEBD7CE"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58C2B0FB" wp14:editId="400C8166">
            <wp:extent cx="2160000" cy="1760559"/>
            <wp:effectExtent l="0" t="0" r="0" b="0"/>
            <wp:docPr id="20429330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60000" cy="1760559"/>
                    </a:xfrm>
                    <a:prstGeom prst="rect">
                      <a:avLst/>
                    </a:prstGeom>
                    <a:noFill/>
                    <a:ln>
                      <a:noFill/>
                    </a:ln>
                  </pic:spPr>
                </pic:pic>
              </a:graphicData>
            </a:graphic>
          </wp:inline>
        </w:drawing>
      </w:r>
    </w:p>
    <w:p w14:paraId="487676D1" w14:textId="5B794107"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1</w:t>
      </w:r>
      <w:r w:rsidR="00E934FF">
        <w:rPr>
          <w:rFonts w:ascii="Times New Roman" w:eastAsia="宋体" w:hAnsi="Times New Roman" w:cs="Times New Roman" w:hint="eastAsia"/>
          <w:b/>
          <w:bCs/>
          <w:sz w:val="24"/>
          <w:szCs w:val="24"/>
        </w:rPr>
        <w:t>4</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Stress relaxation test data of hydrogels with different concentrations.</w:t>
      </w:r>
    </w:p>
    <w:p w14:paraId="03B9177B"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To a certain extent, stress relaxation reflects the entanglement characteristics of molecular chains. Through rheological tests conducted under stress relaxation mode, we quantitatively assessed the relaxation </w:t>
      </w:r>
      <w:proofErr w:type="spellStart"/>
      <w:r>
        <w:rPr>
          <w:rFonts w:ascii="Times New Roman" w:eastAsia="宋体" w:hAnsi="Times New Roman" w:cs="Times New Roman"/>
          <w:sz w:val="24"/>
          <w:szCs w:val="24"/>
        </w:rPr>
        <w:t>behaviour</w:t>
      </w:r>
      <w:proofErr w:type="spellEnd"/>
      <w:r>
        <w:rPr>
          <w:rFonts w:ascii="Times New Roman" w:eastAsia="宋体" w:hAnsi="Times New Roman" w:cs="Times New Roman"/>
          <w:sz w:val="24"/>
          <w:szCs w:val="24"/>
        </w:rPr>
        <w:t xml:space="preserve"> of the polymer chains. Under the same strain (γ = 5%), the initial stress required by the elastic gel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is significantly greater, approximately 290 Pa, whereas that of the plastic gel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is only 1.9 Pa. The normalized relaxation curve reveals that the plastic gel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exhibits rapid stress relaxation, with the stress decreasing to nearly zero within 300 s. Its relaxation interval is short, with half-relaxation time τ</w:t>
      </w:r>
      <w:r>
        <w:rPr>
          <w:rFonts w:ascii="Times New Roman" w:eastAsia="宋体" w:hAnsi="Times New Roman" w:cs="Times New Roman"/>
          <w:sz w:val="24"/>
          <w:szCs w:val="24"/>
          <w:vertAlign w:val="subscript"/>
        </w:rPr>
        <w:t>1/2</w:t>
      </w:r>
      <w:r>
        <w:rPr>
          <w:rFonts w:ascii="Times New Roman" w:eastAsia="宋体" w:hAnsi="Times New Roman" w:cs="Times New Roman"/>
          <w:sz w:val="24"/>
          <w:szCs w:val="24"/>
        </w:rPr>
        <w:t xml:space="preserve"> ≈ 22 s. In contrast, the elastic gel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demonstrates a long relaxation interval, with τ</w:t>
      </w:r>
      <w:r>
        <w:rPr>
          <w:rFonts w:ascii="Times New Roman" w:eastAsia="宋体" w:hAnsi="Times New Roman" w:cs="Times New Roman"/>
          <w:sz w:val="24"/>
          <w:szCs w:val="24"/>
          <w:vertAlign w:val="subscript"/>
        </w:rPr>
        <w:t>1/2</w:t>
      </w:r>
      <w:r>
        <w:rPr>
          <w:rFonts w:ascii="Times New Roman" w:eastAsia="宋体" w:hAnsi="Times New Roman" w:cs="Times New Roman"/>
          <w:sz w:val="24"/>
          <w:szCs w:val="24"/>
        </w:rPr>
        <w:t xml:space="preserve"> ≈ 976 s, which is comparable to that of conventional hydrogels (e.g., chemically crosslinked polyacrylamide gels), indicating highly elastic characteristics. Under an external force, the elastic gel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requires a longer time to achieve conformational transformations to adapt to the applied force, and this process is predominantly elastic deformation. Conversely, the plastic gel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can more rapidly transition to another </w:t>
      </w:r>
      <w:r>
        <w:rPr>
          <w:rFonts w:ascii="Times New Roman" w:eastAsia="宋体" w:hAnsi="Times New Roman" w:cs="Times New Roman"/>
          <w:sz w:val="24"/>
          <w:szCs w:val="24"/>
        </w:rPr>
        <w:lastRenderedPageBreak/>
        <w:t>equilibrium state via plastic deformation and complete the relaxation process. Furthermore, when the degree of entanglement is sufficiently high, similar to a crosslinked network, the stress cannot be fully relaxed to zero. The Maxwell stress relaxation model was employed for fitting, and the relaxation times were statistically calculated on the basis of both experimental and theoretical data. The results indicate that the obtained model curve is highly consistent with the experimental curve and that the relaxation time is an exponential function (τ</w:t>
      </w:r>
      <w:r>
        <w:rPr>
          <w:rFonts w:ascii="Times New Roman" w:eastAsia="宋体" w:hAnsi="Times New Roman" w:cs="Times New Roman"/>
          <w:sz w:val="24"/>
          <w:szCs w:val="24"/>
          <w:vertAlign w:val="subscript"/>
        </w:rPr>
        <w:t>1/2</w:t>
      </w:r>
      <w:r>
        <w:rPr>
          <w:rFonts w:ascii="Times New Roman" w:eastAsia="宋体" w:hAnsi="Times New Roman" w:cs="Times New Roman"/>
          <w:sz w:val="24"/>
          <w:szCs w:val="24"/>
        </w:rPr>
        <w:t xml:space="preserve"> - </w:t>
      </w:r>
      <w:r>
        <w:rPr>
          <w:rFonts w:ascii="Times New Roman" w:eastAsia="宋体" w:hAnsi="Times New Roman" w:cs="Times New Roman"/>
          <w:i/>
          <w:iCs/>
          <w:sz w:val="24"/>
          <w:szCs w:val="24"/>
        </w:rPr>
        <w:t>c</w:t>
      </w:r>
      <w:r>
        <w:rPr>
          <w:rFonts w:ascii="Times New Roman" w:eastAsia="宋体" w:hAnsi="Times New Roman" w:cs="Times New Roman"/>
          <w:sz w:val="24"/>
          <w:szCs w:val="24"/>
          <w:vertAlign w:val="superscript"/>
        </w:rPr>
        <w:t>4</w:t>
      </w:r>
      <w:r>
        <w:rPr>
          <w:rFonts w:ascii="Times New Roman" w:eastAsia="宋体" w:hAnsi="Times New Roman" w:cs="Times New Roman"/>
          <w:sz w:val="24"/>
          <w:szCs w:val="24"/>
        </w:rPr>
        <w:t xml:space="preserve">) of the PSM polymer concentration. This result suggests that the model can be utilized to design and predict the deformation and stress distribution laws of PSM under external forces across a wide range of concentrations. Based on the above analysis, we have demonstrated that PSM hydrogels possess adjustable properties ranging from </w:t>
      </w:r>
      <w:proofErr w:type="spellStart"/>
      <w:r>
        <w:rPr>
          <w:rFonts w:ascii="Times New Roman" w:eastAsia="宋体" w:hAnsi="Times New Roman" w:cs="Times New Roman"/>
          <w:sz w:val="24"/>
          <w:szCs w:val="24"/>
        </w:rPr>
        <w:t>superplasticity</w:t>
      </w:r>
      <w:proofErr w:type="spellEnd"/>
      <w:r>
        <w:rPr>
          <w:rFonts w:ascii="Times New Roman" w:eastAsia="宋体" w:hAnsi="Times New Roman" w:cs="Times New Roman"/>
          <w:sz w:val="24"/>
          <w:szCs w:val="24"/>
        </w:rPr>
        <w:t xml:space="preserve"> to </w:t>
      </w:r>
      <w:proofErr w:type="spellStart"/>
      <w:r>
        <w:rPr>
          <w:rFonts w:ascii="Times New Roman" w:eastAsia="宋体" w:hAnsi="Times New Roman" w:cs="Times New Roman"/>
          <w:sz w:val="24"/>
          <w:szCs w:val="24"/>
        </w:rPr>
        <w:t>hyperelasticity</w:t>
      </w:r>
      <w:proofErr w:type="spellEnd"/>
      <w:r>
        <w:rPr>
          <w:rFonts w:ascii="Times New Roman" w:eastAsia="宋体" w:hAnsi="Times New Roman" w:cs="Times New Roman"/>
          <w:sz w:val="24"/>
          <w:szCs w:val="24"/>
        </w:rPr>
        <w:t>.</w:t>
      </w:r>
    </w:p>
    <w:p w14:paraId="6EC67E35" w14:textId="77777777" w:rsidR="00155631" w:rsidRDefault="00155631" w:rsidP="005E6F8D">
      <w:pPr>
        <w:spacing w:line="480" w:lineRule="auto"/>
        <w:rPr>
          <w:rFonts w:ascii="Times New Roman" w:eastAsia="宋体" w:hAnsi="Times New Roman" w:cs="Times New Roman"/>
          <w:sz w:val="24"/>
          <w:szCs w:val="24"/>
        </w:rPr>
      </w:pPr>
    </w:p>
    <w:p w14:paraId="4FE49DC1" w14:textId="50E5720E"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0D55725C" wp14:editId="2210DCC9">
            <wp:extent cx="2160000" cy="1800607"/>
            <wp:effectExtent l="0" t="0" r="0" b="9525"/>
            <wp:docPr id="96458107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60000" cy="1800607"/>
                    </a:xfrm>
                    <a:prstGeom prst="rect">
                      <a:avLst/>
                    </a:prstGeom>
                    <a:noFill/>
                    <a:ln>
                      <a:noFill/>
                    </a:ln>
                  </pic:spPr>
                </pic:pic>
              </a:graphicData>
            </a:graphic>
          </wp:inline>
        </w:drawing>
      </w:r>
    </w:p>
    <w:p w14:paraId="1084E18A" w14:textId="5C8639DE"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1</w:t>
      </w:r>
      <w:r w:rsidR="00E934FF">
        <w:rPr>
          <w:rFonts w:ascii="Times New Roman" w:eastAsia="宋体" w:hAnsi="Times New Roman" w:cs="Times New Roman" w:hint="eastAsia"/>
          <w:b/>
          <w:bCs/>
          <w:sz w:val="24"/>
          <w:szCs w:val="24"/>
        </w:rPr>
        <w:t>5</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Initial stress values and concentration-dependent curves of hydrogels with varying concentrations (2~7 M) under stress relaxation test conditions.</w:t>
      </w:r>
    </w:p>
    <w:p w14:paraId="54CD183D" w14:textId="77777777" w:rsidR="00155631" w:rsidRDefault="00155631" w:rsidP="005E6F8D">
      <w:pPr>
        <w:spacing w:line="480" w:lineRule="auto"/>
        <w:rPr>
          <w:rFonts w:ascii="Times New Roman" w:eastAsia="宋体" w:hAnsi="Times New Roman" w:cs="Times New Roman"/>
          <w:sz w:val="24"/>
          <w:szCs w:val="24"/>
        </w:rPr>
      </w:pPr>
    </w:p>
    <w:p w14:paraId="5B27C356" w14:textId="37AEFF7F"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lastRenderedPageBreak/>
        <w:drawing>
          <wp:inline distT="0" distB="0" distL="0" distR="0" wp14:anchorId="4F8C8B6B" wp14:editId="5DCD715E">
            <wp:extent cx="2160000" cy="1699446"/>
            <wp:effectExtent l="0" t="0" r="0" b="0"/>
            <wp:docPr id="16453144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60000" cy="1699446"/>
                    </a:xfrm>
                    <a:prstGeom prst="rect">
                      <a:avLst/>
                    </a:prstGeom>
                    <a:noFill/>
                    <a:ln>
                      <a:noFill/>
                    </a:ln>
                  </pic:spPr>
                </pic:pic>
              </a:graphicData>
            </a:graphic>
          </wp:inline>
        </w:drawing>
      </w:r>
    </w:p>
    <w:p w14:paraId="1F7D98A7" w14:textId="72769D34"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1</w:t>
      </w:r>
      <w:r w:rsidR="00E934FF">
        <w:rPr>
          <w:rFonts w:ascii="Times New Roman" w:eastAsia="宋体" w:hAnsi="Times New Roman" w:cs="Times New Roman" w:hint="eastAsia"/>
          <w:b/>
          <w:bCs/>
          <w:sz w:val="24"/>
          <w:szCs w:val="24"/>
        </w:rPr>
        <w:t>6</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Quantitative statistics of the stress relaxation time of the hydrogels and concentration-related fitting.</w:t>
      </w:r>
    </w:p>
    <w:p w14:paraId="3056136A" w14:textId="77777777" w:rsidR="00155631" w:rsidRDefault="00155631" w:rsidP="005E6F8D">
      <w:pPr>
        <w:spacing w:line="480" w:lineRule="auto"/>
        <w:rPr>
          <w:rFonts w:ascii="Times New Roman" w:eastAsia="宋体" w:hAnsi="Times New Roman" w:cs="Times New Roman"/>
          <w:sz w:val="24"/>
          <w:szCs w:val="24"/>
        </w:rPr>
      </w:pPr>
    </w:p>
    <w:p w14:paraId="71338DB1" w14:textId="77777777" w:rsidR="00155631" w:rsidRDefault="00155631" w:rsidP="005E6F8D">
      <w:pPr>
        <w:spacing w:line="480" w:lineRule="auto"/>
        <w:rPr>
          <w:rFonts w:ascii="Times New Roman" w:eastAsia="宋体" w:hAnsi="Times New Roman" w:cs="Times New Roman"/>
          <w:sz w:val="24"/>
          <w:szCs w:val="24"/>
        </w:rPr>
      </w:pPr>
    </w:p>
    <w:p w14:paraId="61CFA461" w14:textId="6945A46A" w:rsidR="00155631" w:rsidRDefault="00E934FF" w:rsidP="005E6F8D">
      <w:pPr>
        <w:spacing w:line="480" w:lineRule="auto"/>
        <w:rPr>
          <w:rFonts w:ascii="Times New Roman" w:eastAsia="宋体" w:hAnsi="Times New Roman" w:cs="Times New Roman"/>
          <w:sz w:val="24"/>
          <w:szCs w:val="24"/>
        </w:rPr>
      </w:pPr>
      <w:r w:rsidRPr="005B7BDA">
        <w:rPr>
          <w:rFonts w:ascii="Times New Roman" w:hAnsi="Times New Roman" w:cs="Times New Roman"/>
          <w:noProof/>
          <w:sz w:val="24"/>
          <w:szCs w:val="24"/>
        </w:rPr>
        <w:drawing>
          <wp:inline distT="0" distB="0" distL="0" distR="0" wp14:anchorId="2FC15FA2" wp14:editId="287E9DA0">
            <wp:extent cx="5274000" cy="1365035"/>
            <wp:effectExtent l="0" t="0" r="3175" b="6985"/>
            <wp:docPr id="491226164"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26164"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274000" cy="1365035"/>
                    </a:xfrm>
                    <a:prstGeom prst="rect">
                      <a:avLst/>
                    </a:prstGeom>
                  </pic:spPr>
                </pic:pic>
              </a:graphicData>
            </a:graphic>
          </wp:inline>
        </w:drawing>
      </w:r>
    </w:p>
    <w:p w14:paraId="75E1F86C" w14:textId="67D65199"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1</w:t>
      </w:r>
      <w:r w:rsidR="00E934FF">
        <w:rPr>
          <w:rFonts w:ascii="Times New Roman" w:eastAsia="宋体" w:hAnsi="Times New Roman" w:cs="Times New Roman" w:hint="eastAsia"/>
          <w:b/>
          <w:bCs/>
          <w:sz w:val="24"/>
          <w:szCs w:val="24"/>
        </w:rPr>
        <w:t>7</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Frequency scanning test curves of hydrogels with different concentrations a.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b.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c.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w:t>
      </w:r>
    </w:p>
    <w:p w14:paraId="3488C19C" w14:textId="3610689D"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For PSM physical gels, the dynamic rheological behavior of polymer chains can be described by the power-law relationship G’ ~ </w:t>
      </w:r>
      <w:proofErr w:type="spellStart"/>
      <w:r>
        <w:rPr>
          <w:rFonts w:ascii="Times New Roman" w:eastAsia="宋体" w:hAnsi="Times New Roman" w:cs="Times New Roman"/>
          <w:sz w:val="24"/>
          <w:szCs w:val="24"/>
        </w:rPr>
        <w:t>ω</w:t>
      </w:r>
      <w:r>
        <w:rPr>
          <w:rFonts w:ascii="Times New Roman" w:eastAsia="宋体" w:hAnsi="Times New Roman" w:cs="Times New Roman"/>
          <w:sz w:val="24"/>
          <w:szCs w:val="24"/>
          <w:vertAlign w:val="superscript"/>
        </w:rPr>
        <w:t>n</w:t>
      </w:r>
      <w:proofErr w:type="spellEnd"/>
      <w:r>
        <w:rPr>
          <w:rFonts w:ascii="Times New Roman" w:eastAsia="宋体" w:hAnsi="Times New Roman" w:cs="Times New Roman"/>
          <w:sz w:val="24"/>
          <w:szCs w:val="24"/>
        </w:rPr>
        <w:t>. On one hand, PSM6M exhibits a higher G’, indicating stronger elastic characteristics. On the other hand, fitting results reveal that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has a lower power-law exponent (G’ ~ ω</w:t>
      </w:r>
      <w:r>
        <w:rPr>
          <w:rFonts w:ascii="Times New Roman" w:eastAsia="宋体" w:hAnsi="Times New Roman" w:cs="Times New Roman"/>
          <w:sz w:val="24"/>
          <w:szCs w:val="24"/>
          <w:vertAlign w:val="superscript"/>
        </w:rPr>
        <w:t>0.03</w:t>
      </w:r>
      <w:r>
        <w:rPr>
          <w:rFonts w:ascii="Times New Roman" w:eastAsia="宋体" w:hAnsi="Times New Roman" w:cs="Times New Roman"/>
          <w:sz w:val="24"/>
          <w:szCs w:val="24"/>
        </w:rPr>
        <w:t>), whereas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shows a significantly higher exponent (G’ ~ ω</w:t>
      </w:r>
      <w:r>
        <w:rPr>
          <w:rFonts w:ascii="Times New Roman" w:eastAsia="宋体" w:hAnsi="Times New Roman" w:cs="Times New Roman"/>
          <w:sz w:val="24"/>
          <w:szCs w:val="24"/>
          <w:vertAlign w:val="superscript"/>
        </w:rPr>
        <w:t>0.33</w:t>
      </w:r>
      <w:r>
        <w:rPr>
          <w:rFonts w:ascii="Times New Roman" w:eastAsia="宋体" w:hAnsi="Times New Roman" w:cs="Times New Roman"/>
          <w:sz w:val="24"/>
          <w:szCs w:val="24"/>
        </w:rPr>
        <w:t>). Furthermore,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displays a higher </w:t>
      </w:r>
      <w:proofErr w:type="spellStart"/>
      <w:r>
        <w:rPr>
          <w:rFonts w:ascii="Times New Roman" w:eastAsia="宋体" w:hAnsi="Times New Roman" w:cs="Times New Roman"/>
          <w:sz w:val="24"/>
          <w:szCs w:val="24"/>
        </w:rPr>
        <w:t>tanδ</w:t>
      </w:r>
      <w:proofErr w:type="spellEnd"/>
      <w:r>
        <w:rPr>
          <w:rFonts w:ascii="Times New Roman" w:eastAsia="宋体" w:hAnsi="Times New Roman" w:cs="Times New Roman"/>
          <w:sz w:val="24"/>
          <w:szCs w:val="24"/>
        </w:rPr>
        <w:t xml:space="preserve"> value, suggesting superior energy dissipation capacity and damping performance. These rheological data collectively reflect distinct gel behaviors: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tends to undergo whole-chain relaxation at high frequencies, exhibiting soft and deformable </w:t>
      </w:r>
      <w:r>
        <w:rPr>
          <w:rFonts w:ascii="Times New Roman" w:eastAsia="宋体" w:hAnsi="Times New Roman" w:cs="Times New Roman"/>
          <w:sz w:val="24"/>
          <w:szCs w:val="24"/>
        </w:rPr>
        <w:lastRenderedPageBreak/>
        <w:t>liquid-like characteristics. In contrast, the polymer chains in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are highly entangled, with slow diffusion dynamics that hinder relaxation, resulting in a rigid and elastic solid-like gel behavior.</w:t>
      </w:r>
    </w:p>
    <w:p w14:paraId="7D7852B6" w14:textId="77777777" w:rsidR="00155631" w:rsidRDefault="00155631" w:rsidP="005E6F8D">
      <w:pPr>
        <w:spacing w:line="480" w:lineRule="auto"/>
        <w:rPr>
          <w:rFonts w:ascii="Times New Roman" w:eastAsia="宋体" w:hAnsi="Times New Roman" w:cs="Times New Roman"/>
          <w:sz w:val="24"/>
          <w:szCs w:val="24"/>
        </w:rPr>
      </w:pPr>
    </w:p>
    <w:p w14:paraId="0C0A168B" w14:textId="039AE014"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67930C12" wp14:editId="0F430035">
            <wp:extent cx="2160000" cy="1736634"/>
            <wp:effectExtent l="0" t="0" r="0" b="0"/>
            <wp:docPr id="6506549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60000" cy="1736634"/>
                    </a:xfrm>
                    <a:prstGeom prst="rect">
                      <a:avLst/>
                    </a:prstGeom>
                    <a:noFill/>
                    <a:ln>
                      <a:noFill/>
                    </a:ln>
                  </pic:spPr>
                </pic:pic>
              </a:graphicData>
            </a:graphic>
          </wp:inline>
        </w:drawing>
      </w:r>
    </w:p>
    <w:p w14:paraId="7A0F80E0" w14:textId="575A4A14"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1</w:t>
      </w:r>
      <w:r w:rsidR="00E934FF">
        <w:rPr>
          <w:rFonts w:ascii="Times New Roman" w:eastAsia="宋体" w:hAnsi="Times New Roman" w:cs="Times New Roman" w:hint="eastAsia"/>
          <w:b/>
          <w:bCs/>
          <w:sz w:val="24"/>
          <w:szCs w:val="24"/>
        </w:rPr>
        <w:t>8</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The changes of polymer content of PSM hydrogels with different concentrations during the swelling and deswelling processes.</w:t>
      </w:r>
    </w:p>
    <w:p w14:paraId="3FCFFBEC"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In the initial state (preparation state),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has a low polymer content (34%) and a high hydration degree,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xml:space="preserve"> has a moderate polymer content (53%) and hydration degree, while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has a high polymer content (63%) and a low hydration degree. In the fully swollen state, the polymer content in the hydrogel increases with the increase of concentration, but the difference is small, approximately 6% (between 2M and 6M).</w:t>
      </w:r>
    </w:p>
    <w:p w14:paraId="290071F7" w14:textId="77777777" w:rsidR="00155631" w:rsidRDefault="00155631" w:rsidP="005E6F8D">
      <w:pPr>
        <w:spacing w:line="480" w:lineRule="auto"/>
        <w:rPr>
          <w:rFonts w:ascii="Times New Roman" w:eastAsia="宋体" w:hAnsi="Times New Roman" w:cs="Times New Roman"/>
          <w:sz w:val="24"/>
          <w:szCs w:val="24"/>
        </w:rPr>
      </w:pPr>
    </w:p>
    <w:p w14:paraId="34DFED8C" w14:textId="77777777" w:rsidR="005E6F8D" w:rsidRDefault="005E6F8D" w:rsidP="005E6F8D">
      <w:pPr>
        <w:spacing w:line="480" w:lineRule="auto"/>
        <w:rPr>
          <w:rFonts w:ascii="Times New Roman" w:eastAsia="宋体" w:hAnsi="Times New Roman" w:cs="Times New Roman"/>
          <w:sz w:val="24"/>
          <w:szCs w:val="24"/>
        </w:rPr>
      </w:pPr>
    </w:p>
    <w:p w14:paraId="1120D36B" w14:textId="103D2B11" w:rsidR="00155631" w:rsidRDefault="00E934FF" w:rsidP="005E6F8D">
      <w:pPr>
        <w:spacing w:line="480" w:lineRule="auto"/>
        <w:rPr>
          <w:rFonts w:ascii="Times New Roman" w:eastAsia="宋体" w:hAnsi="Times New Roman" w:cs="Times New Roman"/>
          <w:sz w:val="24"/>
          <w:szCs w:val="24"/>
        </w:rPr>
      </w:pPr>
      <w:r w:rsidRPr="005B7BDA">
        <w:rPr>
          <w:rFonts w:ascii="Times New Roman" w:hAnsi="Times New Roman" w:cs="Times New Roman"/>
          <w:noProof/>
          <w:sz w:val="24"/>
          <w:szCs w:val="24"/>
        </w:rPr>
        <w:lastRenderedPageBreak/>
        <w:drawing>
          <wp:inline distT="0" distB="0" distL="0" distR="0" wp14:anchorId="15A9DF7B" wp14:editId="30EF1CEB">
            <wp:extent cx="5274000" cy="2128340"/>
            <wp:effectExtent l="0" t="0" r="3175" b="0"/>
            <wp:docPr id="1449324487"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324487"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274000" cy="2128340"/>
                    </a:xfrm>
                    <a:prstGeom prst="rect">
                      <a:avLst/>
                    </a:prstGeom>
                  </pic:spPr>
                </pic:pic>
              </a:graphicData>
            </a:graphic>
          </wp:inline>
        </w:drawing>
      </w:r>
    </w:p>
    <w:p w14:paraId="335B7CAC" w14:textId="7EB2EAF5"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1</w:t>
      </w:r>
      <w:r w:rsidR="00E934FF">
        <w:rPr>
          <w:rFonts w:ascii="Times New Roman" w:eastAsia="宋体" w:hAnsi="Times New Roman" w:cs="Times New Roman" w:hint="eastAsia"/>
          <w:b/>
          <w:bCs/>
          <w:sz w:val="24"/>
          <w:szCs w:val="24"/>
        </w:rPr>
        <w:t>9</w:t>
      </w:r>
      <w:r>
        <w:rPr>
          <w:rFonts w:ascii="Times New Roman" w:eastAsia="宋体" w:hAnsi="Times New Roman" w:cs="Times New Roman"/>
          <w:b/>
          <w:bCs/>
          <w:sz w:val="24"/>
          <w:szCs w:val="24"/>
        </w:rPr>
        <w:t xml:space="preserve">. </w:t>
      </w:r>
      <w:r>
        <w:rPr>
          <w:rFonts w:ascii="Times New Roman" w:eastAsia="宋体" w:hAnsi="Times New Roman" w:cs="Times New Roman"/>
          <w:sz w:val="24"/>
          <w:szCs w:val="24"/>
        </w:rPr>
        <w:t>Water binding states of various hydrogels, including free water (peak 1), frozen bound water (peak 2), and non-frozen bound water (peak 3), along with the ratio of free water to bound water.</w:t>
      </w:r>
    </w:p>
    <w:p w14:paraId="57CAB34A"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For hydrogels with varying concentrations and post-treatment conditions, the extent and state of water binding within the polymer networks differ. Diluted gels exhibit the highest free-to-bound water ratio, whereas dehydrated gels show the lowest. When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is fully swollen, the proportion of free water increases, indicating an enhanced hydration capacity. Conversely, upon ion introduction into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the free water content decreases, leading to a reduction in the degree of hydration.</w:t>
      </w:r>
    </w:p>
    <w:p w14:paraId="164D11CD" w14:textId="77777777" w:rsidR="00155631" w:rsidRDefault="00155631" w:rsidP="005E6F8D">
      <w:pPr>
        <w:spacing w:line="480" w:lineRule="auto"/>
        <w:rPr>
          <w:rFonts w:ascii="Times New Roman" w:eastAsia="宋体" w:hAnsi="Times New Roman" w:cs="Times New Roman"/>
          <w:sz w:val="24"/>
          <w:szCs w:val="24"/>
        </w:rPr>
      </w:pPr>
    </w:p>
    <w:p w14:paraId="25B098E0" w14:textId="22231A5D"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sz w:val="24"/>
          <w:szCs w:val="24"/>
        </w:rPr>
        <w:drawing>
          <wp:inline distT="0" distB="0" distL="0" distR="0" wp14:anchorId="37B71D94" wp14:editId="06F68EA9">
            <wp:extent cx="3616569" cy="1955900"/>
            <wp:effectExtent l="0" t="0" r="3175" b="0"/>
            <wp:docPr id="994217224"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17224"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3635357" cy="1966061"/>
                    </a:xfrm>
                    <a:prstGeom prst="rect">
                      <a:avLst/>
                    </a:prstGeom>
                  </pic:spPr>
                </pic:pic>
              </a:graphicData>
            </a:graphic>
          </wp:inline>
        </w:drawing>
      </w:r>
    </w:p>
    <w:p w14:paraId="02E59415" w14:textId="4D8477F5"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E934FF">
        <w:rPr>
          <w:rFonts w:ascii="Times New Roman" w:eastAsia="宋体" w:hAnsi="Times New Roman" w:cs="Times New Roman" w:hint="eastAsia"/>
          <w:b/>
          <w:bCs/>
          <w:sz w:val="24"/>
          <w:szCs w:val="24"/>
        </w:rPr>
        <w:t>20</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Initial configuration of molecular chains in the molecular dynamics simulation system. a.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b.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w:t>
      </w:r>
    </w:p>
    <w:p w14:paraId="3C6EA0C7"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lastRenderedPageBreak/>
        <w:t>Specifically, we placed an appropriate number of polymer molecules and water molecules at a concentration of 2 M or 6 M within a simulation box measuring 10 × 10 × 10 nm³. This setup allowed us to minimize the system energy and achieve preliminary equilibrium. The polymer chains are represented by green stick models, water molecules are depicted as red spheres, and the blue cube illustrates the simulation box. All initial molecular chains were configured in a fully extended conformation, and the concentration of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chains is three times higher than that of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w:t>
      </w:r>
    </w:p>
    <w:p w14:paraId="7B1AC024" w14:textId="77777777" w:rsidR="00155631" w:rsidRDefault="00155631" w:rsidP="005E6F8D">
      <w:pPr>
        <w:spacing w:line="480" w:lineRule="auto"/>
        <w:rPr>
          <w:rFonts w:ascii="Times New Roman" w:hAnsi="Times New Roman" w:cs="Times New Roman"/>
          <w:sz w:val="24"/>
          <w:szCs w:val="24"/>
        </w:rPr>
      </w:pPr>
    </w:p>
    <w:p w14:paraId="4C4A31B8" w14:textId="2DE8C42E"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sz w:val="24"/>
          <w:szCs w:val="24"/>
        </w:rPr>
        <w:drawing>
          <wp:inline distT="0" distB="0" distL="0" distR="0" wp14:anchorId="55BAF1A6" wp14:editId="7FD55E71">
            <wp:extent cx="3920542" cy="1944000"/>
            <wp:effectExtent l="0" t="0" r="3810" b="0"/>
            <wp:docPr id="12963807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t="29213" b="2698"/>
                    <a:stretch>
                      <a:fillRect/>
                    </a:stretch>
                  </pic:blipFill>
                  <pic:spPr bwMode="auto">
                    <a:xfrm>
                      <a:off x="0" y="0"/>
                      <a:ext cx="3920542" cy="1944000"/>
                    </a:xfrm>
                    <a:prstGeom prst="rect">
                      <a:avLst/>
                    </a:prstGeom>
                    <a:noFill/>
                    <a:ln>
                      <a:noFill/>
                    </a:ln>
                    <a:extLst>
                      <a:ext uri="{53640926-AAD7-44D8-BBD7-CCE9431645EC}">
                        <a14:shadowObscured xmlns:a14="http://schemas.microsoft.com/office/drawing/2010/main"/>
                      </a:ext>
                    </a:extLst>
                  </pic:spPr>
                </pic:pic>
              </a:graphicData>
            </a:graphic>
          </wp:inline>
        </w:drawing>
      </w:r>
    </w:p>
    <w:p w14:paraId="5562376F" w14:textId="6C984417"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E934FF">
        <w:rPr>
          <w:rFonts w:ascii="Times New Roman" w:eastAsia="宋体" w:hAnsi="Times New Roman" w:cs="Times New Roman" w:hint="eastAsia"/>
          <w:b/>
          <w:bCs/>
          <w:sz w:val="24"/>
          <w:szCs w:val="24"/>
        </w:rPr>
        <w:t>21</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Morphological transitions of polymer chain conformations with varying numbers (n) during MD simulations over time for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and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w:t>
      </w:r>
    </w:p>
    <w:p w14:paraId="33F58420"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Overall,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exhibits fewer molecular chain entanglements, whereas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demonstrates a significantly higher degree of entanglement. During the simulation process,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undergoes a greater extent of conformational transformation, indicating a higher degree of freedom. In contrast,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displays relatively limited conformational changes and maintains a more stable structure.</w:t>
      </w:r>
    </w:p>
    <w:p w14:paraId="6CDAA18E" w14:textId="77777777" w:rsidR="00155631" w:rsidRDefault="00155631" w:rsidP="005E6F8D">
      <w:pPr>
        <w:spacing w:line="480" w:lineRule="auto"/>
        <w:ind w:firstLineChars="200" w:firstLine="480"/>
        <w:rPr>
          <w:rFonts w:ascii="Times New Roman" w:eastAsia="宋体" w:hAnsi="Times New Roman" w:cs="Times New Roman"/>
          <w:sz w:val="24"/>
          <w:szCs w:val="24"/>
        </w:rPr>
      </w:pPr>
    </w:p>
    <w:p w14:paraId="1A74ADF0" w14:textId="4DDD126B"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lastRenderedPageBreak/>
        <w:drawing>
          <wp:inline distT="0" distB="0" distL="0" distR="0" wp14:anchorId="3518716E" wp14:editId="05C46BA5">
            <wp:extent cx="2160000" cy="1678902"/>
            <wp:effectExtent l="0" t="0" r="0" b="0"/>
            <wp:docPr id="14024062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60000" cy="1678902"/>
                    </a:xfrm>
                    <a:prstGeom prst="rect">
                      <a:avLst/>
                    </a:prstGeom>
                    <a:noFill/>
                    <a:ln>
                      <a:noFill/>
                    </a:ln>
                  </pic:spPr>
                </pic:pic>
              </a:graphicData>
            </a:graphic>
          </wp:inline>
        </w:drawing>
      </w:r>
    </w:p>
    <w:p w14:paraId="094192A7" w14:textId="02F82CC7"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E934FF">
        <w:rPr>
          <w:rFonts w:ascii="Times New Roman" w:eastAsia="宋体" w:hAnsi="Times New Roman" w:cs="Times New Roman" w:hint="eastAsia"/>
          <w:b/>
          <w:bCs/>
          <w:sz w:val="24"/>
          <w:szCs w:val="24"/>
        </w:rPr>
        <w:t>22</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Data curves of the solvent accessible surface area (SASA) in MD simulations.</w:t>
      </w:r>
    </w:p>
    <w:p w14:paraId="33A3C891" w14:textId="22745777"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644C36A9" wp14:editId="5AD9E7B4">
            <wp:extent cx="2160000" cy="1792545"/>
            <wp:effectExtent l="0" t="0" r="0" b="0"/>
            <wp:docPr id="5862258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60000" cy="1792545"/>
                    </a:xfrm>
                    <a:prstGeom prst="rect">
                      <a:avLst/>
                    </a:prstGeom>
                    <a:noFill/>
                    <a:ln>
                      <a:noFill/>
                    </a:ln>
                  </pic:spPr>
                </pic:pic>
              </a:graphicData>
            </a:graphic>
          </wp:inline>
        </w:drawing>
      </w:r>
    </w:p>
    <w:p w14:paraId="2D52297C" w14:textId="607C19BA"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E934FF">
        <w:rPr>
          <w:rFonts w:ascii="Times New Roman" w:eastAsia="宋体" w:hAnsi="Times New Roman" w:cs="Times New Roman" w:hint="eastAsia"/>
          <w:b/>
          <w:bCs/>
          <w:sz w:val="24"/>
          <w:szCs w:val="24"/>
        </w:rPr>
        <w:t>23</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Data curves of the mean square displacement (MSD) in MD simulations.</w:t>
      </w:r>
    </w:p>
    <w:p w14:paraId="440E4679" w14:textId="77777777" w:rsidR="00155631" w:rsidRDefault="00155631" w:rsidP="005E6F8D">
      <w:pPr>
        <w:spacing w:line="480" w:lineRule="auto"/>
        <w:rPr>
          <w:rFonts w:ascii="Times New Roman" w:eastAsia="宋体" w:hAnsi="Times New Roman" w:cs="Times New Roman"/>
          <w:sz w:val="24"/>
          <w:szCs w:val="24"/>
        </w:rPr>
      </w:pPr>
    </w:p>
    <w:p w14:paraId="72B27449" w14:textId="5F9CEC03"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22172361" wp14:editId="6CB5167A">
            <wp:extent cx="2160000" cy="1809189"/>
            <wp:effectExtent l="0" t="0" r="0" b="635"/>
            <wp:docPr id="9559070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60000" cy="1809189"/>
                    </a:xfrm>
                    <a:prstGeom prst="rect">
                      <a:avLst/>
                    </a:prstGeom>
                    <a:noFill/>
                    <a:ln>
                      <a:noFill/>
                    </a:ln>
                  </pic:spPr>
                </pic:pic>
              </a:graphicData>
            </a:graphic>
          </wp:inline>
        </w:drawing>
      </w:r>
    </w:p>
    <w:p w14:paraId="4323F6AD" w14:textId="3DBF8AFB"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2</w:t>
      </w:r>
      <w:r w:rsidR="00E934FF">
        <w:rPr>
          <w:rFonts w:ascii="Times New Roman" w:eastAsia="宋体" w:hAnsi="Times New Roman" w:cs="Times New Roman" w:hint="eastAsia"/>
          <w:b/>
          <w:bCs/>
          <w:sz w:val="24"/>
          <w:szCs w:val="24"/>
        </w:rPr>
        <w:t>4</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Data curves of the root mean square deviation (RMSD) in MD simulations.</w:t>
      </w:r>
    </w:p>
    <w:p w14:paraId="55BB22E3" w14:textId="77777777" w:rsidR="00155631" w:rsidRDefault="00155631" w:rsidP="005E6F8D">
      <w:pPr>
        <w:spacing w:line="480" w:lineRule="auto"/>
        <w:rPr>
          <w:rFonts w:ascii="Times New Roman" w:eastAsia="宋体" w:hAnsi="Times New Roman" w:cs="Times New Roman"/>
          <w:sz w:val="24"/>
          <w:szCs w:val="24"/>
        </w:rPr>
      </w:pPr>
    </w:p>
    <w:p w14:paraId="073648B8" w14:textId="44D7AC0B"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lastRenderedPageBreak/>
        <w:drawing>
          <wp:inline distT="0" distB="0" distL="0" distR="0" wp14:anchorId="20EFFD1D" wp14:editId="31CDFBAE">
            <wp:extent cx="2160000" cy="1740795"/>
            <wp:effectExtent l="0" t="0" r="0" b="0"/>
            <wp:docPr id="184784446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60000" cy="1740795"/>
                    </a:xfrm>
                    <a:prstGeom prst="rect">
                      <a:avLst/>
                    </a:prstGeom>
                    <a:noFill/>
                    <a:ln>
                      <a:noFill/>
                    </a:ln>
                  </pic:spPr>
                </pic:pic>
              </a:graphicData>
            </a:graphic>
          </wp:inline>
        </w:drawing>
      </w:r>
    </w:p>
    <w:p w14:paraId="48905DAF" w14:textId="09E27EE7"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2</w:t>
      </w:r>
      <w:r w:rsidR="00E934FF">
        <w:rPr>
          <w:rFonts w:ascii="Times New Roman" w:eastAsia="宋体" w:hAnsi="Times New Roman" w:cs="Times New Roman" w:hint="eastAsia"/>
          <w:b/>
          <w:bCs/>
          <w:sz w:val="24"/>
          <w:szCs w:val="24"/>
        </w:rPr>
        <w:t>5</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Mean square radius of gyration (</w:t>
      </w:r>
      <w:proofErr w:type="spellStart"/>
      <w:r>
        <w:rPr>
          <w:rFonts w:ascii="Times New Roman" w:eastAsia="宋体" w:hAnsi="Times New Roman" w:cs="Times New Roman"/>
          <w:sz w:val="24"/>
          <w:szCs w:val="24"/>
        </w:rPr>
        <w:t>Rg</w:t>
      </w:r>
      <w:proofErr w:type="spellEnd"/>
      <w:r>
        <w:rPr>
          <w:rFonts w:ascii="Times New Roman" w:eastAsia="宋体" w:hAnsi="Times New Roman" w:cs="Times New Roman"/>
          <w:sz w:val="24"/>
          <w:szCs w:val="24"/>
        </w:rPr>
        <w:t>) versus time plots from MD simulations.</w:t>
      </w:r>
    </w:p>
    <w:p w14:paraId="6566EE2B" w14:textId="77777777" w:rsidR="00155631" w:rsidRDefault="00155631" w:rsidP="005E6F8D">
      <w:pPr>
        <w:spacing w:line="480" w:lineRule="auto"/>
        <w:rPr>
          <w:rFonts w:ascii="Times New Roman" w:eastAsia="宋体" w:hAnsi="Times New Roman" w:cs="Times New Roman"/>
          <w:sz w:val="24"/>
          <w:szCs w:val="24"/>
        </w:rPr>
      </w:pPr>
    </w:p>
    <w:p w14:paraId="38CBE188" w14:textId="07D7139D"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6118118D" wp14:editId="73662BCE">
            <wp:extent cx="2092325" cy="1412875"/>
            <wp:effectExtent l="0" t="0" r="3175" b="0"/>
            <wp:docPr id="8948476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92325" cy="1412875"/>
                    </a:xfrm>
                    <a:prstGeom prst="rect">
                      <a:avLst/>
                    </a:prstGeom>
                    <a:noFill/>
                    <a:ln>
                      <a:noFill/>
                    </a:ln>
                  </pic:spPr>
                </pic:pic>
              </a:graphicData>
            </a:graphic>
          </wp:inline>
        </w:drawing>
      </w:r>
    </w:p>
    <w:p w14:paraId="0097E631" w14:textId="780DE61E"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2</w:t>
      </w:r>
      <w:r w:rsidR="00E934FF">
        <w:rPr>
          <w:rFonts w:ascii="Times New Roman" w:eastAsia="宋体" w:hAnsi="Times New Roman" w:cs="Times New Roman" w:hint="eastAsia"/>
          <w:b/>
          <w:bCs/>
          <w:sz w:val="24"/>
          <w:szCs w:val="24"/>
        </w:rPr>
        <w:t>6</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Final conformational structures of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and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w:t>
      </w:r>
    </w:p>
    <w:p w14:paraId="5E6699B9" w14:textId="77777777" w:rsidR="00155631" w:rsidRDefault="00155631" w:rsidP="005E6F8D">
      <w:pPr>
        <w:spacing w:line="480" w:lineRule="auto"/>
        <w:rPr>
          <w:rFonts w:ascii="Times New Roman" w:eastAsia="宋体" w:hAnsi="Times New Roman" w:cs="Times New Roman"/>
          <w:sz w:val="24"/>
          <w:szCs w:val="24"/>
        </w:rPr>
      </w:pPr>
    </w:p>
    <w:p w14:paraId="212449B1" w14:textId="3CE785AC"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18FFED34" wp14:editId="2D3BB5F0">
            <wp:extent cx="2160000" cy="1813869"/>
            <wp:effectExtent l="0" t="0" r="0" b="0"/>
            <wp:docPr id="19405324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60000" cy="1813869"/>
                    </a:xfrm>
                    <a:prstGeom prst="rect">
                      <a:avLst/>
                    </a:prstGeom>
                    <a:noFill/>
                    <a:ln>
                      <a:noFill/>
                    </a:ln>
                  </pic:spPr>
                </pic:pic>
              </a:graphicData>
            </a:graphic>
          </wp:inline>
        </w:drawing>
      </w:r>
    </w:p>
    <w:p w14:paraId="082BD76F" w14:textId="202940A7"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2</w:t>
      </w:r>
      <w:r w:rsidR="00E934FF">
        <w:rPr>
          <w:rFonts w:ascii="Times New Roman" w:eastAsia="宋体" w:hAnsi="Times New Roman" w:cs="Times New Roman" w:hint="eastAsia"/>
          <w:b/>
          <w:bCs/>
          <w:sz w:val="24"/>
          <w:szCs w:val="24"/>
        </w:rPr>
        <w:t>7</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Radial distribution function (RDF) curves from MD simulations.</w:t>
      </w:r>
    </w:p>
    <w:p w14:paraId="14F45F6B" w14:textId="77777777" w:rsidR="00155631" w:rsidRDefault="00155631" w:rsidP="005E6F8D">
      <w:pPr>
        <w:spacing w:line="480" w:lineRule="auto"/>
        <w:rPr>
          <w:rFonts w:ascii="Times New Roman" w:eastAsia="宋体" w:hAnsi="Times New Roman" w:cs="Times New Roman"/>
          <w:sz w:val="24"/>
          <w:szCs w:val="24"/>
        </w:rPr>
      </w:pPr>
    </w:p>
    <w:p w14:paraId="7DFD5825" w14:textId="7CA3DEF2" w:rsidR="00155631" w:rsidRDefault="00E934FF" w:rsidP="005E6F8D">
      <w:pPr>
        <w:spacing w:line="480" w:lineRule="auto"/>
        <w:rPr>
          <w:rFonts w:ascii="Times New Roman" w:eastAsia="宋体" w:hAnsi="Times New Roman" w:cs="Times New Roman"/>
          <w:sz w:val="24"/>
          <w:szCs w:val="24"/>
        </w:rPr>
      </w:pPr>
      <w:r w:rsidRPr="005B7BDA">
        <w:rPr>
          <w:rFonts w:ascii="Times New Roman" w:hAnsi="Times New Roman" w:cs="Times New Roman"/>
          <w:noProof/>
        </w:rPr>
        <w:lastRenderedPageBreak/>
        <w:drawing>
          <wp:inline distT="0" distB="0" distL="0" distR="0" wp14:anchorId="3FE593B2" wp14:editId="655FFAEA">
            <wp:extent cx="1728000" cy="1444853"/>
            <wp:effectExtent l="0" t="0" r="5715" b="3175"/>
            <wp:docPr id="7152656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28000" cy="1444853"/>
                    </a:xfrm>
                    <a:prstGeom prst="rect">
                      <a:avLst/>
                    </a:prstGeom>
                    <a:noFill/>
                    <a:ln>
                      <a:noFill/>
                    </a:ln>
                  </pic:spPr>
                </pic:pic>
              </a:graphicData>
            </a:graphic>
          </wp:inline>
        </w:drawing>
      </w:r>
      <w:r w:rsidRPr="005B7BDA">
        <w:rPr>
          <w:rFonts w:ascii="Times New Roman" w:hAnsi="Times New Roman" w:cs="Times New Roman"/>
          <w:noProof/>
        </w:rPr>
        <w:drawing>
          <wp:inline distT="0" distB="0" distL="0" distR="0" wp14:anchorId="325D7EB6" wp14:editId="47D2C8A9">
            <wp:extent cx="1728000" cy="1457549"/>
            <wp:effectExtent l="0" t="0" r="5715" b="9525"/>
            <wp:docPr id="1166066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28000" cy="1457549"/>
                    </a:xfrm>
                    <a:prstGeom prst="rect">
                      <a:avLst/>
                    </a:prstGeom>
                    <a:noFill/>
                    <a:ln>
                      <a:noFill/>
                    </a:ln>
                  </pic:spPr>
                </pic:pic>
              </a:graphicData>
            </a:graphic>
          </wp:inline>
        </w:drawing>
      </w:r>
      <w:r w:rsidRPr="005B7BDA">
        <w:rPr>
          <w:rFonts w:ascii="Times New Roman" w:hAnsi="Times New Roman" w:cs="Times New Roman"/>
          <w:noProof/>
        </w:rPr>
        <w:drawing>
          <wp:inline distT="0" distB="0" distL="0" distR="0" wp14:anchorId="35ACD523" wp14:editId="427976DB">
            <wp:extent cx="1728000" cy="1441733"/>
            <wp:effectExtent l="0" t="0" r="5715" b="6350"/>
            <wp:docPr id="1728021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28000" cy="1441733"/>
                    </a:xfrm>
                    <a:prstGeom prst="rect">
                      <a:avLst/>
                    </a:prstGeom>
                    <a:noFill/>
                    <a:ln>
                      <a:noFill/>
                    </a:ln>
                  </pic:spPr>
                </pic:pic>
              </a:graphicData>
            </a:graphic>
          </wp:inline>
        </w:drawing>
      </w:r>
    </w:p>
    <w:p w14:paraId="7B2B8032" w14:textId="7893C7F9"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2</w:t>
      </w:r>
      <w:r w:rsidR="00E934FF">
        <w:rPr>
          <w:rFonts w:ascii="Times New Roman" w:eastAsia="宋体" w:hAnsi="Times New Roman" w:cs="Times New Roman" w:hint="eastAsia"/>
          <w:b/>
          <w:bCs/>
          <w:sz w:val="24"/>
          <w:szCs w:val="24"/>
        </w:rPr>
        <w:t>8</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Guinier theory fitting curves of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hydrogels with different stretch. a. λ=0</w:t>
      </w:r>
      <w:r w:rsidR="00187EA8">
        <w:rPr>
          <w:rFonts w:ascii="Times New Roman" w:eastAsia="宋体" w:hAnsi="Times New Roman" w:cs="Times New Roman" w:hint="eastAsia"/>
          <w:sz w:val="24"/>
          <w:szCs w:val="24"/>
        </w:rPr>
        <w:t>%</w:t>
      </w:r>
      <w:r>
        <w:rPr>
          <w:rFonts w:ascii="Times New Roman" w:eastAsia="宋体" w:hAnsi="Times New Roman" w:cs="Times New Roman"/>
          <w:sz w:val="24"/>
          <w:szCs w:val="24"/>
        </w:rPr>
        <w:t>. b. λ=5</w:t>
      </w:r>
      <w:r w:rsidR="00187EA8">
        <w:rPr>
          <w:rFonts w:ascii="Times New Roman" w:eastAsia="宋体" w:hAnsi="Times New Roman" w:cs="Times New Roman" w:hint="eastAsia"/>
          <w:sz w:val="24"/>
          <w:szCs w:val="24"/>
        </w:rPr>
        <w:t>00%</w:t>
      </w:r>
      <w:r>
        <w:rPr>
          <w:rFonts w:ascii="Times New Roman" w:eastAsia="宋体" w:hAnsi="Times New Roman" w:cs="Times New Roman"/>
          <w:sz w:val="24"/>
          <w:szCs w:val="24"/>
        </w:rPr>
        <w:t>. c. λ=0</w:t>
      </w:r>
      <w:r w:rsidR="00187EA8">
        <w:rPr>
          <w:rFonts w:ascii="Times New Roman" w:eastAsia="宋体" w:hAnsi="Times New Roman" w:cs="Times New Roman" w:hint="eastAsia"/>
          <w:sz w:val="24"/>
          <w:szCs w:val="24"/>
        </w:rPr>
        <w:t>%</w:t>
      </w:r>
      <w:r>
        <w:rPr>
          <w:rFonts w:ascii="Times New Roman" w:eastAsia="宋体" w:hAnsi="Times New Roman" w:cs="Times New Roman"/>
          <w:sz w:val="24"/>
          <w:szCs w:val="24"/>
        </w:rPr>
        <w:t>.</w:t>
      </w:r>
    </w:p>
    <w:p w14:paraId="4EE1E8A3"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Information extracted from the SAXS peaks was </w:t>
      </w:r>
      <w:proofErr w:type="spellStart"/>
      <w:r>
        <w:rPr>
          <w:rFonts w:ascii="Times New Roman" w:eastAsia="宋体" w:hAnsi="Times New Roman" w:cs="Times New Roman"/>
          <w:sz w:val="24"/>
          <w:szCs w:val="24"/>
        </w:rPr>
        <w:t>analysed</w:t>
      </w:r>
      <w:proofErr w:type="spellEnd"/>
      <w:r>
        <w:rPr>
          <w:rFonts w:ascii="Times New Roman" w:eastAsia="宋体" w:hAnsi="Times New Roman" w:cs="Times New Roman"/>
          <w:sz w:val="24"/>
          <w:szCs w:val="24"/>
        </w:rPr>
        <w:t xml:space="preserve"> using Guinier's theory. Within different q ranges, ln(I(q)) was plotted against q², allowing calculation of the mean square radius of gyration (</w:t>
      </w:r>
      <w:proofErr w:type="spellStart"/>
      <w:r>
        <w:rPr>
          <w:rFonts w:ascii="Times New Roman" w:eastAsia="宋体" w:hAnsi="Times New Roman" w:cs="Times New Roman"/>
          <w:sz w:val="24"/>
          <w:szCs w:val="24"/>
        </w:rPr>
        <w:t>Rg</w:t>
      </w:r>
      <w:proofErr w:type="spellEnd"/>
      <w:r>
        <w:rPr>
          <w:rFonts w:ascii="Times New Roman" w:eastAsia="宋体" w:hAnsi="Times New Roman" w:cs="Times New Roman"/>
          <w:sz w:val="24"/>
          <w:szCs w:val="24"/>
        </w:rPr>
        <w:t xml:space="preserve">) of the molecular chains, which represents the average squared distance of chain segments from the </w:t>
      </w:r>
      <w:proofErr w:type="spellStart"/>
      <w:r>
        <w:rPr>
          <w:rFonts w:ascii="Times New Roman" w:eastAsia="宋体" w:hAnsi="Times New Roman" w:cs="Times New Roman"/>
          <w:sz w:val="24"/>
          <w:szCs w:val="24"/>
        </w:rPr>
        <w:t>centre</w:t>
      </w:r>
      <w:proofErr w:type="spellEnd"/>
      <w:r>
        <w:rPr>
          <w:rFonts w:ascii="Times New Roman" w:eastAsia="宋体" w:hAnsi="Times New Roman" w:cs="Times New Roman"/>
          <w:sz w:val="24"/>
          <w:szCs w:val="24"/>
        </w:rPr>
        <w:t xml:space="preserve"> of mass.</w:t>
      </w:r>
    </w:p>
    <w:p w14:paraId="4BA69366" w14:textId="77777777" w:rsidR="00155631" w:rsidRDefault="00155631" w:rsidP="005E6F8D">
      <w:pPr>
        <w:spacing w:line="480" w:lineRule="auto"/>
        <w:rPr>
          <w:rFonts w:ascii="Times New Roman" w:eastAsia="宋体" w:hAnsi="Times New Roman" w:cs="Times New Roman"/>
          <w:sz w:val="24"/>
          <w:szCs w:val="24"/>
        </w:rPr>
      </w:pPr>
    </w:p>
    <w:p w14:paraId="50719642" w14:textId="0254D736"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0FF4D7F0" wp14:editId="3F0CD4E0">
            <wp:extent cx="2160000" cy="1894486"/>
            <wp:effectExtent l="0" t="0" r="0" b="0"/>
            <wp:docPr id="183737334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60000" cy="1894486"/>
                    </a:xfrm>
                    <a:prstGeom prst="rect">
                      <a:avLst/>
                    </a:prstGeom>
                    <a:noFill/>
                    <a:ln>
                      <a:noFill/>
                    </a:ln>
                  </pic:spPr>
                </pic:pic>
              </a:graphicData>
            </a:graphic>
          </wp:inline>
        </w:drawing>
      </w:r>
      <w:r w:rsidRPr="005B7BDA">
        <w:rPr>
          <w:rFonts w:ascii="Times New Roman" w:hAnsi="Times New Roman" w:cs="Times New Roman"/>
          <w:noProof/>
        </w:rPr>
        <w:drawing>
          <wp:inline distT="0" distB="0" distL="0" distR="0" wp14:anchorId="0BD0D982" wp14:editId="66350E1E">
            <wp:extent cx="2160000" cy="1903848"/>
            <wp:effectExtent l="0" t="0" r="0" b="1270"/>
            <wp:docPr id="110218335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60000" cy="1903848"/>
                    </a:xfrm>
                    <a:prstGeom prst="rect">
                      <a:avLst/>
                    </a:prstGeom>
                    <a:noFill/>
                    <a:ln>
                      <a:noFill/>
                    </a:ln>
                  </pic:spPr>
                </pic:pic>
              </a:graphicData>
            </a:graphic>
          </wp:inline>
        </w:drawing>
      </w:r>
    </w:p>
    <w:p w14:paraId="309E3287" w14:textId="4C22B2A1"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2</w:t>
      </w:r>
      <w:r w:rsidR="00E934FF">
        <w:rPr>
          <w:rFonts w:ascii="Times New Roman" w:eastAsia="宋体" w:hAnsi="Times New Roman" w:cs="Times New Roman" w:hint="eastAsia"/>
          <w:b/>
          <w:bCs/>
          <w:sz w:val="24"/>
          <w:szCs w:val="24"/>
        </w:rPr>
        <w:t>9</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Signal curves of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and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in low-field magnetic resonance testing. a. Relaxation signal. b. Attenuation signal.</w:t>
      </w:r>
    </w:p>
    <w:p w14:paraId="400522A2" w14:textId="63236CA6"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entanglement behavior of PSM was analyzed by using low-field nuclear magnetic resonance (LF-NMR). The fast decay component of the T</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 xml:space="preserve"> relaxation curve is attributed to restricted structures such as cross-links and entanglements, whereas the slower decay component corresponds to free polymer chains. As shown in Figure a, the </w:t>
      </w:r>
      <w:r>
        <w:rPr>
          <w:rFonts w:ascii="Times New Roman" w:eastAsia="宋体" w:hAnsi="Times New Roman" w:cs="Times New Roman"/>
          <w:sz w:val="24"/>
          <w:szCs w:val="24"/>
        </w:rPr>
        <w:lastRenderedPageBreak/>
        <w:t>reduced signal intensity (RS) within the T</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 xml:space="preserve"> range of 0.4 </w:t>
      </w:r>
      <w:proofErr w:type="spellStart"/>
      <w:r>
        <w:rPr>
          <w:rFonts w:ascii="Times New Roman" w:eastAsia="宋体" w:hAnsi="Times New Roman" w:cs="Times New Roman"/>
          <w:sz w:val="24"/>
          <w:szCs w:val="24"/>
        </w:rPr>
        <w:t>ms</w:t>
      </w:r>
      <w:proofErr w:type="spellEnd"/>
      <w:r>
        <w:rPr>
          <w:rFonts w:ascii="Times New Roman" w:eastAsia="宋体" w:hAnsi="Times New Roman" w:cs="Times New Roman"/>
          <w:sz w:val="24"/>
          <w:szCs w:val="24"/>
        </w:rPr>
        <w:t xml:space="preserve"> to 0.8 </w:t>
      </w:r>
      <w:proofErr w:type="spellStart"/>
      <w:r>
        <w:rPr>
          <w:rFonts w:ascii="Times New Roman" w:eastAsia="宋体" w:hAnsi="Times New Roman" w:cs="Times New Roman"/>
          <w:sz w:val="24"/>
          <w:szCs w:val="24"/>
        </w:rPr>
        <w:t>ms</w:t>
      </w:r>
      <w:proofErr w:type="spellEnd"/>
      <w:r>
        <w:rPr>
          <w:rFonts w:ascii="Times New Roman" w:eastAsia="宋体" w:hAnsi="Times New Roman" w:cs="Times New Roman"/>
          <w:sz w:val="24"/>
          <w:szCs w:val="24"/>
        </w:rPr>
        <w:t xml:space="preserve"> reflects the entanglement of hydrogen atoms with low mobility between adjacent chains. This RS intensity decreases significantly with decreasing monomer concentration. Furthermore, the proportion of the slow decay component in the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is higher than that in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Comprehensive analysis indicates that the degree of molecular chain entanglement diminishes as the monomer concentration decreases.</w:t>
      </w:r>
    </w:p>
    <w:p w14:paraId="200E8688"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Under the CPMG pulse sequence, the original T</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 xml:space="preserve"> decay curve was fitted using inverse Laplace transform (ILT) to obtain the T</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 xml:space="preserve"> distribution profile (Figure b). The T</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 xml:space="preserve"> distribution exhibits two distinct peaks: the shorter T</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 xml:space="preserve"> component is associated with entangled regions, while the longer T</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 xml:space="preserve"> component corresponds to free chain segments. The relaxation peaks observed between 0.1 and 30 </w:t>
      </w:r>
      <w:proofErr w:type="spellStart"/>
      <w:r>
        <w:rPr>
          <w:rFonts w:ascii="Times New Roman" w:eastAsia="宋体" w:hAnsi="Times New Roman" w:cs="Times New Roman"/>
          <w:sz w:val="24"/>
          <w:szCs w:val="24"/>
        </w:rPr>
        <w:t>ms</w:t>
      </w:r>
      <w:proofErr w:type="spellEnd"/>
      <w:r>
        <w:rPr>
          <w:rFonts w:ascii="Times New Roman" w:eastAsia="宋体" w:hAnsi="Times New Roman" w:cs="Times New Roman"/>
          <w:sz w:val="24"/>
          <w:szCs w:val="24"/>
        </w:rPr>
        <w:t xml:space="preserve"> are primarily attributed to hydrogen atoms in bound water and soft segments. When the monomer concentration increases from 6M to 2M, the relaxation time of this peak shows a slight shift toward longer values, indicating that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exhibits a relatively lower degree of molecular chain entanglement in the fully swollen state.</w:t>
      </w:r>
    </w:p>
    <w:p w14:paraId="684BD589"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The relaxation peaks in the range of 300 to 3000 </w:t>
      </w:r>
      <w:proofErr w:type="spellStart"/>
      <w:r>
        <w:rPr>
          <w:rFonts w:ascii="Times New Roman" w:eastAsia="宋体" w:hAnsi="Times New Roman" w:cs="Times New Roman"/>
          <w:sz w:val="24"/>
          <w:szCs w:val="24"/>
        </w:rPr>
        <w:t>ms</w:t>
      </w:r>
      <w:proofErr w:type="spellEnd"/>
      <w:r>
        <w:rPr>
          <w:rFonts w:ascii="Times New Roman" w:eastAsia="宋体" w:hAnsi="Times New Roman" w:cs="Times New Roman"/>
          <w:sz w:val="24"/>
          <w:szCs w:val="24"/>
        </w:rPr>
        <w:t xml:space="preserve"> correspond to hydrogen atoms in free water. Compared to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displays a more pronounced delay in relaxation time and an increased RS intensity, suggesting a greater presence of highly mobile water molecules. This phenomenon can be attributed to the reduced degree of molecular chain entanglement in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w:t>
      </w:r>
    </w:p>
    <w:p w14:paraId="404BE992" w14:textId="77777777" w:rsidR="00155631" w:rsidRDefault="00155631" w:rsidP="005E6F8D">
      <w:pPr>
        <w:spacing w:line="480" w:lineRule="auto"/>
        <w:rPr>
          <w:rFonts w:ascii="Times New Roman" w:eastAsia="宋体" w:hAnsi="Times New Roman" w:cs="Times New Roman"/>
          <w:sz w:val="24"/>
          <w:szCs w:val="24"/>
        </w:rPr>
      </w:pPr>
    </w:p>
    <w:p w14:paraId="3B4C6918" w14:textId="71EDCF42"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lastRenderedPageBreak/>
        <w:drawing>
          <wp:inline distT="0" distB="0" distL="0" distR="0" wp14:anchorId="4B351B87" wp14:editId="4F6DD57F">
            <wp:extent cx="2160000" cy="1813089"/>
            <wp:effectExtent l="0" t="0" r="0" b="0"/>
            <wp:docPr id="67536208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60000" cy="1813089"/>
                    </a:xfrm>
                    <a:prstGeom prst="rect">
                      <a:avLst/>
                    </a:prstGeom>
                    <a:noFill/>
                    <a:ln>
                      <a:noFill/>
                    </a:ln>
                  </pic:spPr>
                </pic:pic>
              </a:graphicData>
            </a:graphic>
          </wp:inline>
        </w:drawing>
      </w:r>
    </w:p>
    <w:p w14:paraId="7D689C80" w14:textId="3C51BEA0"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E934FF">
        <w:rPr>
          <w:rFonts w:ascii="Times New Roman" w:eastAsia="宋体" w:hAnsi="Times New Roman" w:cs="Times New Roman" w:hint="eastAsia"/>
          <w:b/>
          <w:bCs/>
          <w:sz w:val="24"/>
          <w:szCs w:val="24"/>
        </w:rPr>
        <w:t>30</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T</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 xml:space="preserve"> distribution curves and XLD 4 fitting curves of different hydrogels from low-field nuclear magnetic resonance tests.</w:t>
      </w:r>
    </w:p>
    <w:p w14:paraId="3148D216"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The internal characteristic structures and corresponding proportions in PSM were quantitatively investigated. Drawing on traditional rubber elasticity theory, parameters such as the entanglement molecular weight and degree of entanglement were utilized to establish a direct connection between the structure and mechanical </w:t>
      </w:r>
      <w:proofErr w:type="spellStart"/>
      <w:r>
        <w:rPr>
          <w:rFonts w:ascii="Times New Roman" w:eastAsia="宋体" w:hAnsi="Times New Roman" w:cs="Times New Roman"/>
          <w:sz w:val="24"/>
          <w:szCs w:val="24"/>
        </w:rPr>
        <w:t>elastoplasticity</w:t>
      </w:r>
      <w:proofErr w:type="spellEnd"/>
      <w:r>
        <w:rPr>
          <w:rFonts w:ascii="Times New Roman" w:eastAsia="宋体" w:hAnsi="Times New Roman" w:cs="Times New Roman"/>
          <w:sz w:val="24"/>
          <w:szCs w:val="24"/>
        </w:rPr>
        <w:t>. LF-NMR and rheological platform methods were employed to calculate the entanglement molecular weight (Me) and degree of entanglement (De) of the polymer. In the LF-NMR method, the T</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 xml:space="preserve"> distribution curve was fitted using the XLD 4 model, and the crosslinking density was obtained through built-in calculations and subsequently converted into the entanglement molecular weight (</w:t>
      </w:r>
      <w:proofErr w:type="spellStart"/>
      <w:r>
        <w:rPr>
          <w:rFonts w:ascii="Times New Roman" w:eastAsia="宋体" w:hAnsi="Times New Roman" w:cs="Times New Roman"/>
          <w:sz w:val="24"/>
          <w:szCs w:val="24"/>
        </w:rPr>
        <w:t>MeN</w:t>
      </w:r>
      <w:proofErr w:type="spellEnd"/>
      <w:r>
        <w:rPr>
          <w:rFonts w:ascii="Times New Roman" w:eastAsia="宋体" w:hAnsi="Times New Roman" w:cs="Times New Roman"/>
          <w:sz w:val="24"/>
          <w:szCs w:val="24"/>
        </w:rPr>
        <w:t xml:space="preserve">). After calculation, the </w:t>
      </w:r>
      <w:proofErr w:type="spellStart"/>
      <w:r>
        <w:rPr>
          <w:rFonts w:ascii="Times New Roman" w:eastAsia="宋体" w:hAnsi="Times New Roman" w:cs="Times New Roman"/>
          <w:sz w:val="24"/>
          <w:szCs w:val="24"/>
        </w:rPr>
        <w:t>MeN</w:t>
      </w:r>
      <w:proofErr w:type="spellEnd"/>
      <w:r>
        <w:rPr>
          <w:rFonts w:ascii="Times New Roman" w:eastAsia="宋体" w:hAnsi="Times New Roman" w:cs="Times New Roman"/>
          <w:sz w:val="24"/>
          <w:szCs w:val="24"/>
        </w:rPr>
        <w:t xml:space="preserve"> values for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and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were determined to be 31743 g/mol, 12898 g/mol, and 4475 g/mol, respectively, with corresponding degrees of entanglement (</w:t>
      </w:r>
      <w:proofErr w:type="spellStart"/>
      <w:r>
        <w:rPr>
          <w:rFonts w:ascii="Times New Roman" w:eastAsia="宋体" w:hAnsi="Times New Roman" w:cs="Times New Roman"/>
          <w:sz w:val="24"/>
          <w:szCs w:val="24"/>
        </w:rPr>
        <w:t>DeN</w:t>
      </w:r>
      <w:proofErr w:type="spellEnd"/>
      <w:r>
        <w:rPr>
          <w:rFonts w:ascii="Times New Roman" w:eastAsia="宋体" w:hAnsi="Times New Roman" w:cs="Times New Roman"/>
          <w:sz w:val="24"/>
          <w:szCs w:val="24"/>
        </w:rPr>
        <w:t xml:space="preserve">) of 3.8, 9.3, and 22.8, respectively. These data indicate that the degree of entanglement increases with increasing concentration. By fitting the experimental </w:t>
      </w:r>
      <w:proofErr w:type="spellStart"/>
      <w:r>
        <w:rPr>
          <w:rFonts w:ascii="Times New Roman" w:eastAsia="宋体" w:hAnsi="Times New Roman" w:cs="Times New Roman"/>
          <w:sz w:val="24"/>
          <w:szCs w:val="24"/>
        </w:rPr>
        <w:t>MeN</w:t>
      </w:r>
      <w:proofErr w:type="spellEnd"/>
      <w:r>
        <w:rPr>
          <w:rFonts w:ascii="Times New Roman" w:eastAsia="宋体" w:hAnsi="Times New Roman" w:cs="Times New Roman"/>
          <w:sz w:val="24"/>
          <w:szCs w:val="24"/>
        </w:rPr>
        <w:t xml:space="preserve"> values with concentration-dependent data, a correlation function was derived, enabling quantitative regulation of the degree of entanglement of the </w:t>
      </w:r>
      <w:r>
        <w:rPr>
          <w:rFonts w:ascii="Times New Roman" w:eastAsia="宋体" w:hAnsi="Times New Roman" w:cs="Times New Roman"/>
          <w:sz w:val="24"/>
          <w:szCs w:val="24"/>
        </w:rPr>
        <w:lastRenderedPageBreak/>
        <w:t>system through concentration control. Furthermore, the ion addition or swelling regulation mentioned in the previous section directly corresponds to a decrease in the degree of entanglement, reducing it from 22.8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to 11.3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E) and 4.2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S). Clearly, the reduction in the hydrophobic effect caused by swelling has a more significant impact on polymer entanglement.</w:t>
      </w:r>
    </w:p>
    <w:p w14:paraId="51B06BEF" w14:textId="77777777" w:rsidR="00155631" w:rsidRDefault="00155631" w:rsidP="005E6F8D">
      <w:pPr>
        <w:spacing w:line="480" w:lineRule="auto"/>
        <w:rPr>
          <w:rFonts w:ascii="Times New Roman" w:eastAsia="宋体" w:hAnsi="Times New Roman" w:cs="Times New Roman"/>
          <w:sz w:val="24"/>
          <w:szCs w:val="24"/>
        </w:rPr>
      </w:pPr>
    </w:p>
    <w:p w14:paraId="782996C6" w14:textId="38BD0E40"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47D87E66" wp14:editId="5775DE07">
            <wp:extent cx="2160000" cy="1783183"/>
            <wp:effectExtent l="0" t="0" r="0" b="7620"/>
            <wp:docPr id="109839666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60000" cy="1783183"/>
                    </a:xfrm>
                    <a:prstGeom prst="rect">
                      <a:avLst/>
                    </a:prstGeom>
                    <a:noFill/>
                    <a:ln>
                      <a:noFill/>
                    </a:ln>
                  </pic:spPr>
                </pic:pic>
              </a:graphicData>
            </a:graphic>
          </wp:inline>
        </w:drawing>
      </w:r>
    </w:p>
    <w:p w14:paraId="6E8A19CC" w14:textId="7F452938"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E934FF">
        <w:rPr>
          <w:rFonts w:ascii="Times New Roman" w:eastAsia="宋体" w:hAnsi="Times New Roman" w:cs="Times New Roman" w:hint="eastAsia"/>
          <w:b/>
          <w:bCs/>
          <w:sz w:val="24"/>
          <w:szCs w:val="24"/>
        </w:rPr>
        <w:t>31</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Concentration-dependent entanglement molecular weight (</w:t>
      </w:r>
      <w:proofErr w:type="spellStart"/>
      <w:r>
        <w:rPr>
          <w:rFonts w:ascii="Times New Roman" w:eastAsia="宋体" w:hAnsi="Times New Roman" w:cs="Times New Roman"/>
          <w:sz w:val="24"/>
          <w:szCs w:val="24"/>
        </w:rPr>
        <w:t>MeN</w:t>
      </w:r>
      <w:proofErr w:type="spellEnd"/>
      <w:r>
        <w:rPr>
          <w:rFonts w:ascii="Times New Roman" w:eastAsia="宋体" w:hAnsi="Times New Roman" w:cs="Times New Roman"/>
          <w:sz w:val="24"/>
          <w:szCs w:val="24"/>
        </w:rPr>
        <w:t>) curves obtained by the nuclear magnetic resonance method and fitting results.</w:t>
      </w:r>
    </w:p>
    <w:p w14:paraId="430C884B" w14:textId="77777777" w:rsidR="00155631" w:rsidRDefault="00155631" w:rsidP="005E6F8D">
      <w:pPr>
        <w:spacing w:line="480" w:lineRule="auto"/>
        <w:rPr>
          <w:rFonts w:ascii="Times New Roman" w:eastAsia="宋体" w:hAnsi="Times New Roman" w:cs="Times New Roman"/>
          <w:sz w:val="24"/>
          <w:szCs w:val="24"/>
        </w:rPr>
      </w:pPr>
    </w:p>
    <w:p w14:paraId="52D56F59" w14:textId="33358B09" w:rsidR="00155631" w:rsidRDefault="00E934FF" w:rsidP="005E6F8D">
      <w:pPr>
        <w:spacing w:line="480" w:lineRule="auto"/>
        <w:rPr>
          <w:rFonts w:ascii="Times New Roman" w:eastAsia="宋体" w:hAnsi="Times New Roman" w:cs="Times New Roman"/>
          <w:sz w:val="24"/>
          <w:szCs w:val="24"/>
        </w:rPr>
      </w:pPr>
      <w:r w:rsidRPr="005B7BDA">
        <w:rPr>
          <w:rFonts w:ascii="Times New Roman" w:hAnsi="Times New Roman" w:cs="Times New Roman"/>
          <w:noProof/>
          <w:sz w:val="24"/>
          <w:szCs w:val="24"/>
        </w:rPr>
        <w:drawing>
          <wp:inline distT="0" distB="0" distL="0" distR="0" wp14:anchorId="2823B4C5" wp14:editId="7CDAB940">
            <wp:extent cx="5274000" cy="1582200"/>
            <wp:effectExtent l="0" t="0" r="3175" b="0"/>
            <wp:docPr id="1982989522"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989522"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5274000" cy="1582200"/>
                    </a:xfrm>
                    <a:prstGeom prst="rect">
                      <a:avLst/>
                    </a:prstGeom>
                  </pic:spPr>
                </pic:pic>
              </a:graphicData>
            </a:graphic>
          </wp:inline>
        </w:drawing>
      </w:r>
    </w:p>
    <w:p w14:paraId="611D9BD2" w14:textId="0EA53F92"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E934FF">
        <w:rPr>
          <w:rFonts w:ascii="Times New Roman" w:eastAsia="宋体" w:hAnsi="Times New Roman" w:cs="Times New Roman" w:hint="eastAsia"/>
          <w:b/>
          <w:bCs/>
          <w:sz w:val="24"/>
          <w:szCs w:val="24"/>
        </w:rPr>
        <w:t>32</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Amplitude-frequency scanning curves of different hydrogels. a.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b.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c. PSM</w:t>
      </w:r>
      <w:r>
        <w:rPr>
          <w:rFonts w:ascii="Times New Roman" w:eastAsia="宋体" w:hAnsi="Times New Roman" w:cs="Times New Roman"/>
          <w:sz w:val="24"/>
          <w:szCs w:val="24"/>
          <w:vertAlign w:val="subscript"/>
        </w:rPr>
        <w:t>6M.</w:t>
      </w:r>
    </w:p>
    <w:p w14:paraId="47EFB61C" w14:textId="610C19BC"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The shear modulus (entangled platform modulus) was determined through amplitude-frequency scanning tests conducted across both the rubber and transition </w:t>
      </w:r>
      <w:r>
        <w:rPr>
          <w:rFonts w:ascii="Times New Roman" w:eastAsia="宋体" w:hAnsi="Times New Roman" w:cs="Times New Roman"/>
          <w:sz w:val="24"/>
          <w:szCs w:val="24"/>
        </w:rPr>
        <w:lastRenderedPageBreak/>
        <w:t>zones. Rheological data at very high and low frequencies were supplemented using the time-temperature superposition principle. Based on the criterion of minimizing the loss angle tangent (</w:t>
      </w:r>
      <w:proofErr w:type="spellStart"/>
      <w:r>
        <w:rPr>
          <w:rFonts w:ascii="Times New Roman" w:eastAsia="宋体" w:hAnsi="Times New Roman" w:cs="Times New Roman"/>
          <w:sz w:val="24"/>
          <w:szCs w:val="24"/>
        </w:rPr>
        <w:t>tanδ</w:t>
      </w:r>
      <w:proofErr w:type="spellEnd"/>
      <w:r>
        <w:rPr>
          <w:rFonts w:ascii="Times New Roman" w:eastAsia="宋体" w:hAnsi="Times New Roman" w:cs="Times New Roman"/>
          <w:sz w:val="24"/>
          <w:szCs w:val="24"/>
        </w:rPr>
        <w:t xml:space="preserve">), the rubbery plateau regions of PSM are situated in the low-frequency domain and exhibit a dependence on polymer concentration. With increasing concentration, the frequency corresponding to the peak position of </w:t>
      </w:r>
      <w:proofErr w:type="spellStart"/>
      <w:r>
        <w:rPr>
          <w:rFonts w:ascii="Times New Roman" w:eastAsia="宋体" w:hAnsi="Times New Roman" w:cs="Times New Roman"/>
          <w:sz w:val="24"/>
          <w:szCs w:val="24"/>
        </w:rPr>
        <w:t>tanδ</w:t>
      </w:r>
      <w:proofErr w:type="spellEnd"/>
      <w:r>
        <w:rPr>
          <w:rFonts w:ascii="Times New Roman" w:eastAsia="宋体" w:hAnsi="Times New Roman" w:cs="Times New Roman"/>
          <w:sz w:val="24"/>
          <w:szCs w:val="24"/>
        </w:rPr>
        <w:t xml:space="preserve"> decreases, ranging from 0.2 rad/s for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to 0.00075 rad/s for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This shift reflects the distinct relaxation behavior of polymer chains. The G’ value at the </w:t>
      </w:r>
      <w:proofErr w:type="spellStart"/>
      <w:r>
        <w:rPr>
          <w:rFonts w:ascii="Times New Roman" w:eastAsia="宋体" w:hAnsi="Times New Roman" w:cs="Times New Roman"/>
          <w:sz w:val="24"/>
          <w:szCs w:val="24"/>
        </w:rPr>
        <w:t>tanδ</w:t>
      </w:r>
      <w:proofErr w:type="spellEnd"/>
      <w:r>
        <w:rPr>
          <w:rFonts w:ascii="Times New Roman" w:eastAsia="宋体" w:hAnsi="Times New Roman" w:cs="Times New Roman"/>
          <w:sz w:val="24"/>
          <w:szCs w:val="24"/>
        </w:rPr>
        <w:t xml:space="preserve"> peak is defined as the plateau modulus of the gel, which arises from molecular entanglements. Consistent with previously established trends, as the polymer concentration increases, the degree of molecular chain entanglement increases, leading to a higher platform modulus and a shift of the viscoelastic transition to lower frequencies. This indicates that the characteristic full-chain relaxation time of the PSM is prolonged, reflecting an enhanced elastic behavior. Within the rubbery plateau region, the modulus of PSM remains independent of frequency, confirming its predominantly elastic response over this range. With increasing entanglement density and dipole interaction strength, the width of the rubbery plateau expands, signifying a greater contribution of elastic properties to the overall mechanical behavior of the material.</w:t>
      </w:r>
    </w:p>
    <w:p w14:paraId="522A1C73" w14:textId="77777777" w:rsidR="00155631" w:rsidRDefault="00155631" w:rsidP="005E6F8D">
      <w:pPr>
        <w:spacing w:line="480" w:lineRule="auto"/>
        <w:rPr>
          <w:rFonts w:ascii="Times New Roman" w:eastAsia="宋体" w:hAnsi="Times New Roman" w:cs="Times New Roman"/>
          <w:sz w:val="24"/>
          <w:szCs w:val="24"/>
        </w:rPr>
      </w:pPr>
    </w:p>
    <w:p w14:paraId="34923E2C" w14:textId="56C56690"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lastRenderedPageBreak/>
        <w:drawing>
          <wp:inline distT="0" distB="0" distL="0" distR="0" wp14:anchorId="6DFC7927" wp14:editId="09C0BB04">
            <wp:extent cx="2160000" cy="1773631"/>
            <wp:effectExtent l="0" t="0" r="0" b="0"/>
            <wp:docPr id="28484435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49">
                      <a:extLst>
                        <a:ext uri="{28A0092B-C50C-407E-A947-70E740481C1C}">
                          <a14:useLocalDpi xmlns:a14="http://schemas.microsoft.com/office/drawing/2010/main" val="0"/>
                        </a:ext>
                      </a:extLst>
                    </a:blip>
                    <a:srcRect r="35193"/>
                    <a:stretch>
                      <a:fillRect/>
                    </a:stretch>
                  </pic:blipFill>
                  <pic:spPr bwMode="auto">
                    <a:xfrm>
                      <a:off x="0" y="0"/>
                      <a:ext cx="2160000" cy="1773631"/>
                    </a:xfrm>
                    <a:prstGeom prst="rect">
                      <a:avLst/>
                    </a:prstGeom>
                    <a:noFill/>
                    <a:ln>
                      <a:noFill/>
                    </a:ln>
                    <a:extLst>
                      <a:ext uri="{53640926-AAD7-44D8-BBD7-CCE9431645EC}">
                        <a14:shadowObscured xmlns:a14="http://schemas.microsoft.com/office/drawing/2010/main"/>
                      </a:ext>
                    </a:extLst>
                  </pic:spPr>
                </pic:pic>
              </a:graphicData>
            </a:graphic>
          </wp:inline>
        </w:drawing>
      </w:r>
    </w:p>
    <w:p w14:paraId="6967E204" w14:textId="7F4C0DD2"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 xml:space="preserve">Supplementary Figure </w:t>
      </w:r>
      <w:r w:rsidR="00E934FF">
        <w:rPr>
          <w:rFonts w:ascii="Times New Roman" w:eastAsia="宋体" w:hAnsi="Times New Roman" w:cs="Times New Roman" w:hint="eastAsia"/>
          <w:b/>
          <w:bCs/>
          <w:sz w:val="24"/>
          <w:szCs w:val="24"/>
        </w:rPr>
        <w:t>33</w:t>
      </w:r>
      <w:r>
        <w:rPr>
          <w:rFonts w:ascii="Times New Roman" w:eastAsia="宋体" w:hAnsi="Times New Roman" w:cs="Times New Roman"/>
          <w:b/>
          <w:bCs/>
          <w:sz w:val="24"/>
          <w:szCs w:val="24"/>
        </w:rPr>
        <w:t xml:space="preserve"> </w:t>
      </w:r>
      <w:r>
        <w:rPr>
          <w:rFonts w:ascii="Times New Roman" w:eastAsia="宋体" w:hAnsi="Times New Roman" w:cs="Times New Roman"/>
          <w:sz w:val="24"/>
          <w:szCs w:val="24"/>
        </w:rPr>
        <w:t>Concentration-dependent entanglement molecular weight (</w:t>
      </w:r>
      <w:proofErr w:type="spellStart"/>
      <w:r>
        <w:rPr>
          <w:rFonts w:ascii="Times New Roman" w:eastAsia="宋体" w:hAnsi="Times New Roman" w:cs="Times New Roman"/>
          <w:sz w:val="24"/>
          <w:szCs w:val="24"/>
        </w:rPr>
        <w:t>MeR</w:t>
      </w:r>
      <w:proofErr w:type="spellEnd"/>
      <w:r>
        <w:rPr>
          <w:rFonts w:ascii="Times New Roman" w:eastAsia="宋体" w:hAnsi="Times New Roman" w:cs="Times New Roman"/>
          <w:sz w:val="24"/>
          <w:szCs w:val="24"/>
        </w:rPr>
        <w:t>) curve obtained by the rheological method and fitting results.</w:t>
      </w:r>
    </w:p>
    <w:p w14:paraId="5156B0F5"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rheological method was employed to cross-validate the conclusions derived from LF-NMR. Frequency scanning tests were conducted on PSM. On the basis of the principle of minimizing the tangent of the loss angle (</w:t>
      </w:r>
      <w:proofErr w:type="spellStart"/>
      <w:r>
        <w:rPr>
          <w:rFonts w:ascii="Times New Roman" w:eastAsia="宋体" w:hAnsi="Times New Roman" w:cs="Times New Roman"/>
          <w:sz w:val="24"/>
          <w:szCs w:val="24"/>
        </w:rPr>
        <w:t>tanδ</w:t>
      </w:r>
      <w:proofErr w:type="spellEnd"/>
      <w:r>
        <w:rPr>
          <w:rFonts w:ascii="Times New Roman" w:eastAsia="宋体" w:hAnsi="Times New Roman" w:cs="Times New Roman"/>
          <w:sz w:val="24"/>
          <w:szCs w:val="24"/>
        </w:rPr>
        <w:t>), the rubber plateau points of PSM were determined, and the entanglement molecular weight was calculated using the plateau modulus in conjunction with rubber elasticity theory. The results indicate that the entanglement molecular weights (</w:t>
      </w:r>
      <w:proofErr w:type="spellStart"/>
      <w:r>
        <w:rPr>
          <w:rFonts w:ascii="Times New Roman" w:eastAsia="宋体" w:hAnsi="Times New Roman" w:cs="Times New Roman"/>
          <w:sz w:val="24"/>
          <w:szCs w:val="24"/>
        </w:rPr>
        <w:t>MeR</w:t>
      </w:r>
      <w:proofErr w:type="spellEnd"/>
      <w:r>
        <w:rPr>
          <w:rFonts w:ascii="Times New Roman" w:eastAsia="宋体" w:hAnsi="Times New Roman" w:cs="Times New Roman"/>
          <w:sz w:val="24"/>
          <w:szCs w:val="24"/>
        </w:rPr>
        <w:t>) of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and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are 59842 g/mol, 21456 g/mol, and 1463 g/mol, respectively, with corresponding entanglement degrees (</w:t>
      </w:r>
      <w:proofErr w:type="spellStart"/>
      <w:r>
        <w:rPr>
          <w:rFonts w:ascii="Times New Roman" w:eastAsia="宋体" w:hAnsi="Times New Roman" w:cs="Times New Roman"/>
          <w:sz w:val="24"/>
          <w:szCs w:val="24"/>
        </w:rPr>
        <w:t>DeR</w:t>
      </w:r>
      <w:proofErr w:type="spellEnd"/>
      <w:r>
        <w:rPr>
          <w:rFonts w:ascii="Times New Roman" w:eastAsia="宋体" w:hAnsi="Times New Roman" w:cs="Times New Roman"/>
          <w:sz w:val="24"/>
          <w:szCs w:val="24"/>
        </w:rPr>
        <w:t xml:space="preserve">) of 2, 5.6, and 82, respectively. Similarly, fitting the experimental </w:t>
      </w:r>
      <w:proofErr w:type="spellStart"/>
      <w:r>
        <w:rPr>
          <w:rFonts w:ascii="Times New Roman" w:eastAsia="宋体" w:hAnsi="Times New Roman" w:cs="Times New Roman"/>
          <w:sz w:val="24"/>
          <w:szCs w:val="24"/>
        </w:rPr>
        <w:t>MeR</w:t>
      </w:r>
      <w:proofErr w:type="spellEnd"/>
      <w:r>
        <w:rPr>
          <w:rFonts w:ascii="Times New Roman" w:eastAsia="宋体" w:hAnsi="Times New Roman" w:cs="Times New Roman"/>
          <w:sz w:val="24"/>
          <w:szCs w:val="24"/>
        </w:rPr>
        <w:t xml:space="preserve"> yields the </w:t>
      </w:r>
      <w:r>
        <w:rPr>
          <w:rFonts w:ascii="Times New Roman" w:eastAsia="宋体" w:hAnsi="Times New Roman" w:cs="Times New Roman"/>
          <w:i/>
          <w:iCs/>
          <w:sz w:val="24"/>
          <w:szCs w:val="24"/>
        </w:rPr>
        <w:t xml:space="preserve">c </w:t>
      </w:r>
      <w:r>
        <w:rPr>
          <w:rFonts w:ascii="Times New Roman" w:eastAsia="宋体" w:hAnsi="Times New Roman" w:cs="Times New Roman"/>
          <w:sz w:val="24"/>
          <w:szCs w:val="24"/>
        </w:rPr>
        <w:t xml:space="preserve">~ </w:t>
      </w:r>
      <w:proofErr w:type="spellStart"/>
      <w:r>
        <w:rPr>
          <w:rFonts w:ascii="Times New Roman" w:eastAsia="宋体" w:hAnsi="Times New Roman" w:cs="Times New Roman"/>
          <w:sz w:val="24"/>
          <w:szCs w:val="24"/>
        </w:rPr>
        <w:t>MeR</w:t>
      </w:r>
      <w:proofErr w:type="spellEnd"/>
      <w:r>
        <w:rPr>
          <w:rFonts w:ascii="Times New Roman" w:eastAsia="宋体" w:hAnsi="Times New Roman" w:cs="Times New Roman"/>
          <w:sz w:val="24"/>
          <w:szCs w:val="24"/>
        </w:rPr>
        <w:t xml:space="preserve"> correlation function.</w:t>
      </w:r>
    </w:p>
    <w:p w14:paraId="05CF8A5D" w14:textId="77777777" w:rsidR="00155631" w:rsidRDefault="00155631" w:rsidP="005E6F8D">
      <w:pPr>
        <w:spacing w:line="480" w:lineRule="auto"/>
        <w:rPr>
          <w:rFonts w:ascii="Times New Roman" w:eastAsia="宋体" w:hAnsi="Times New Roman" w:cs="Times New Roman"/>
          <w:sz w:val="24"/>
          <w:szCs w:val="24"/>
        </w:rPr>
      </w:pPr>
    </w:p>
    <w:p w14:paraId="05FBBFB8" w14:textId="385B6EE6"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26BA4E84" wp14:editId="5462D314">
            <wp:extent cx="2160000" cy="1834154"/>
            <wp:effectExtent l="0" t="0" r="0" b="0"/>
            <wp:docPr id="136335973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60000" cy="1834154"/>
                    </a:xfrm>
                    <a:prstGeom prst="rect">
                      <a:avLst/>
                    </a:prstGeom>
                    <a:noFill/>
                    <a:ln>
                      <a:noFill/>
                    </a:ln>
                  </pic:spPr>
                </pic:pic>
              </a:graphicData>
            </a:graphic>
          </wp:inline>
        </w:drawing>
      </w:r>
    </w:p>
    <w:p w14:paraId="25F6B695" w14:textId="590F40BB"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3</w:t>
      </w:r>
      <w:r w:rsidR="00E934FF">
        <w:rPr>
          <w:rFonts w:ascii="Times New Roman" w:eastAsia="宋体" w:hAnsi="Times New Roman" w:cs="Times New Roman" w:hint="eastAsia"/>
          <w:b/>
          <w:bCs/>
          <w:sz w:val="24"/>
          <w:szCs w:val="24"/>
        </w:rPr>
        <w:t>4</w:t>
      </w:r>
      <w:r>
        <w:rPr>
          <w:rFonts w:ascii="Times New Roman" w:eastAsia="宋体" w:hAnsi="Times New Roman" w:cs="Times New Roman"/>
          <w:b/>
          <w:bCs/>
          <w:sz w:val="24"/>
          <w:szCs w:val="24"/>
        </w:rPr>
        <w:t xml:space="preserve">. </w:t>
      </w:r>
      <w:r>
        <w:rPr>
          <w:rFonts w:ascii="Times New Roman" w:eastAsia="宋体" w:hAnsi="Times New Roman" w:cs="Times New Roman"/>
          <w:sz w:val="24"/>
          <w:szCs w:val="24"/>
        </w:rPr>
        <w:t xml:space="preserve">Comprehensive entanglement molecular weight (Me) </w:t>
      </w:r>
      <w:r>
        <w:rPr>
          <w:rFonts w:ascii="Times New Roman" w:eastAsia="宋体" w:hAnsi="Times New Roman" w:cs="Times New Roman"/>
          <w:sz w:val="24"/>
          <w:szCs w:val="24"/>
        </w:rPr>
        <w:lastRenderedPageBreak/>
        <w:t>curves and fitting results related to the concentration.</w:t>
      </w:r>
    </w:p>
    <w:p w14:paraId="04C74993"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Importantly, due to the inherent differences between the two methods (molecular chain relaxation vs. gel viscoelasticity), discrepancies exist in the calculated results. The LF-NMR method is more suitable for plastic gels, whereas the rheological method is better suited for elastic gels. Since the PSM in this study has intermediate characteristics between plasticity and elasticity, a more practical quantitative evaluation of the entanglement data was achieved by combining the results obtained from both detection methods. Specifically, the modified Me was calculated as the product of </w:t>
      </w:r>
      <w:proofErr w:type="spellStart"/>
      <w:r>
        <w:rPr>
          <w:rFonts w:ascii="Times New Roman" w:eastAsia="宋体" w:hAnsi="Times New Roman" w:cs="Times New Roman"/>
          <w:sz w:val="24"/>
          <w:szCs w:val="24"/>
        </w:rPr>
        <w:t>MeN</w:t>
      </w:r>
      <w:proofErr w:type="spellEnd"/>
      <w:r>
        <w:rPr>
          <w:rFonts w:ascii="Times New Roman" w:eastAsia="宋体" w:hAnsi="Times New Roman" w:cs="Times New Roman"/>
          <w:sz w:val="24"/>
          <w:szCs w:val="24"/>
        </w:rPr>
        <w:t xml:space="preserve"> and the proportion of plasticity in the hydrogel plus the product of </w:t>
      </w:r>
      <w:proofErr w:type="spellStart"/>
      <w:r>
        <w:rPr>
          <w:rFonts w:ascii="Times New Roman" w:eastAsia="宋体" w:hAnsi="Times New Roman" w:cs="Times New Roman"/>
          <w:sz w:val="24"/>
          <w:szCs w:val="24"/>
        </w:rPr>
        <w:t>MeR</w:t>
      </w:r>
      <w:proofErr w:type="spellEnd"/>
      <w:r>
        <w:rPr>
          <w:rFonts w:ascii="Times New Roman" w:eastAsia="宋体" w:hAnsi="Times New Roman" w:cs="Times New Roman"/>
          <w:sz w:val="24"/>
          <w:szCs w:val="24"/>
        </w:rPr>
        <w:t xml:space="preserve"> and the proportion of elasticity in the hydrogel. Furthermore, through fitting, the model was simplified to the relevant function of </w:t>
      </w:r>
      <w:r>
        <w:rPr>
          <w:rFonts w:ascii="Times New Roman" w:eastAsia="宋体" w:hAnsi="Times New Roman" w:cs="Times New Roman"/>
          <w:i/>
          <w:iCs/>
          <w:sz w:val="24"/>
          <w:szCs w:val="24"/>
        </w:rPr>
        <w:t>c</w:t>
      </w:r>
      <w:r>
        <w:rPr>
          <w:rFonts w:ascii="Times New Roman" w:eastAsia="宋体" w:hAnsi="Times New Roman" w:cs="Times New Roman"/>
          <w:sz w:val="24"/>
          <w:szCs w:val="24"/>
        </w:rPr>
        <w:t xml:space="preserve">, enabling more objective prediction and regulation of the entanglement molecular weight of the system on the basis of the concentration. Combining this model with the elastoplastic data from the previous section, when the modified entanglement degree De (De=molecular weight/Me) of the system is 3.6, 6.6, and 69, the corresponding elastic degrees of PSM are 6.8%, 63.5%, and 89.6%, respectively. Through fitting, the correlation between the De and elastic degree of the gel was established (logarithmic correlation function), thereby quantifying the influence of the entanglement degree on the </w:t>
      </w:r>
      <w:proofErr w:type="spellStart"/>
      <w:r>
        <w:rPr>
          <w:rFonts w:ascii="Times New Roman" w:eastAsia="宋体" w:hAnsi="Times New Roman" w:cs="Times New Roman"/>
          <w:sz w:val="24"/>
          <w:szCs w:val="24"/>
        </w:rPr>
        <w:t>elastoplasticity</w:t>
      </w:r>
      <w:proofErr w:type="spellEnd"/>
      <w:r>
        <w:rPr>
          <w:rFonts w:ascii="Times New Roman" w:eastAsia="宋体" w:hAnsi="Times New Roman" w:cs="Times New Roman"/>
          <w:sz w:val="24"/>
          <w:szCs w:val="24"/>
        </w:rPr>
        <w:t xml:space="preserve"> of the gel.</w:t>
      </w:r>
    </w:p>
    <w:p w14:paraId="6C5E3EE7" w14:textId="77777777" w:rsidR="00155631" w:rsidRDefault="00155631" w:rsidP="005E6F8D">
      <w:pPr>
        <w:spacing w:line="480" w:lineRule="auto"/>
        <w:rPr>
          <w:rFonts w:ascii="Times New Roman" w:eastAsia="宋体" w:hAnsi="Times New Roman" w:cs="Times New Roman"/>
          <w:sz w:val="24"/>
          <w:szCs w:val="24"/>
        </w:rPr>
      </w:pPr>
    </w:p>
    <w:p w14:paraId="76A00E17" w14:textId="57E385CD"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lastRenderedPageBreak/>
        <w:drawing>
          <wp:inline distT="0" distB="0" distL="0" distR="0" wp14:anchorId="4E90F452" wp14:editId="29F9C861">
            <wp:extent cx="2160000" cy="1736894"/>
            <wp:effectExtent l="0" t="0" r="0" b="0"/>
            <wp:docPr id="138533506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60000" cy="1736894"/>
                    </a:xfrm>
                    <a:prstGeom prst="rect">
                      <a:avLst/>
                    </a:prstGeom>
                    <a:noFill/>
                    <a:ln>
                      <a:noFill/>
                    </a:ln>
                  </pic:spPr>
                </pic:pic>
              </a:graphicData>
            </a:graphic>
          </wp:inline>
        </w:drawing>
      </w:r>
    </w:p>
    <w:p w14:paraId="75497107" w14:textId="0D861AA2"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3</w:t>
      </w:r>
      <w:r w:rsidR="00E934FF">
        <w:rPr>
          <w:rFonts w:ascii="Times New Roman" w:eastAsia="宋体" w:hAnsi="Times New Roman" w:cs="Times New Roman" w:hint="eastAsia"/>
          <w:b/>
          <w:bCs/>
          <w:sz w:val="24"/>
          <w:szCs w:val="24"/>
        </w:rPr>
        <w:t>5</w:t>
      </w:r>
      <w:r>
        <w:rPr>
          <w:rFonts w:ascii="Times New Roman" w:eastAsia="宋体" w:hAnsi="Times New Roman" w:cs="Times New Roman"/>
          <w:b/>
          <w:bCs/>
          <w:sz w:val="24"/>
          <w:szCs w:val="24"/>
        </w:rPr>
        <w:t xml:space="preserve">. </w:t>
      </w:r>
      <w:r>
        <w:rPr>
          <w:rFonts w:ascii="Times New Roman" w:eastAsia="宋体" w:hAnsi="Times New Roman" w:cs="Times New Roman"/>
          <w:sz w:val="24"/>
          <w:szCs w:val="24"/>
        </w:rPr>
        <w:t>Relationship between the degree of entanglement (De) of the hydrogels and the elastic ratio (Er) and fitting results.</w:t>
      </w:r>
    </w:p>
    <w:p w14:paraId="1D82104F" w14:textId="77777777" w:rsidR="00155631" w:rsidRDefault="00155631" w:rsidP="005E6F8D">
      <w:pPr>
        <w:spacing w:line="480" w:lineRule="auto"/>
        <w:rPr>
          <w:rFonts w:ascii="Times New Roman" w:eastAsia="宋体" w:hAnsi="Times New Roman" w:cs="Times New Roman"/>
          <w:sz w:val="24"/>
          <w:szCs w:val="24"/>
        </w:rPr>
      </w:pPr>
    </w:p>
    <w:p w14:paraId="21B8566E" w14:textId="653DB2CD"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0B0160F5" wp14:editId="4EF13B7E">
            <wp:extent cx="3597910" cy="1350010"/>
            <wp:effectExtent l="0" t="0" r="2540" b="2540"/>
            <wp:docPr id="146475500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97910" cy="1350010"/>
                    </a:xfrm>
                    <a:prstGeom prst="rect">
                      <a:avLst/>
                    </a:prstGeom>
                    <a:noFill/>
                    <a:ln>
                      <a:noFill/>
                    </a:ln>
                  </pic:spPr>
                </pic:pic>
              </a:graphicData>
            </a:graphic>
          </wp:inline>
        </w:drawing>
      </w:r>
    </w:p>
    <w:p w14:paraId="37D8887D" w14:textId="7B0699D7"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3</w:t>
      </w:r>
      <w:r w:rsidR="00E934FF">
        <w:rPr>
          <w:rFonts w:ascii="Times New Roman" w:eastAsia="宋体" w:hAnsi="Times New Roman" w:cs="Times New Roman" w:hint="eastAsia"/>
          <w:b/>
          <w:bCs/>
          <w:sz w:val="24"/>
          <w:szCs w:val="24"/>
        </w:rPr>
        <w:t>6</w:t>
      </w:r>
      <w:r>
        <w:rPr>
          <w:rFonts w:ascii="Times New Roman" w:eastAsia="宋体" w:hAnsi="Times New Roman" w:cs="Times New Roman"/>
          <w:b/>
          <w:bCs/>
          <w:sz w:val="24"/>
          <w:szCs w:val="24"/>
        </w:rPr>
        <w:t xml:space="preserve">. </w:t>
      </w:r>
      <w:r>
        <w:rPr>
          <w:rFonts w:ascii="Times New Roman" w:eastAsia="宋体" w:hAnsi="Times New Roman" w:cs="Times New Roman"/>
          <w:sz w:val="24"/>
          <w:szCs w:val="24"/>
        </w:rPr>
        <w:t>Simulation diagrams of the hydrogels at different times in directional stretching MD simulations. a.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b. PSM</w:t>
      </w:r>
      <w:r>
        <w:rPr>
          <w:rFonts w:ascii="Times New Roman" w:eastAsia="宋体" w:hAnsi="Times New Roman" w:cs="Times New Roman"/>
          <w:sz w:val="24"/>
          <w:szCs w:val="24"/>
          <w:vertAlign w:val="subscript"/>
        </w:rPr>
        <w:t>6M.</w:t>
      </w:r>
    </w:p>
    <w:p w14:paraId="08F8E4AD"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The tension-oriented MD simulation of PSM aligns with the microscopic tensile fracture </w:t>
      </w:r>
      <w:proofErr w:type="spellStart"/>
      <w:r>
        <w:rPr>
          <w:rFonts w:ascii="Times New Roman" w:eastAsia="宋体" w:hAnsi="Times New Roman" w:cs="Times New Roman"/>
          <w:sz w:val="24"/>
          <w:szCs w:val="24"/>
        </w:rPr>
        <w:t>behaviour</w:t>
      </w:r>
      <w:proofErr w:type="spellEnd"/>
      <w:r>
        <w:rPr>
          <w:rFonts w:ascii="Times New Roman" w:eastAsia="宋体" w:hAnsi="Times New Roman" w:cs="Times New Roman"/>
          <w:sz w:val="24"/>
          <w:szCs w:val="24"/>
        </w:rPr>
        <w:t xml:space="preserve"> of the gel. In the initial deformation region (&lt; 20 ns),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demonstrates pronounced molecular chain slip </w:t>
      </w:r>
      <w:proofErr w:type="spellStart"/>
      <w:r>
        <w:rPr>
          <w:rFonts w:ascii="Times New Roman" w:eastAsia="宋体" w:hAnsi="Times New Roman" w:cs="Times New Roman"/>
          <w:sz w:val="24"/>
          <w:szCs w:val="24"/>
        </w:rPr>
        <w:t>behaviour</w:t>
      </w:r>
      <w:proofErr w:type="spellEnd"/>
      <w:r>
        <w:rPr>
          <w:rFonts w:ascii="Times New Roman" w:eastAsia="宋体" w:hAnsi="Times New Roman" w:cs="Times New Roman"/>
          <w:sz w:val="24"/>
          <w:szCs w:val="24"/>
        </w:rPr>
        <w:t>. Upon further stretching, the molecular chains exhibit enhanced slip, elongation, and alignment along the stretching direction, accompanied by a noticeable necking phenomenon. After surpassing the yield point, the material transitions into complete plastic deformation, with the stress gradually decreasing until fracture.</w:t>
      </w:r>
    </w:p>
    <w:p w14:paraId="4F697C57"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Unlike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demonstrates only chain stretching </w:t>
      </w:r>
      <w:proofErr w:type="spellStart"/>
      <w:r>
        <w:rPr>
          <w:rFonts w:ascii="Times New Roman" w:eastAsia="宋体" w:hAnsi="Times New Roman" w:cs="Times New Roman"/>
          <w:sz w:val="24"/>
          <w:szCs w:val="24"/>
        </w:rPr>
        <w:t>behaviour</w:t>
      </w:r>
      <w:proofErr w:type="spellEnd"/>
      <w:r>
        <w:rPr>
          <w:rFonts w:ascii="Times New Roman" w:eastAsia="宋体" w:hAnsi="Times New Roman" w:cs="Times New Roman"/>
          <w:sz w:val="24"/>
          <w:szCs w:val="24"/>
        </w:rPr>
        <w:t xml:space="preserve"> without chain slippage during the initial stage (&lt; 20 ns). During continuous stretching (20 - 100 </w:t>
      </w:r>
      <w:r>
        <w:rPr>
          <w:rFonts w:ascii="Times New Roman" w:eastAsia="宋体" w:hAnsi="Times New Roman" w:cs="Times New Roman"/>
          <w:sz w:val="24"/>
          <w:szCs w:val="24"/>
        </w:rPr>
        <w:lastRenderedPageBreak/>
        <w:t>ns), the molecular chains subsequently undergo significant stretching and partial orientation, with the stress gradually increasing. When a certain degree of stretching is reached (~110 ns), internal defects emerge within the gel and progressively expand until fracture, exhibiting elastic deformation characteristics.</w:t>
      </w:r>
    </w:p>
    <w:p w14:paraId="1CD3F7FD" w14:textId="77777777" w:rsidR="00155631" w:rsidRDefault="00155631" w:rsidP="005E6F8D">
      <w:pPr>
        <w:spacing w:line="480" w:lineRule="auto"/>
        <w:rPr>
          <w:rFonts w:ascii="Times New Roman" w:eastAsia="宋体" w:hAnsi="Times New Roman" w:cs="Times New Roman"/>
          <w:sz w:val="24"/>
          <w:szCs w:val="24"/>
        </w:rPr>
      </w:pPr>
    </w:p>
    <w:p w14:paraId="0ADD6B59" w14:textId="756634C1"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6D02D09D" wp14:editId="200A04A8">
            <wp:extent cx="2160000" cy="1679942"/>
            <wp:effectExtent l="0" t="0" r="0" b="0"/>
            <wp:docPr id="77874829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60000" cy="1679942"/>
                    </a:xfrm>
                    <a:prstGeom prst="rect">
                      <a:avLst/>
                    </a:prstGeom>
                    <a:noFill/>
                    <a:ln>
                      <a:noFill/>
                    </a:ln>
                  </pic:spPr>
                </pic:pic>
              </a:graphicData>
            </a:graphic>
          </wp:inline>
        </w:drawing>
      </w:r>
    </w:p>
    <w:p w14:paraId="6B6BDEEA" w14:textId="7D91E194" w:rsidR="00155631" w:rsidRDefault="00000000" w:rsidP="005E6F8D">
      <w:pPr>
        <w:spacing w:line="480" w:lineRule="auto"/>
        <w:rPr>
          <w:rFonts w:ascii="Times New Roman" w:eastAsia="宋体" w:hAnsi="Times New Roman" w:cs="Times New Roman"/>
          <w:sz w:val="24"/>
          <w:szCs w:val="24"/>
        </w:rPr>
      </w:pPr>
      <w:bookmarkStart w:id="3" w:name="_Hlk204332241"/>
      <w:r>
        <w:rPr>
          <w:rFonts w:ascii="Times New Roman" w:eastAsia="宋体" w:hAnsi="Times New Roman" w:cs="Times New Roman"/>
          <w:b/>
          <w:bCs/>
          <w:sz w:val="24"/>
          <w:szCs w:val="24"/>
        </w:rPr>
        <w:t>Supplementary</w:t>
      </w:r>
      <w:bookmarkEnd w:id="3"/>
      <w:r>
        <w:rPr>
          <w:rFonts w:ascii="Times New Roman" w:eastAsia="宋体" w:hAnsi="Times New Roman" w:cs="Times New Roman"/>
          <w:b/>
          <w:bCs/>
          <w:sz w:val="24"/>
          <w:szCs w:val="24"/>
        </w:rPr>
        <w:t xml:space="preserve"> Figure 3</w:t>
      </w:r>
      <w:r w:rsidR="00E934FF">
        <w:rPr>
          <w:rFonts w:ascii="Times New Roman" w:eastAsia="宋体" w:hAnsi="Times New Roman" w:cs="Times New Roman" w:hint="eastAsia"/>
          <w:b/>
          <w:bCs/>
          <w:sz w:val="24"/>
          <w:szCs w:val="24"/>
        </w:rPr>
        <w:t>7</w:t>
      </w:r>
      <w:r>
        <w:rPr>
          <w:rFonts w:ascii="Times New Roman" w:eastAsia="宋体" w:hAnsi="Times New Roman" w:cs="Times New Roman"/>
          <w:b/>
          <w:bCs/>
          <w:sz w:val="24"/>
          <w:szCs w:val="24"/>
        </w:rPr>
        <w:t xml:space="preserve">. </w:t>
      </w:r>
      <w:r>
        <w:rPr>
          <w:rFonts w:ascii="Times New Roman" w:eastAsia="宋体" w:hAnsi="Times New Roman" w:cs="Times New Roman"/>
          <w:sz w:val="24"/>
          <w:szCs w:val="24"/>
        </w:rPr>
        <w:t xml:space="preserve">Stress-time curves </w:t>
      </w:r>
      <w:r>
        <w:rPr>
          <w:rFonts w:ascii="Times New Roman" w:eastAsia="宋体" w:hAnsi="Times New Roman" w:cs="Times New Roman" w:hint="eastAsia"/>
          <w:sz w:val="24"/>
          <w:szCs w:val="24"/>
        </w:rPr>
        <w:t xml:space="preserve">of </w:t>
      </w:r>
      <w:r>
        <w:rPr>
          <w:rFonts w:ascii="Times New Roman" w:eastAsia="宋体" w:hAnsi="Times New Roman" w:cs="Times New Roman"/>
          <w:sz w:val="24"/>
          <w:szCs w:val="24"/>
        </w:rPr>
        <w:t>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and PSM</w:t>
      </w:r>
      <w:r>
        <w:rPr>
          <w:rFonts w:ascii="Times New Roman" w:eastAsia="宋体" w:hAnsi="Times New Roman" w:cs="Times New Roman"/>
          <w:sz w:val="24"/>
          <w:szCs w:val="24"/>
          <w:vertAlign w:val="subscript"/>
        </w:rPr>
        <w:t>6M</w:t>
      </w:r>
      <w:r>
        <w:rPr>
          <w:rFonts w:ascii="Times New Roman" w:eastAsia="宋体" w:hAnsi="Times New Roman" w:cs="Times New Roman" w:hint="eastAsia"/>
          <w:sz w:val="24"/>
          <w:szCs w:val="24"/>
          <w:vertAlign w:val="subscript"/>
        </w:rPr>
        <w:t xml:space="preserve"> </w:t>
      </w:r>
      <w:r>
        <w:rPr>
          <w:rFonts w:ascii="Times New Roman" w:eastAsia="宋体" w:hAnsi="Times New Roman" w:cs="Times New Roman"/>
          <w:sz w:val="24"/>
          <w:szCs w:val="24"/>
        </w:rPr>
        <w:t>in tensile Oriented MD simulation</w:t>
      </w:r>
    </w:p>
    <w:p w14:paraId="2453AFF2"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stress curve trend derived from the tensile-oriented MD simulation is consistent with the actual experimental results. The linear elastic region of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is relatively limited, leading to a more rapid onset of yielding followed by transition into plastic deformation. In contrast,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exhibits a broader elastic range, higher tensile strength, and lacks distinct yield and plastic deformation stages.</w:t>
      </w:r>
    </w:p>
    <w:p w14:paraId="2813480E" w14:textId="77777777" w:rsidR="003C0364" w:rsidRDefault="003C0364" w:rsidP="005E6F8D">
      <w:pPr>
        <w:spacing w:line="480" w:lineRule="auto"/>
        <w:rPr>
          <w:rFonts w:ascii="Times New Roman" w:eastAsia="宋体" w:hAnsi="Times New Roman" w:cs="Times New Roman"/>
          <w:sz w:val="24"/>
          <w:szCs w:val="24"/>
        </w:rPr>
      </w:pPr>
    </w:p>
    <w:p w14:paraId="01D6B303" w14:textId="77777777" w:rsidR="0084773E" w:rsidRDefault="0084773E" w:rsidP="005E6F8D">
      <w:pPr>
        <w:spacing w:line="480" w:lineRule="auto"/>
        <w:rPr>
          <w:rFonts w:ascii="Times New Roman" w:eastAsia="宋体" w:hAnsi="Times New Roman" w:cs="Times New Roman"/>
          <w:sz w:val="24"/>
          <w:szCs w:val="24"/>
        </w:rPr>
      </w:pPr>
    </w:p>
    <w:p w14:paraId="2073E49F" w14:textId="75C5A6F8"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sz w:val="24"/>
          <w:szCs w:val="24"/>
        </w:rPr>
        <w:lastRenderedPageBreak/>
        <w:drawing>
          <wp:inline distT="0" distB="0" distL="0" distR="0" wp14:anchorId="3AA363D7" wp14:editId="293A10BD">
            <wp:extent cx="4320000" cy="1607384"/>
            <wp:effectExtent l="0" t="0" r="0" b="0"/>
            <wp:docPr id="220226786"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26786" name=""/>
                    <pic:cNvPicPr/>
                  </pic:nvPicPr>
                  <pic:blipFill rotWithShape="1">
                    <a:blip r:embed="rId54">
                      <a:extLst>
                        <a:ext uri="{96DAC541-7B7A-43D3-8B79-37D633B846F1}">
                          <asvg:svgBlip xmlns:asvg="http://schemas.microsoft.com/office/drawing/2016/SVG/main" r:embed="rId55"/>
                        </a:ext>
                      </a:extLst>
                    </a:blip>
                    <a:srcRect l="9909" r="9991"/>
                    <a:stretch>
                      <a:fillRect/>
                    </a:stretch>
                  </pic:blipFill>
                  <pic:spPr bwMode="auto">
                    <a:xfrm>
                      <a:off x="0" y="0"/>
                      <a:ext cx="4320000" cy="1607384"/>
                    </a:xfrm>
                    <a:prstGeom prst="rect">
                      <a:avLst/>
                    </a:prstGeom>
                    <a:ln>
                      <a:noFill/>
                    </a:ln>
                    <a:extLst>
                      <a:ext uri="{53640926-AAD7-44D8-BBD7-CCE9431645EC}">
                        <a14:shadowObscured xmlns:a14="http://schemas.microsoft.com/office/drawing/2010/main"/>
                      </a:ext>
                    </a:extLst>
                  </pic:spPr>
                </pic:pic>
              </a:graphicData>
            </a:graphic>
          </wp:inline>
        </w:drawing>
      </w:r>
    </w:p>
    <w:p w14:paraId="19166FC5" w14:textId="58D26353"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3</w:t>
      </w:r>
      <w:r w:rsidR="00E934FF">
        <w:rPr>
          <w:rFonts w:ascii="Times New Roman" w:eastAsia="宋体" w:hAnsi="Times New Roman" w:cs="Times New Roman" w:hint="eastAsia"/>
          <w:b/>
          <w:bCs/>
          <w:sz w:val="24"/>
          <w:szCs w:val="24"/>
        </w:rPr>
        <w:t>8</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Interaction force curves of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and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in the tensile-oriented MD simulation system. a. Hydrogen bonding interactions. b. Electrostatic interactions, including those between polymer chains and between polymer chains and water molecules.</w:t>
      </w:r>
    </w:p>
    <w:p w14:paraId="0CCAA166"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interaction forces within the system are quantitatively analyzed. Compared to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exhibits stronger inter-chain interactions (Figure a). In the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system, the electrostatic interaction between polymer chains is negative, indicating the presence of electrostatic repulsion among the chains. In contrast, the corresponding interaction in the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system is characterized by electrostatic attraction. Regarding the electrostatic interaction between polymer chains and water molecules,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demonstrates a higher interaction strength, suggesting a greater degree of water binding.</w:t>
      </w:r>
    </w:p>
    <w:p w14:paraId="549E8ECF" w14:textId="77777777" w:rsidR="00155631" w:rsidRDefault="00155631" w:rsidP="005E6F8D">
      <w:pPr>
        <w:spacing w:line="480" w:lineRule="auto"/>
        <w:rPr>
          <w:rFonts w:ascii="Times New Roman" w:hAnsi="Times New Roman" w:cs="Times New Roman"/>
          <w:sz w:val="24"/>
          <w:szCs w:val="24"/>
        </w:rPr>
      </w:pPr>
    </w:p>
    <w:p w14:paraId="61D98359" w14:textId="7EE5325F" w:rsidR="00155631" w:rsidRDefault="00E934FF" w:rsidP="005E6F8D">
      <w:pPr>
        <w:spacing w:line="480" w:lineRule="auto"/>
        <w:rPr>
          <w:rFonts w:ascii="Times New Roman" w:eastAsia="宋体" w:hAnsi="Times New Roman" w:cs="Times New Roman"/>
          <w:sz w:val="24"/>
          <w:szCs w:val="24"/>
        </w:rPr>
      </w:pPr>
      <w:r w:rsidRPr="005B7BDA">
        <w:rPr>
          <w:rFonts w:ascii="Times New Roman" w:hAnsi="Times New Roman" w:cs="Times New Roman"/>
          <w:noProof/>
          <w:sz w:val="24"/>
          <w:szCs w:val="24"/>
        </w:rPr>
        <w:drawing>
          <wp:inline distT="0" distB="0" distL="0" distR="0" wp14:anchorId="39CA7091" wp14:editId="264D4B43">
            <wp:extent cx="5274000" cy="1458106"/>
            <wp:effectExtent l="0" t="0" r="3175" b="8890"/>
            <wp:docPr id="655433531"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3353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5274000" cy="1458106"/>
                    </a:xfrm>
                    <a:prstGeom prst="rect">
                      <a:avLst/>
                    </a:prstGeom>
                  </pic:spPr>
                </pic:pic>
              </a:graphicData>
            </a:graphic>
          </wp:inline>
        </w:drawing>
      </w:r>
    </w:p>
    <w:p w14:paraId="7090D99A" w14:textId="37FC31C2"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3</w:t>
      </w:r>
      <w:r w:rsidR="00E934FF">
        <w:rPr>
          <w:rFonts w:ascii="Times New Roman" w:eastAsia="宋体" w:hAnsi="Times New Roman" w:cs="Times New Roman" w:hint="eastAsia"/>
          <w:b/>
          <w:bCs/>
          <w:sz w:val="24"/>
          <w:szCs w:val="24"/>
        </w:rPr>
        <w:t>9</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Recovery length-time curves of hydrogel under different stretching lengths. a.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(λ=10</w:t>
      </w:r>
      <w:bookmarkStart w:id="4" w:name="OLE_LINK3"/>
      <w:r w:rsidR="0049621A">
        <w:rPr>
          <w:rFonts w:ascii="Times New Roman" w:eastAsia="宋体" w:hAnsi="Times New Roman" w:cs="Times New Roman" w:hint="eastAsia"/>
          <w:sz w:val="24"/>
          <w:szCs w:val="24"/>
        </w:rPr>
        <w:t>00%</w:t>
      </w:r>
      <w:bookmarkEnd w:id="4"/>
      <w:r>
        <w:rPr>
          <w:rFonts w:ascii="Times New Roman" w:eastAsia="宋体" w:hAnsi="Times New Roman" w:cs="Times New Roman"/>
          <w:sz w:val="24"/>
          <w:szCs w:val="24"/>
        </w:rPr>
        <w:t>, 20</w:t>
      </w:r>
      <w:r w:rsidR="0049621A">
        <w:rPr>
          <w:rFonts w:ascii="Times New Roman" w:eastAsia="宋体" w:hAnsi="Times New Roman" w:cs="Times New Roman" w:hint="eastAsia"/>
          <w:sz w:val="24"/>
          <w:szCs w:val="24"/>
        </w:rPr>
        <w:t>00%</w:t>
      </w:r>
      <w:r>
        <w:rPr>
          <w:rFonts w:ascii="Times New Roman" w:eastAsia="宋体" w:hAnsi="Times New Roman" w:cs="Times New Roman"/>
          <w:sz w:val="24"/>
          <w:szCs w:val="24"/>
        </w:rPr>
        <w:t>, 40</w:t>
      </w:r>
      <w:r w:rsidR="0049621A">
        <w:rPr>
          <w:rFonts w:ascii="Times New Roman" w:eastAsia="宋体" w:hAnsi="Times New Roman" w:cs="Times New Roman" w:hint="eastAsia"/>
          <w:sz w:val="24"/>
          <w:szCs w:val="24"/>
        </w:rPr>
        <w:t>00%</w:t>
      </w:r>
      <w:r>
        <w:rPr>
          <w:rFonts w:ascii="Times New Roman" w:eastAsia="宋体" w:hAnsi="Times New Roman" w:cs="Times New Roman"/>
          <w:sz w:val="24"/>
          <w:szCs w:val="24"/>
        </w:rPr>
        <w:t>, 80</w:t>
      </w:r>
      <w:r w:rsidR="0049621A">
        <w:rPr>
          <w:rFonts w:ascii="Times New Roman" w:eastAsia="宋体" w:hAnsi="Times New Roman" w:cs="Times New Roman" w:hint="eastAsia"/>
          <w:sz w:val="24"/>
          <w:szCs w:val="24"/>
        </w:rPr>
        <w:t>00%</w:t>
      </w:r>
      <w:r>
        <w:rPr>
          <w:rFonts w:ascii="Times New Roman" w:eastAsia="宋体" w:hAnsi="Times New Roman" w:cs="Times New Roman"/>
          <w:sz w:val="24"/>
          <w:szCs w:val="24"/>
        </w:rPr>
        <w:t>). b.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xml:space="preserve"> (λ=10</w:t>
      </w:r>
      <w:r w:rsidR="0049621A">
        <w:rPr>
          <w:rFonts w:ascii="Times New Roman" w:eastAsia="宋体" w:hAnsi="Times New Roman" w:cs="Times New Roman" w:hint="eastAsia"/>
          <w:sz w:val="24"/>
          <w:szCs w:val="24"/>
        </w:rPr>
        <w:t>00%</w:t>
      </w:r>
      <w:r>
        <w:rPr>
          <w:rFonts w:ascii="Times New Roman" w:eastAsia="宋体" w:hAnsi="Times New Roman" w:cs="Times New Roman"/>
          <w:sz w:val="24"/>
          <w:szCs w:val="24"/>
        </w:rPr>
        <w:t xml:space="preserve">, </w:t>
      </w:r>
      <w:r>
        <w:rPr>
          <w:rFonts w:ascii="Times New Roman" w:eastAsia="宋体" w:hAnsi="Times New Roman" w:cs="Times New Roman"/>
          <w:sz w:val="24"/>
          <w:szCs w:val="24"/>
        </w:rPr>
        <w:lastRenderedPageBreak/>
        <w:t>20</w:t>
      </w:r>
      <w:r w:rsidR="0049621A">
        <w:rPr>
          <w:rFonts w:ascii="Times New Roman" w:eastAsia="宋体" w:hAnsi="Times New Roman" w:cs="Times New Roman" w:hint="eastAsia"/>
          <w:sz w:val="24"/>
          <w:szCs w:val="24"/>
        </w:rPr>
        <w:t>00%</w:t>
      </w:r>
      <w:r>
        <w:rPr>
          <w:rFonts w:ascii="Times New Roman" w:eastAsia="宋体" w:hAnsi="Times New Roman" w:cs="Times New Roman"/>
          <w:sz w:val="24"/>
          <w:szCs w:val="24"/>
        </w:rPr>
        <w:t>, 40</w:t>
      </w:r>
      <w:r w:rsidR="0049621A">
        <w:rPr>
          <w:rFonts w:ascii="Times New Roman" w:eastAsia="宋体" w:hAnsi="Times New Roman" w:cs="Times New Roman" w:hint="eastAsia"/>
          <w:sz w:val="24"/>
          <w:szCs w:val="24"/>
        </w:rPr>
        <w:t>00%</w:t>
      </w:r>
      <w:r>
        <w:rPr>
          <w:rFonts w:ascii="Times New Roman" w:eastAsia="宋体" w:hAnsi="Times New Roman" w:cs="Times New Roman"/>
          <w:sz w:val="24"/>
          <w:szCs w:val="24"/>
        </w:rPr>
        <w:t>). c.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(λ=10</w:t>
      </w:r>
      <w:r w:rsidR="0049621A">
        <w:rPr>
          <w:rFonts w:ascii="Times New Roman" w:eastAsia="宋体" w:hAnsi="Times New Roman" w:cs="Times New Roman" w:hint="eastAsia"/>
          <w:sz w:val="24"/>
          <w:szCs w:val="24"/>
        </w:rPr>
        <w:t>00%</w:t>
      </w:r>
      <w:r>
        <w:rPr>
          <w:rFonts w:ascii="Times New Roman" w:eastAsia="宋体" w:hAnsi="Times New Roman" w:cs="Times New Roman"/>
          <w:sz w:val="24"/>
          <w:szCs w:val="24"/>
        </w:rPr>
        <w:t>, 20</w:t>
      </w:r>
      <w:r w:rsidR="0049621A">
        <w:rPr>
          <w:rFonts w:ascii="Times New Roman" w:eastAsia="宋体" w:hAnsi="Times New Roman" w:cs="Times New Roman" w:hint="eastAsia"/>
          <w:sz w:val="24"/>
          <w:szCs w:val="24"/>
        </w:rPr>
        <w:t>00%</w:t>
      </w:r>
      <w:r>
        <w:rPr>
          <w:rFonts w:ascii="Times New Roman" w:eastAsia="宋体" w:hAnsi="Times New Roman" w:cs="Times New Roman"/>
          <w:sz w:val="24"/>
          <w:szCs w:val="24"/>
        </w:rPr>
        <w:t>)</w:t>
      </w:r>
    </w:p>
    <w:p w14:paraId="7FF8D4D7"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As the polymer chain concentration in the system increases, the degree of plasticity in PSM rises, leading to more pronounced plastic deformation during the stretching process. Consequently, the maximum stretching length increases, while the ratio of recoverable length after removal of the external force decreases. Furthermore, for the same gel material, an increase in stretch ratio also results in a lower recoverable length ratio.</w:t>
      </w:r>
    </w:p>
    <w:p w14:paraId="080A2B87" w14:textId="77777777" w:rsidR="00155631" w:rsidRDefault="00155631" w:rsidP="005E6F8D">
      <w:pPr>
        <w:spacing w:line="480" w:lineRule="auto"/>
        <w:rPr>
          <w:rFonts w:ascii="Times New Roman" w:eastAsia="宋体" w:hAnsi="Times New Roman" w:cs="Times New Roman"/>
          <w:sz w:val="24"/>
          <w:szCs w:val="24"/>
        </w:rPr>
      </w:pPr>
    </w:p>
    <w:p w14:paraId="3FF834F0" w14:textId="77777777" w:rsidR="0049621A" w:rsidRDefault="0049621A" w:rsidP="005E6F8D">
      <w:pPr>
        <w:spacing w:line="480" w:lineRule="auto"/>
        <w:jc w:val="center"/>
        <w:rPr>
          <w:rFonts w:ascii="Times New Roman" w:eastAsia="宋体" w:hAnsi="Times New Roman" w:cs="Times New Roman"/>
          <w:b/>
          <w:bCs/>
          <w:sz w:val="24"/>
          <w:szCs w:val="24"/>
        </w:rPr>
      </w:pPr>
      <w:r>
        <w:rPr>
          <w:noProof/>
        </w:rPr>
        <w:drawing>
          <wp:inline distT="0" distB="0" distL="0" distR="0" wp14:anchorId="49D6D928" wp14:editId="6085B6A1">
            <wp:extent cx="2273635" cy="1735200"/>
            <wp:effectExtent l="0" t="0" r="0" b="0"/>
            <wp:docPr id="11041692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169292" name=""/>
                    <pic:cNvPicPr/>
                  </pic:nvPicPr>
                  <pic:blipFill>
                    <a:blip r:embed="rId58"/>
                    <a:stretch>
                      <a:fillRect/>
                    </a:stretch>
                  </pic:blipFill>
                  <pic:spPr>
                    <a:xfrm>
                      <a:off x="0" y="0"/>
                      <a:ext cx="2273635" cy="1735200"/>
                    </a:xfrm>
                    <a:prstGeom prst="rect">
                      <a:avLst/>
                    </a:prstGeom>
                  </pic:spPr>
                </pic:pic>
              </a:graphicData>
            </a:graphic>
          </wp:inline>
        </w:drawing>
      </w:r>
    </w:p>
    <w:p w14:paraId="40BB7243" w14:textId="04BC1EDA"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E934FF">
        <w:rPr>
          <w:rFonts w:ascii="Times New Roman" w:eastAsia="宋体" w:hAnsi="Times New Roman" w:cs="Times New Roman" w:hint="eastAsia"/>
          <w:b/>
          <w:bCs/>
          <w:sz w:val="24"/>
          <w:szCs w:val="24"/>
        </w:rPr>
        <w:t>40</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Stress-strain curves of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xml:space="preserve"> at different tensile rates (20, 50, 100 mm/min).</w:t>
      </w:r>
    </w:p>
    <w:p w14:paraId="721B5D9D"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strain rate sensitivity of PSM further demonstrates its elastoplastic behavior. In uniaxial tensile tests conducted at speeds of 20, 50, and 100 mm/min,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xml:space="preserve"> exhibit greater sensitivity to the strain rate. Their stress-strain curves overlap only in the initial elastic deformation region, while the maximum tensile strength increases with the strain rate, and the yield point shifts toward higher strains. Conversely,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xml:space="preserve"> possess shorter relaxation times, which lead to increased molecular chain slippage under lower tensile rates, thereby reducing the tensile strength.</w:t>
      </w:r>
    </w:p>
    <w:p w14:paraId="1EE331BE" w14:textId="77777777" w:rsidR="00155631" w:rsidRDefault="00155631" w:rsidP="005E6F8D">
      <w:pPr>
        <w:spacing w:line="480" w:lineRule="auto"/>
        <w:rPr>
          <w:rFonts w:ascii="Times New Roman" w:eastAsia="宋体" w:hAnsi="Times New Roman" w:cs="Times New Roman"/>
          <w:sz w:val="24"/>
          <w:szCs w:val="24"/>
        </w:rPr>
      </w:pPr>
    </w:p>
    <w:p w14:paraId="0CF81A79" w14:textId="0EDCE148" w:rsidR="00155631" w:rsidRDefault="0049621A" w:rsidP="005E6F8D">
      <w:pPr>
        <w:spacing w:line="480" w:lineRule="auto"/>
        <w:rPr>
          <w:rFonts w:ascii="Times New Roman" w:eastAsia="宋体" w:hAnsi="Times New Roman" w:cs="Times New Roman"/>
          <w:sz w:val="24"/>
          <w:szCs w:val="24"/>
        </w:rPr>
      </w:pPr>
      <w:r>
        <w:rPr>
          <w:noProof/>
        </w:rPr>
        <w:lastRenderedPageBreak/>
        <w:drawing>
          <wp:inline distT="0" distB="0" distL="0" distR="0" wp14:anchorId="69EF0D8E" wp14:editId="4ABB371C">
            <wp:extent cx="1695822" cy="1440000"/>
            <wp:effectExtent l="0" t="0" r="0" b="8255"/>
            <wp:docPr id="16891530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029" name=""/>
                    <pic:cNvPicPr/>
                  </pic:nvPicPr>
                  <pic:blipFill>
                    <a:blip r:embed="rId59"/>
                    <a:stretch>
                      <a:fillRect/>
                    </a:stretch>
                  </pic:blipFill>
                  <pic:spPr>
                    <a:xfrm>
                      <a:off x="0" y="0"/>
                      <a:ext cx="1695822" cy="1440000"/>
                    </a:xfrm>
                    <a:prstGeom prst="rect">
                      <a:avLst/>
                    </a:prstGeom>
                  </pic:spPr>
                </pic:pic>
              </a:graphicData>
            </a:graphic>
          </wp:inline>
        </w:drawing>
      </w:r>
      <w:r w:rsidR="00271AE8">
        <w:rPr>
          <w:noProof/>
        </w:rPr>
        <w:drawing>
          <wp:inline distT="0" distB="0" distL="0" distR="0" wp14:anchorId="3B6EC74B" wp14:editId="2998A654">
            <wp:extent cx="1771947" cy="1440000"/>
            <wp:effectExtent l="0" t="0" r="0" b="8255"/>
            <wp:docPr id="15253590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59057" name=""/>
                    <pic:cNvPicPr/>
                  </pic:nvPicPr>
                  <pic:blipFill>
                    <a:blip r:embed="rId60"/>
                    <a:stretch>
                      <a:fillRect/>
                    </a:stretch>
                  </pic:blipFill>
                  <pic:spPr>
                    <a:xfrm>
                      <a:off x="0" y="0"/>
                      <a:ext cx="1771947" cy="1440000"/>
                    </a:xfrm>
                    <a:prstGeom prst="rect">
                      <a:avLst/>
                    </a:prstGeom>
                  </pic:spPr>
                </pic:pic>
              </a:graphicData>
            </a:graphic>
          </wp:inline>
        </w:drawing>
      </w:r>
      <w:r w:rsidR="00271AE8">
        <w:rPr>
          <w:noProof/>
        </w:rPr>
        <w:drawing>
          <wp:inline distT="0" distB="0" distL="0" distR="0" wp14:anchorId="1146B5E7" wp14:editId="255A4D42">
            <wp:extent cx="1760989" cy="1440000"/>
            <wp:effectExtent l="0" t="0" r="0" b="8255"/>
            <wp:docPr id="9218936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93675" name=""/>
                    <pic:cNvPicPr/>
                  </pic:nvPicPr>
                  <pic:blipFill>
                    <a:blip r:embed="rId61"/>
                    <a:stretch>
                      <a:fillRect/>
                    </a:stretch>
                  </pic:blipFill>
                  <pic:spPr>
                    <a:xfrm>
                      <a:off x="0" y="0"/>
                      <a:ext cx="1760989" cy="1440000"/>
                    </a:xfrm>
                    <a:prstGeom prst="rect">
                      <a:avLst/>
                    </a:prstGeom>
                  </pic:spPr>
                </pic:pic>
              </a:graphicData>
            </a:graphic>
          </wp:inline>
        </w:drawing>
      </w:r>
    </w:p>
    <w:p w14:paraId="251C3C45" w14:textId="56CE3978"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E934FF">
        <w:rPr>
          <w:rFonts w:ascii="Times New Roman" w:eastAsia="宋体" w:hAnsi="Times New Roman" w:cs="Times New Roman" w:hint="eastAsia"/>
          <w:b/>
          <w:bCs/>
          <w:sz w:val="24"/>
          <w:szCs w:val="24"/>
        </w:rPr>
        <w:t>41</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Stress-strain curves in compression tests of hydrogels </w:t>
      </w:r>
      <w:r>
        <w:rPr>
          <w:rFonts w:ascii="Times New Roman" w:eastAsia="宋体" w:hAnsi="Times New Roman" w:cs="Times New Roman" w:hint="eastAsia"/>
          <w:sz w:val="24"/>
          <w:szCs w:val="24"/>
        </w:rPr>
        <w:t>with</w:t>
      </w:r>
      <w:r>
        <w:rPr>
          <w:rFonts w:ascii="Times New Roman" w:eastAsia="宋体" w:hAnsi="Times New Roman" w:cs="Times New Roman"/>
          <w:sz w:val="24"/>
          <w:szCs w:val="24"/>
        </w:rPr>
        <w:t xml:space="preserve"> different concentrations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a. Uniaxial compression test (λ=</w:t>
      </w:r>
      <w:r w:rsidR="0049621A">
        <w:rPr>
          <w:rFonts w:ascii="Times New Roman" w:eastAsia="宋体" w:hAnsi="Times New Roman" w:cs="Times New Roman" w:hint="eastAsia"/>
          <w:sz w:val="24"/>
          <w:szCs w:val="24"/>
        </w:rPr>
        <w:t>80%</w:t>
      </w:r>
      <w:r>
        <w:rPr>
          <w:rFonts w:ascii="Times New Roman" w:eastAsia="宋体" w:hAnsi="Times New Roman" w:cs="Times New Roman"/>
          <w:sz w:val="24"/>
          <w:szCs w:val="24"/>
        </w:rPr>
        <w:t>). b. Incremental strain cyclic compression (λ=</w:t>
      </w:r>
      <w:r w:rsidR="0049621A">
        <w:rPr>
          <w:rFonts w:ascii="Times New Roman" w:eastAsia="宋体" w:hAnsi="Times New Roman" w:cs="Times New Roman" w:hint="eastAsia"/>
          <w:sz w:val="24"/>
          <w:szCs w:val="24"/>
        </w:rPr>
        <w:t>20%</w:t>
      </w:r>
      <w:r>
        <w:rPr>
          <w:rFonts w:ascii="Times New Roman" w:eastAsia="宋体" w:hAnsi="Times New Roman" w:cs="Times New Roman"/>
          <w:sz w:val="24"/>
          <w:szCs w:val="24"/>
        </w:rPr>
        <w:t xml:space="preserve">, </w:t>
      </w:r>
      <w:r w:rsidR="0049621A">
        <w:rPr>
          <w:rFonts w:ascii="Times New Roman" w:eastAsia="宋体" w:hAnsi="Times New Roman" w:cs="Times New Roman" w:hint="eastAsia"/>
          <w:sz w:val="24"/>
          <w:szCs w:val="24"/>
        </w:rPr>
        <w:t>40%</w:t>
      </w:r>
      <w:r>
        <w:rPr>
          <w:rFonts w:ascii="Times New Roman" w:eastAsia="宋体" w:hAnsi="Times New Roman" w:cs="Times New Roman"/>
          <w:sz w:val="24"/>
          <w:szCs w:val="24"/>
        </w:rPr>
        <w:t xml:space="preserve">, </w:t>
      </w:r>
      <w:r w:rsidR="0049621A">
        <w:rPr>
          <w:rFonts w:ascii="Times New Roman" w:eastAsia="宋体" w:hAnsi="Times New Roman" w:cs="Times New Roman" w:hint="eastAsia"/>
          <w:sz w:val="24"/>
          <w:szCs w:val="24"/>
        </w:rPr>
        <w:t>60%</w:t>
      </w:r>
      <w:r>
        <w:rPr>
          <w:rFonts w:ascii="Times New Roman" w:eastAsia="宋体" w:hAnsi="Times New Roman" w:cs="Times New Roman"/>
          <w:sz w:val="24"/>
          <w:szCs w:val="24"/>
        </w:rPr>
        <w:t xml:space="preserve">, </w:t>
      </w:r>
      <w:r w:rsidR="0049621A">
        <w:rPr>
          <w:rFonts w:ascii="Times New Roman" w:eastAsia="宋体" w:hAnsi="Times New Roman" w:cs="Times New Roman" w:hint="eastAsia"/>
          <w:sz w:val="24"/>
          <w:szCs w:val="24"/>
        </w:rPr>
        <w:t>80%</w:t>
      </w:r>
      <w:r>
        <w:rPr>
          <w:rFonts w:ascii="Times New Roman" w:eastAsia="宋体" w:hAnsi="Times New Roman" w:cs="Times New Roman"/>
          <w:sz w:val="24"/>
          <w:szCs w:val="24"/>
        </w:rPr>
        <w:t>). c. Cyclic compression (λ=</w:t>
      </w:r>
      <w:r w:rsidR="0049621A">
        <w:rPr>
          <w:rFonts w:ascii="Times New Roman" w:eastAsia="宋体" w:hAnsi="Times New Roman" w:cs="Times New Roman" w:hint="eastAsia"/>
          <w:sz w:val="24"/>
          <w:szCs w:val="24"/>
        </w:rPr>
        <w:t>60%</w:t>
      </w:r>
      <w:r>
        <w:rPr>
          <w:rFonts w:ascii="Times New Roman" w:eastAsia="宋体" w:hAnsi="Times New Roman" w:cs="Times New Roman"/>
          <w:sz w:val="24"/>
          <w:szCs w:val="24"/>
        </w:rPr>
        <w:t>, cyclic n=3 times).</w:t>
      </w:r>
    </w:p>
    <w:p w14:paraId="4740F244"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As the polymer concentration increases, the maximum compressive strength of PSM also increases, which can be attributed to the expansion of the entanglement region. In the cyclic loading tests, the stress of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and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xml:space="preserve"> gradually decreased with an increasing number of cycles, whereas the hysteresis loops of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remained largely consistent across cycles. This difference was caused by variations in the extent of irreversible deformation exhibited by the different PSM samples.</w:t>
      </w:r>
    </w:p>
    <w:p w14:paraId="64523952" w14:textId="77777777" w:rsidR="0084773E" w:rsidRDefault="0084773E" w:rsidP="005E6F8D">
      <w:pPr>
        <w:spacing w:line="480" w:lineRule="auto"/>
        <w:rPr>
          <w:rFonts w:ascii="Times New Roman" w:hAnsi="Times New Roman" w:cs="Times New Roman"/>
          <w:sz w:val="24"/>
          <w:szCs w:val="24"/>
        </w:rPr>
      </w:pPr>
    </w:p>
    <w:p w14:paraId="509BAA8E" w14:textId="574841D4" w:rsidR="00155631" w:rsidRDefault="00271AE8" w:rsidP="005E6F8D">
      <w:pPr>
        <w:spacing w:line="480" w:lineRule="auto"/>
        <w:jc w:val="center"/>
        <w:rPr>
          <w:rFonts w:ascii="Times New Roman" w:eastAsia="宋体" w:hAnsi="Times New Roman" w:cs="Times New Roman"/>
          <w:sz w:val="24"/>
          <w:szCs w:val="24"/>
        </w:rPr>
      </w:pPr>
      <w:r>
        <w:rPr>
          <w:noProof/>
        </w:rPr>
        <w:drawing>
          <wp:inline distT="0" distB="0" distL="0" distR="0" wp14:anchorId="27D8C612" wp14:editId="0A124BF8">
            <wp:extent cx="3209010" cy="1958400"/>
            <wp:effectExtent l="0" t="0" r="0" b="3810"/>
            <wp:docPr id="19026996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699623" name=""/>
                    <pic:cNvPicPr/>
                  </pic:nvPicPr>
                  <pic:blipFill>
                    <a:blip r:embed="rId62"/>
                    <a:stretch>
                      <a:fillRect/>
                    </a:stretch>
                  </pic:blipFill>
                  <pic:spPr>
                    <a:xfrm>
                      <a:off x="0" y="0"/>
                      <a:ext cx="3209010" cy="1958400"/>
                    </a:xfrm>
                    <a:prstGeom prst="rect">
                      <a:avLst/>
                    </a:prstGeom>
                  </pic:spPr>
                </pic:pic>
              </a:graphicData>
            </a:graphic>
          </wp:inline>
        </w:drawing>
      </w:r>
    </w:p>
    <w:p w14:paraId="7EEAEF56" w14:textId="2B8C1B6C"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E934FF">
        <w:rPr>
          <w:rFonts w:ascii="Times New Roman" w:eastAsia="宋体" w:hAnsi="Times New Roman" w:cs="Times New Roman" w:hint="eastAsia"/>
          <w:b/>
          <w:bCs/>
          <w:sz w:val="24"/>
          <w:szCs w:val="24"/>
        </w:rPr>
        <w:t>42</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Picture of the cyclic compression process of hydrogel (Initial-compression- recovery). a.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b.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c.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w:t>
      </w:r>
    </w:p>
    <w:p w14:paraId="0E3A7A3A" w14:textId="5F69E86A" w:rsidR="00155631" w:rsidRDefault="00000000" w:rsidP="00B8208C">
      <w:pPr>
        <w:spacing w:line="480" w:lineRule="auto"/>
        <w:ind w:firstLineChars="200" w:firstLine="480"/>
        <w:rPr>
          <w:rFonts w:ascii="Times New Roman" w:eastAsia="宋体" w:hAnsi="Times New Roman" w:cs="Times New Roman" w:hint="eastAsia"/>
          <w:sz w:val="24"/>
          <w:szCs w:val="24"/>
        </w:rPr>
      </w:pPr>
      <w:r>
        <w:rPr>
          <w:rFonts w:ascii="Times New Roman" w:eastAsia="宋体" w:hAnsi="Times New Roman" w:cs="Times New Roman"/>
          <w:sz w:val="24"/>
          <w:szCs w:val="24"/>
        </w:rPr>
        <w:lastRenderedPageBreak/>
        <w:t>Under single or cyclic compressive loading,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becomes flattened and is unable to recover its original shape, with the majority of the deformation being irrecoverable. In contrast,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xml:space="preserve"> exhibits reduced plasticity, where most of the deformation is recoverable. For the more ideal elastic gel,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the deformation can be completely restored due to its stable entangled network structure.</w:t>
      </w:r>
    </w:p>
    <w:p w14:paraId="746FC72D" w14:textId="5E16ACB6" w:rsidR="00155631" w:rsidRDefault="00155631" w:rsidP="005E6F8D">
      <w:pPr>
        <w:spacing w:line="480" w:lineRule="auto"/>
        <w:rPr>
          <w:rFonts w:ascii="Times New Roman" w:eastAsia="宋体" w:hAnsi="Times New Roman" w:cs="Times New Roman"/>
          <w:sz w:val="24"/>
          <w:szCs w:val="24"/>
        </w:rPr>
      </w:pPr>
    </w:p>
    <w:p w14:paraId="395008FF" w14:textId="25C71A42" w:rsidR="008F6A1A" w:rsidRDefault="008F6A1A" w:rsidP="005E6F8D">
      <w:pPr>
        <w:spacing w:line="480" w:lineRule="auto"/>
        <w:rPr>
          <w:rFonts w:ascii="Times New Roman" w:eastAsia="宋体" w:hAnsi="Times New Roman" w:cs="Times New Roman"/>
          <w:sz w:val="24"/>
          <w:szCs w:val="24"/>
        </w:rPr>
      </w:pPr>
      <w:r>
        <w:rPr>
          <w:noProof/>
        </w:rPr>
        <w:drawing>
          <wp:inline distT="0" distB="0" distL="0" distR="0" wp14:anchorId="0E41F384" wp14:editId="18894232">
            <wp:extent cx="1689111" cy="1404000"/>
            <wp:effectExtent l="0" t="0" r="6350" b="5715"/>
            <wp:docPr id="12416045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604553" name=""/>
                    <pic:cNvPicPr/>
                  </pic:nvPicPr>
                  <pic:blipFill>
                    <a:blip r:embed="rId63"/>
                    <a:stretch>
                      <a:fillRect/>
                    </a:stretch>
                  </pic:blipFill>
                  <pic:spPr>
                    <a:xfrm>
                      <a:off x="0" y="0"/>
                      <a:ext cx="1689111" cy="1404000"/>
                    </a:xfrm>
                    <a:prstGeom prst="rect">
                      <a:avLst/>
                    </a:prstGeom>
                  </pic:spPr>
                </pic:pic>
              </a:graphicData>
            </a:graphic>
          </wp:inline>
        </w:drawing>
      </w:r>
      <w:r>
        <w:rPr>
          <w:noProof/>
        </w:rPr>
        <w:drawing>
          <wp:inline distT="0" distB="0" distL="0" distR="0" wp14:anchorId="484C06FB" wp14:editId="695A7769">
            <wp:extent cx="1752475" cy="1440000"/>
            <wp:effectExtent l="0" t="0" r="635" b="8255"/>
            <wp:docPr id="9849574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957417" name=""/>
                    <pic:cNvPicPr/>
                  </pic:nvPicPr>
                  <pic:blipFill>
                    <a:blip r:embed="rId64"/>
                    <a:stretch>
                      <a:fillRect/>
                    </a:stretch>
                  </pic:blipFill>
                  <pic:spPr>
                    <a:xfrm>
                      <a:off x="0" y="0"/>
                      <a:ext cx="1752475" cy="1440000"/>
                    </a:xfrm>
                    <a:prstGeom prst="rect">
                      <a:avLst/>
                    </a:prstGeom>
                  </pic:spPr>
                </pic:pic>
              </a:graphicData>
            </a:graphic>
          </wp:inline>
        </w:drawing>
      </w:r>
      <w:r>
        <w:rPr>
          <w:noProof/>
        </w:rPr>
        <w:drawing>
          <wp:inline distT="0" distB="0" distL="0" distR="0" wp14:anchorId="70FBD846" wp14:editId="62472300">
            <wp:extent cx="1786503" cy="1440000"/>
            <wp:effectExtent l="0" t="0" r="4445" b="8255"/>
            <wp:docPr id="10960077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007755" name=""/>
                    <pic:cNvPicPr/>
                  </pic:nvPicPr>
                  <pic:blipFill>
                    <a:blip r:embed="rId65"/>
                    <a:stretch>
                      <a:fillRect/>
                    </a:stretch>
                  </pic:blipFill>
                  <pic:spPr>
                    <a:xfrm>
                      <a:off x="0" y="0"/>
                      <a:ext cx="1786503" cy="1440000"/>
                    </a:xfrm>
                    <a:prstGeom prst="rect">
                      <a:avLst/>
                    </a:prstGeom>
                  </pic:spPr>
                </pic:pic>
              </a:graphicData>
            </a:graphic>
          </wp:inline>
        </w:drawing>
      </w:r>
    </w:p>
    <w:p w14:paraId="7F390DD1" w14:textId="0DBB243D"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4</w:t>
      </w:r>
      <w:r w:rsidR="00B8208C">
        <w:rPr>
          <w:rFonts w:ascii="Times New Roman" w:eastAsia="宋体" w:hAnsi="Times New Roman" w:cs="Times New Roman" w:hint="eastAsia"/>
          <w:b/>
          <w:bCs/>
          <w:sz w:val="24"/>
          <w:szCs w:val="24"/>
        </w:rPr>
        <w:t>3</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Stress-strain curve of hydrogel in cyclic tensile test with increasing strain (λ=</w:t>
      </w:r>
      <w:r w:rsidR="008F6A1A">
        <w:rPr>
          <w:rFonts w:ascii="Times New Roman" w:eastAsia="宋体" w:hAnsi="Times New Roman" w:cs="Times New Roman" w:hint="eastAsia"/>
          <w:sz w:val="24"/>
          <w:szCs w:val="24"/>
        </w:rPr>
        <w:t>20%</w:t>
      </w:r>
      <w:r>
        <w:rPr>
          <w:rFonts w:ascii="Times New Roman" w:eastAsia="宋体" w:hAnsi="Times New Roman" w:cs="Times New Roman"/>
          <w:sz w:val="24"/>
          <w:szCs w:val="24"/>
        </w:rPr>
        <w:t xml:space="preserve">, </w:t>
      </w:r>
      <w:r w:rsidR="008F6A1A">
        <w:rPr>
          <w:rFonts w:ascii="Times New Roman" w:eastAsia="宋体" w:hAnsi="Times New Roman" w:cs="Times New Roman" w:hint="eastAsia"/>
          <w:sz w:val="24"/>
          <w:szCs w:val="24"/>
        </w:rPr>
        <w:t>40%</w:t>
      </w:r>
      <w:r>
        <w:rPr>
          <w:rFonts w:ascii="Times New Roman" w:eastAsia="宋体" w:hAnsi="Times New Roman" w:cs="Times New Roman"/>
          <w:sz w:val="24"/>
          <w:szCs w:val="24"/>
        </w:rPr>
        <w:t xml:space="preserve">, </w:t>
      </w:r>
      <w:r w:rsidR="008F6A1A">
        <w:rPr>
          <w:rFonts w:ascii="Times New Roman" w:eastAsia="宋体" w:hAnsi="Times New Roman" w:cs="Times New Roman" w:hint="eastAsia"/>
          <w:sz w:val="24"/>
          <w:szCs w:val="24"/>
        </w:rPr>
        <w:t>60%</w:t>
      </w:r>
      <w:r>
        <w:rPr>
          <w:rFonts w:ascii="Times New Roman" w:eastAsia="宋体" w:hAnsi="Times New Roman" w:cs="Times New Roman"/>
          <w:sz w:val="24"/>
          <w:szCs w:val="24"/>
        </w:rPr>
        <w:t xml:space="preserve">, </w:t>
      </w:r>
      <w:r w:rsidR="008F6A1A">
        <w:rPr>
          <w:rFonts w:ascii="Times New Roman" w:eastAsia="宋体" w:hAnsi="Times New Roman" w:cs="Times New Roman" w:hint="eastAsia"/>
          <w:sz w:val="24"/>
          <w:szCs w:val="24"/>
        </w:rPr>
        <w:t>80%</w:t>
      </w:r>
      <w:r>
        <w:rPr>
          <w:rFonts w:ascii="Times New Roman" w:eastAsia="宋体" w:hAnsi="Times New Roman" w:cs="Times New Roman"/>
          <w:sz w:val="24"/>
          <w:szCs w:val="24"/>
        </w:rPr>
        <w:t>, 1</w:t>
      </w:r>
      <w:r w:rsidR="008F6A1A">
        <w:rPr>
          <w:rFonts w:ascii="Times New Roman" w:eastAsia="宋体" w:hAnsi="Times New Roman" w:cs="Times New Roman" w:hint="eastAsia"/>
          <w:sz w:val="24"/>
          <w:szCs w:val="24"/>
        </w:rPr>
        <w:t>0</w:t>
      </w:r>
      <w:r>
        <w:rPr>
          <w:rFonts w:ascii="Times New Roman" w:eastAsia="宋体" w:hAnsi="Times New Roman" w:cs="Times New Roman"/>
          <w:sz w:val="24"/>
          <w:szCs w:val="24"/>
        </w:rPr>
        <w:t>0</w:t>
      </w:r>
      <w:r w:rsidR="008F6A1A">
        <w:rPr>
          <w:rFonts w:ascii="Times New Roman" w:eastAsia="宋体" w:hAnsi="Times New Roman" w:cs="Times New Roman" w:hint="eastAsia"/>
          <w:sz w:val="24"/>
          <w:szCs w:val="24"/>
        </w:rPr>
        <w:t>%</w:t>
      </w:r>
      <w:r>
        <w:rPr>
          <w:rFonts w:ascii="Times New Roman" w:eastAsia="宋体" w:hAnsi="Times New Roman" w:cs="Times New Roman"/>
          <w:sz w:val="24"/>
          <w:szCs w:val="24"/>
        </w:rPr>
        <w:t>). a.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b.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c.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w:t>
      </w:r>
    </w:p>
    <w:p w14:paraId="4AD41086" w14:textId="77777777" w:rsidR="00155631" w:rsidRDefault="00155631" w:rsidP="005E6F8D">
      <w:pPr>
        <w:spacing w:line="480" w:lineRule="auto"/>
        <w:rPr>
          <w:rFonts w:ascii="Times New Roman" w:eastAsia="宋体" w:hAnsi="Times New Roman" w:cs="Times New Roman"/>
          <w:sz w:val="24"/>
          <w:szCs w:val="24"/>
        </w:rPr>
      </w:pPr>
    </w:p>
    <w:p w14:paraId="448AB96C" w14:textId="7B114327" w:rsidR="00155631" w:rsidRDefault="008F6A1A" w:rsidP="005E6F8D">
      <w:pPr>
        <w:spacing w:line="480" w:lineRule="auto"/>
        <w:jc w:val="center"/>
        <w:rPr>
          <w:rFonts w:ascii="Times New Roman" w:eastAsia="宋体" w:hAnsi="Times New Roman" w:cs="Times New Roman"/>
          <w:sz w:val="24"/>
          <w:szCs w:val="24"/>
        </w:rPr>
      </w:pPr>
      <w:r>
        <w:rPr>
          <w:noProof/>
        </w:rPr>
        <w:drawing>
          <wp:inline distT="0" distB="0" distL="0" distR="0" wp14:anchorId="74EF51F5" wp14:editId="604A324A">
            <wp:extent cx="2147725" cy="1764000"/>
            <wp:effectExtent l="0" t="0" r="5080" b="8255"/>
            <wp:docPr id="16598077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07733" name=""/>
                    <pic:cNvPicPr/>
                  </pic:nvPicPr>
                  <pic:blipFill>
                    <a:blip r:embed="rId66"/>
                    <a:stretch>
                      <a:fillRect/>
                    </a:stretch>
                  </pic:blipFill>
                  <pic:spPr>
                    <a:xfrm>
                      <a:off x="0" y="0"/>
                      <a:ext cx="2147725" cy="1764000"/>
                    </a:xfrm>
                    <a:prstGeom prst="rect">
                      <a:avLst/>
                    </a:prstGeom>
                  </pic:spPr>
                </pic:pic>
              </a:graphicData>
            </a:graphic>
          </wp:inline>
        </w:drawing>
      </w:r>
      <w:r>
        <w:rPr>
          <w:noProof/>
        </w:rPr>
        <w:drawing>
          <wp:inline distT="0" distB="0" distL="0" distR="0" wp14:anchorId="624F2BF3" wp14:editId="6A5442EA">
            <wp:extent cx="2227473" cy="1800000"/>
            <wp:effectExtent l="0" t="0" r="1905" b="0"/>
            <wp:docPr id="13980845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84594" name=""/>
                    <pic:cNvPicPr/>
                  </pic:nvPicPr>
                  <pic:blipFill>
                    <a:blip r:embed="rId67"/>
                    <a:stretch>
                      <a:fillRect/>
                    </a:stretch>
                  </pic:blipFill>
                  <pic:spPr>
                    <a:xfrm>
                      <a:off x="0" y="0"/>
                      <a:ext cx="2227473" cy="1800000"/>
                    </a:xfrm>
                    <a:prstGeom prst="rect">
                      <a:avLst/>
                    </a:prstGeom>
                  </pic:spPr>
                </pic:pic>
              </a:graphicData>
            </a:graphic>
          </wp:inline>
        </w:drawing>
      </w:r>
    </w:p>
    <w:p w14:paraId="18F84EC9" w14:textId="0E6C3E37"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4</w:t>
      </w:r>
      <w:r w:rsidR="00B8208C">
        <w:rPr>
          <w:rFonts w:ascii="Times New Roman" w:eastAsia="宋体" w:hAnsi="Times New Roman" w:cs="Times New Roman" w:hint="eastAsia"/>
          <w:b/>
          <w:bCs/>
          <w:sz w:val="24"/>
          <w:szCs w:val="24"/>
        </w:rPr>
        <w:t>4</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Computational data of hydrogels with different polymer concentrations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under cyclic tensile loading at increasing strain levels. a. Residual strain. b. Hysteresis ratio.</w:t>
      </w:r>
    </w:p>
    <w:p w14:paraId="08F333BD" w14:textId="618C9192"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When subjected to incrementally increasing loads, the elastoplastic behavior of </w:t>
      </w:r>
      <w:r>
        <w:rPr>
          <w:rFonts w:ascii="Times New Roman" w:eastAsia="宋体" w:hAnsi="Times New Roman" w:cs="Times New Roman"/>
          <w:sz w:val="24"/>
          <w:szCs w:val="24"/>
        </w:rPr>
        <w:lastRenderedPageBreak/>
        <w:t>PSM becomes distinctly evident. The plastic gel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exhibits a higher hysteresis ratio (64.4% to 72.7%), and its residual strain increases significantly with the number of loading cycles, ranging from 0.1 (first cycle, λ=</w:t>
      </w:r>
      <w:r w:rsidR="008F6A1A">
        <w:rPr>
          <w:rFonts w:ascii="Times New Roman" w:eastAsia="宋体" w:hAnsi="Times New Roman" w:cs="Times New Roman" w:hint="eastAsia"/>
          <w:sz w:val="24"/>
          <w:szCs w:val="24"/>
        </w:rPr>
        <w:t>20%</w:t>
      </w:r>
      <w:r>
        <w:rPr>
          <w:rFonts w:ascii="Times New Roman" w:eastAsia="宋体" w:hAnsi="Times New Roman" w:cs="Times New Roman"/>
          <w:sz w:val="24"/>
          <w:szCs w:val="24"/>
        </w:rPr>
        <w:t>) to 0.61 (fifth cycle, λ=1</w:t>
      </w:r>
      <w:r w:rsidR="00187EA8">
        <w:rPr>
          <w:rFonts w:ascii="Times New Roman" w:eastAsia="宋体" w:hAnsi="Times New Roman" w:cs="Times New Roman" w:hint="eastAsia"/>
          <w:sz w:val="24"/>
          <w:szCs w:val="24"/>
        </w:rPr>
        <w:t>00%</w:t>
      </w:r>
      <w:r>
        <w:rPr>
          <w:rFonts w:ascii="Times New Roman" w:eastAsia="宋体" w:hAnsi="Times New Roman" w:cs="Times New Roman"/>
          <w:sz w:val="24"/>
          <w:szCs w:val="24"/>
        </w:rPr>
        <w:t>). In contrast, the elastic gel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demonstrates a lower hysteresis ratio (18%) and a much smaller residual strain, varying from 0.004 to 0.066 across the first to fifth loading cycles.</w:t>
      </w:r>
    </w:p>
    <w:p w14:paraId="75148E68" w14:textId="77777777" w:rsidR="00155631" w:rsidRDefault="00155631" w:rsidP="005E6F8D">
      <w:pPr>
        <w:spacing w:line="480" w:lineRule="auto"/>
        <w:rPr>
          <w:rFonts w:ascii="Times New Roman" w:eastAsia="宋体" w:hAnsi="Times New Roman" w:cs="Times New Roman"/>
          <w:sz w:val="24"/>
          <w:szCs w:val="24"/>
        </w:rPr>
      </w:pPr>
    </w:p>
    <w:p w14:paraId="30A82730" w14:textId="0AFF5CAE"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sz w:val="24"/>
          <w:szCs w:val="24"/>
        </w:rPr>
        <w:drawing>
          <wp:inline distT="0" distB="0" distL="0" distR="0" wp14:anchorId="0193407A" wp14:editId="091D43D1">
            <wp:extent cx="1681480" cy="1634748"/>
            <wp:effectExtent l="0" t="0" r="0" b="3810"/>
            <wp:docPr id="440758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8">
                      <a:extLst>
                        <a:ext uri="{28A0092B-C50C-407E-A947-70E740481C1C}">
                          <a14:useLocalDpi xmlns:a14="http://schemas.microsoft.com/office/drawing/2010/main" val="0"/>
                        </a:ext>
                      </a:extLst>
                    </a:blip>
                    <a:srcRect l="35396" t="6535" r="32716"/>
                    <a:stretch>
                      <a:fillRect/>
                    </a:stretch>
                  </pic:blipFill>
                  <pic:spPr bwMode="auto">
                    <a:xfrm>
                      <a:off x="0" y="0"/>
                      <a:ext cx="1681842" cy="1635100"/>
                    </a:xfrm>
                    <a:prstGeom prst="rect">
                      <a:avLst/>
                    </a:prstGeom>
                    <a:noFill/>
                    <a:ln>
                      <a:noFill/>
                    </a:ln>
                    <a:extLst>
                      <a:ext uri="{53640926-AAD7-44D8-BBD7-CCE9431645EC}">
                        <a14:shadowObscured xmlns:a14="http://schemas.microsoft.com/office/drawing/2010/main"/>
                      </a:ext>
                    </a:extLst>
                  </pic:spPr>
                </pic:pic>
              </a:graphicData>
            </a:graphic>
          </wp:inline>
        </w:drawing>
      </w:r>
    </w:p>
    <w:p w14:paraId="3DF43C92" w14:textId="6CCE41DF"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4</w:t>
      </w:r>
      <w:r w:rsidR="00B8208C">
        <w:rPr>
          <w:rFonts w:ascii="Times New Roman" w:eastAsia="宋体" w:hAnsi="Times New Roman" w:cs="Times New Roman" w:hint="eastAsia"/>
          <w:b/>
          <w:bCs/>
          <w:sz w:val="24"/>
          <w:szCs w:val="24"/>
        </w:rPr>
        <w:t>5</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SEM image of the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xml:space="preserve"> after stretching (λ=15</w:t>
      </w:r>
      <w:r w:rsidR="008F6A1A">
        <w:rPr>
          <w:rFonts w:ascii="Times New Roman" w:eastAsia="宋体" w:hAnsi="Times New Roman" w:cs="Times New Roman" w:hint="eastAsia"/>
          <w:sz w:val="24"/>
          <w:szCs w:val="24"/>
        </w:rPr>
        <w:t>00%</w:t>
      </w:r>
      <w:r>
        <w:rPr>
          <w:rFonts w:ascii="Times New Roman" w:eastAsia="宋体" w:hAnsi="Times New Roman" w:cs="Times New Roman"/>
          <w:sz w:val="24"/>
          <w:szCs w:val="24"/>
        </w:rPr>
        <w:t>).</w:t>
      </w:r>
    </w:p>
    <w:p w14:paraId="5DC4889A"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After stretching, all PSM samples exhibit varying degrees of molecular orientation. As described in the main text, along the stretching direction, the network structure of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xml:space="preserve"> undergoes elongation and oriented deformation.</w:t>
      </w:r>
    </w:p>
    <w:p w14:paraId="57B9546F" w14:textId="77777777" w:rsidR="00155631" w:rsidRDefault="00155631" w:rsidP="005E6F8D">
      <w:pPr>
        <w:spacing w:line="480" w:lineRule="auto"/>
        <w:rPr>
          <w:rFonts w:ascii="Times New Roman" w:eastAsia="宋体" w:hAnsi="Times New Roman" w:cs="Times New Roman"/>
          <w:sz w:val="24"/>
          <w:szCs w:val="24"/>
        </w:rPr>
      </w:pPr>
    </w:p>
    <w:p w14:paraId="7BE91404" w14:textId="5DBB3952"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7292DE52" wp14:editId="0767E056">
            <wp:extent cx="2160000" cy="1734293"/>
            <wp:effectExtent l="0" t="0" r="0" b="0"/>
            <wp:docPr id="90232393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60000" cy="1734293"/>
                    </a:xfrm>
                    <a:prstGeom prst="rect">
                      <a:avLst/>
                    </a:prstGeom>
                    <a:noFill/>
                    <a:ln>
                      <a:noFill/>
                    </a:ln>
                  </pic:spPr>
                </pic:pic>
              </a:graphicData>
            </a:graphic>
          </wp:inline>
        </w:drawing>
      </w:r>
    </w:p>
    <w:p w14:paraId="37B1DAA9" w14:textId="69AA156A"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4</w:t>
      </w:r>
      <w:r w:rsidR="00B8208C">
        <w:rPr>
          <w:rFonts w:ascii="Times New Roman" w:eastAsia="宋体" w:hAnsi="Times New Roman" w:cs="Times New Roman" w:hint="eastAsia"/>
          <w:b/>
          <w:bCs/>
          <w:sz w:val="24"/>
          <w:szCs w:val="24"/>
        </w:rPr>
        <w:t>6</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Statistical data of the elastic modulus and concentration </w:t>
      </w:r>
      <w:r>
        <w:rPr>
          <w:rFonts w:ascii="Times New Roman" w:eastAsia="宋体" w:hAnsi="Times New Roman" w:cs="Times New Roman"/>
          <w:sz w:val="24"/>
          <w:szCs w:val="24"/>
        </w:rPr>
        <w:lastRenderedPageBreak/>
        <w:t>correlation and fitting curve.</w:t>
      </w:r>
    </w:p>
    <w:p w14:paraId="3D1E4CF4" w14:textId="77777777" w:rsidR="00155631" w:rsidRDefault="00155631" w:rsidP="005E6F8D">
      <w:pPr>
        <w:spacing w:line="480" w:lineRule="auto"/>
        <w:rPr>
          <w:rFonts w:ascii="Times New Roman" w:eastAsia="宋体" w:hAnsi="Times New Roman" w:cs="Times New Roman"/>
          <w:sz w:val="24"/>
          <w:szCs w:val="24"/>
        </w:rPr>
      </w:pPr>
    </w:p>
    <w:p w14:paraId="4E7AF206" w14:textId="66EA5411"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46A80AAF" wp14:editId="37AEB4BD">
            <wp:extent cx="2160000" cy="1685923"/>
            <wp:effectExtent l="0" t="0" r="0" b="0"/>
            <wp:docPr id="14227827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60000" cy="1685923"/>
                    </a:xfrm>
                    <a:prstGeom prst="rect">
                      <a:avLst/>
                    </a:prstGeom>
                    <a:noFill/>
                    <a:ln>
                      <a:noFill/>
                    </a:ln>
                  </pic:spPr>
                </pic:pic>
              </a:graphicData>
            </a:graphic>
          </wp:inline>
        </w:drawing>
      </w:r>
    </w:p>
    <w:p w14:paraId="5DA3B1A9" w14:textId="47970EDA"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4</w:t>
      </w:r>
      <w:r w:rsidR="00B8208C">
        <w:rPr>
          <w:rFonts w:ascii="Times New Roman" w:eastAsia="宋体" w:hAnsi="Times New Roman" w:cs="Times New Roman" w:hint="eastAsia"/>
          <w:b/>
          <w:bCs/>
          <w:sz w:val="24"/>
          <w:szCs w:val="24"/>
        </w:rPr>
        <w:t>7</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Statistical data of the toughness and concentration correlation and fitting curve.</w:t>
      </w:r>
    </w:p>
    <w:p w14:paraId="6BE3864B" w14:textId="00A60302"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On the basis of the aforementioned characteristics, we aimed to establish a direct correlation between the PSM concentration and mechanical properties to enable customization of its mechanical </w:t>
      </w:r>
      <w:proofErr w:type="spellStart"/>
      <w:r>
        <w:rPr>
          <w:rFonts w:ascii="Times New Roman" w:eastAsia="宋体" w:hAnsi="Times New Roman" w:cs="Times New Roman"/>
          <w:sz w:val="24"/>
          <w:szCs w:val="24"/>
        </w:rPr>
        <w:t>behaviour</w:t>
      </w:r>
      <w:proofErr w:type="spellEnd"/>
      <w:r>
        <w:rPr>
          <w:rFonts w:ascii="Times New Roman" w:eastAsia="宋体" w:hAnsi="Times New Roman" w:cs="Times New Roman"/>
          <w:sz w:val="24"/>
          <w:szCs w:val="24"/>
        </w:rPr>
        <w:t xml:space="preserve">. The elastic modulus of PSM exponentially depends on the concentration (E ~ </w:t>
      </w:r>
      <w:r>
        <w:rPr>
          <w:rFonts w:ascii="Times New Roman" w:eastAsia="宋体" w:hAnsi="Times New Roman" w:cs="Times New Roman"/>
          <w:i/>
          <w:iCs/>
          <w:sz w:val="24"/>
          <w:szCs w:val="24"/>
        </w:rPr>
        <w:t>c</w:t>
      </w:r>
      <w:r>
        <w:rPr>
          <w:rFonts w:ascii="Times New Roman" w:eastAsia="宋体" w:hAnsi="Times New Roman" w:cs="Times New Roman"/>
          <w:sz w:val="24"/>
          <w:szCs w:val="24"/>
          <w:vertAlign w:val="superscript"/>
        </w:rPr>
        <w:t>7.4</w:t>
      </w:r>
      <w:r>
        <w:rPr>
          <w:rFonts w:ascii="Times New Roman" w:eastAsia="宋体" w:hAnsi="Times New Roman" w:cs="Times New Roman"/>
          <w:sz w:val="24"/>
          <w:szCs w:val="24"/>
        </w:rPr>
        <w:t xml:space="preserve">) within the range of 2 M to 7 M (corresponding to 0.7 kPa–659 kPa at 25 °C). In contrast, its toughness within the same concentration range (17 kJ/m³–1221 kJ/m³) demonstrates a strong linear relationship with the concentration (Γ ~ </w:t>
      </w:r>
      <w:r>
        <w:rPr>
          <w:rFonts w:ascii="Times New Roman" w:eastAsia="宋体" w:hAnsi="Times New Roman" w:cs="Times New Roman"/>
          <w:i/>
          <w:iCs/>
          <w:sz w:val="24"/>
          <w:szCs w:val="24"/>
        </w:rPr>
        <w:t>c</w:t>
      </w:r>
      <w:r>
        <w:rPr>
          <w:rFonts w:ascii="Times New Roman" w:eastAsia="宋体" w:hAnsi="Times New Roman" w:cs="Times New Roman"/>
          <w:sz w:val="24"/>
          <w:szCs w:val="24"/>
          <w:vertAlign w:val="superscript"/>
        </w:rPr>
        <w:t>1.4</w:t>
      </w:r>
      <w:r>
        <w:rPr>
          <w:rFonts w:ascii="Times New Roman" w:eastAsia="宋体" w:hAnsi="Times New Roman" w:cs="Times New Roman"/>
          <w:sz w:val="24"/>
          <w:szCs w:val="24"/>
        </w:rPr>
        <w:t>), allowing direct calculation of performance characteristics on the basis of the concentration. Furthermore, the mechanical property ranges of PSM encompass the performance ranges of most hydrogels and significantly surpass the performance of conventional hydrogels (modulus ~40 kPa, toughness ~100 kJ/m³) and entangled hydrogels (modulus ~180 kPa, toughness ~250 kJ/m³). Notably, across all the concentration ranges, PSM consistently exhibits excellent extensibility (λ ≥ 30</w:t>
      </w:r>
      <w:r w:rsidR="00187EA8">
        <w:rPr>
          <w:rFonts w:ascii="Times New Roman" w:eastAsia="宋体" w:hAnsi="Times New Roman" w:cs="Times New Roman" w:hint="eastAsia"/>
          <w:sz w:val="24"/>
          <w:szCs w:val="24"/>
        </w:rPr>
        <w:t>00%</w:t>
      </w:r>
      <w:r>
        <w:rPr>
          <w:rFonts w:ascii="Times New Roman" w:eastAsia="宋体" w:hAnsi="Times New Roman" w:cs="Times New Roman"/>
          <w:sz w:val="24"/>
          <w:szCs w:val="24"/>
        </w:rPr>
        <w:t>), which adequately satisfies the application requirements of diverse scenarios.</w:t>
      </w:r>
    </w:p>
    <w:p w14:paraId="4B92CF4A" w14:textId="77777777" w:rsidR="00155631" w:rsidRDefault="00155631" w:rsidP="005E6F8D">
      <w:pPr>
        <w:spacing w:line="480" w:lineRule="auto"/>
        <w:rPr>
          <w:rFonts w:ascii="Times New Roman" w:eastAsia="宋体" w:hAnsi="Times New Roman" w:cs="Times New Roman" w:hint="eastAsia"/>
          <w:sz w:val="24"/>
          <w:szCs w:val="24"/>
        </w:rPr>
      </w:pPr>
    </w:p>
    <w:p w14:paraId="5A2719FB" w14:textId="2C61BA58"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sz w:val="24"/>
          <w:szCs w:val="24"/>
        </w:rPr>
        <w:lastRenderedPageBreak/>
        <w:drawing>
          <wp:inline distT="0" distB="0" distL="0" distR="0" wp14:anchorId="3C368A6D" wp14:editId="136943E1">
            <wp:extent cx="1440000" cy="1884691"/>
            <wp:effectExtent l="0" t="0" r="8255" b="1270"/>
            <wp:docPr id="11569800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0000" cy="1884691"/>
                    </a:xfrm>
                    <a:prstGeom prst="rect">
                      <a:avLst/>
                    </a:prstGeom>
                    <a:noFill/>
                    <a:ln>
                      <a:noFill/>
                    </a:ln>
                  </pic:spPr>
                </pic:pic>
              </a:graphicData>
            </a:graphic>
          </wp:inline>
        </w:drawing>
      </w:r>
    </w:p>
    <w:p w14:paraId="291C92B1" w14:textId="3808E4EB"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B8208C">
        <w:rPr>
          <w:rFonts w:ascii="Times New Roman" w:eastAsia="宋体" w:hAnsi="Times New Roman" w:cs="Times New Roman" w:hint="eastAsia"/>
          <w:b/>
          <w:bCs/>
          <w:sz w:val="24"/>
          <w:szCs w:val="24"/>
        </w:rPr>
        <w:t>48</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Shear toughness in shear tests.</w:t>
      </w:r>
    </w:p>
    <w:p w14:paraId="1D93BBDB" w14:textId="0DA8E682"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When the polymer concentration was increased from 2M to 6M, the shear toughness increased from 8.1 to 765 kJ/m³, and the shear resistance was markedly enhanced.</w:t>
      </w:r>
    </w:p>
    <w:p w14:paraId="479A89C3" w14:textId="1AF0202B" w:rsidR="00155631" w:rsidRDefault="00155631" w:rsidP="005E6F8D">
      <w:pPr>
        <w:spacing w:line="480" w:lineRule="auto"/>
        <w:rPr>
          <w:rFonts w:ascii="Times New Roman" w:eastAsia="宋体" w:hAnsi="Times New Roman" w:cs="Times New Roman"/>
          <w:sz w:val="24"/>
          <w:szCs w:val="24"/>
        </w:rPr>
      </w:pPr>
    </w:p>
    <w:p w14:paraId="633B740B" w14:textId="2C3A9BE0" w:rsidR="008F6A1A" w:rsidRDefault="008F6A1A" w:rsidP="005E6F8D">
      <w:pPr>
        <w:spacing w:line="480" w:lineRule="auto"/>
        <w:rPr>
          <w:rFonts w:ascii="Times New Roman" w:eastAsia="宋体" w:hAnsi="Times New Roman" w:cs="Times New Roman"/>
          <w:sz w:val="24"/>
          <w:szCs w:val="24"/>
        </w:rPr>
      </w:pPr>
      <w:r>
        <w:rPr>
          <w:noProof/>
        </w:rPr>
        <w:drawing>
          <wp:inline distT="0" distB="0" distL="0" distR="0" wp14:anchorId="5F7AAC6D" wp14:editId="6353A50F">
            <wp:extent cx="5274000" cy="1943053"/>
            <wp:effectExtent l="0" t="0" r="3175" b="0"/>
            <wp:docPr id="558882480"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882480"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5274000" cy="1943053"/>
                    </a:xfrm>
                    <a:prstGeom prst="rect">
                      <a:avLst/>
                    </a:prstGeom>
                  </pic:spPr>
                </pic:pic>
              </a:graphicData>
            </a:graphic>
          </wp:inline>
        </w:drawing>
      </w:r>
    </w:p>
    <w:p w14:paraId="0EA3E971" w14:textId="68135382"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B8208C">
        <w:rPr>
          <w:rFonts w:ascii="Times New Roman" w:eastAsia="宋体" w:hAnsi="Times New Roman" w:cs="Times New Roman" w:hint="eastAsia"/>
          <w:b/>
          <w:bCs/>
          <w:sz w:val="24"/>
          <w:szCs w:val="24"/>
        </w:rPr>
        <w:t>49</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Tear test data of hydrogels with different polymer concentrations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a. Stress-strain curve. b. Crack release rate. c. Tear toughness.</w:t>
      </w:r>
    </w:p>
    <w:p w14:paraId="413F413C"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As the polymer chain concentration increases, the tear strength of the hydrogel rises, with both the crack propagation resistance and tear toughness showing substantial improvements, thereby demonstrating excellent overall tear resistance.</w:t>
      </w:r>
    </w:p>
    <w:p w14:paraId="32B66294" w14:textId="4A9CF746" w:rsidR="00155631" w:rsidRDefault="00187EA8" w:rsidP="005E6F8D">
      <w:pPr>
        <w:spacing w:line="480" w:lineRule="auto"/>
        <w:jc w:val="center"/>
        <w:rPr>
          <w:rFonts w:ascii="Times New Roman" w:eastAsia="宋体" w:hAnsi="Times New Roman" w:cs="Times New Roman"/>
          <w:sz w:val="24"/>
          <w:szCs w:val="24"/>
        </w:rPr>
      </w:pPr>
      <w:r>
        <w:rPr>
          <w:noProof/>
        </w:rPr>
        <w:lastRenderedPageBreak/>
        <w:drawing>
          <wp:inline distT="0" distB="0" distL="0" distR="0" wp14:anchorId="00F65EB8" wp14:editId="02C71F03">
            <wp:extent cx="3600000" cy="3444835"/>
            <wp:effectExtent l="0" t="0" r="635" b="3810"/>
            <wp:docPr id="10224549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454910" name=""/>
                    <pic:cNvPicPr/>
                  </pic:nvPicPr>
                  <pic:blipFill>
                    <a:blip r:embed="rId74"/>
                    <a:stretch>
                      <a:fillRect/>
                    </a:stretch>
                  </pic:blipFill>
                  <pic:spPr>
                    <a:xfrm>
                      <a:off x="0" y="0"/>
                      <a:ext cx="3600000" cy="3444835"/>
                    </a:xfrm>
                    <a:prstGeom prst="rect">
                      <a:avLst/>
                    </a:prstGeom>
                  </pic:spPr>
                </pic:pic>
              </a:graphicData>
            </a:graphic>
          </wp:inline>
        </w:drawing>
      </w:r>
    </w:p>
    <w:p w14:paraId="19F0A20F" w14:textId="46191F75"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E934FF">
        <w:rPr>
          <w:rFonts w:ascii="Times New Roman" w:eastAsia="宋体" w:hAnsi="Times New Roman" w:cs="Times New Roman" w:hint="eastAsia"/>
          <w:b/>
          <w:bCs/>
          <w:sz w:val="24"/>
          <w:szCs w:val="24"/>
        </w:rPr>
        <w:t>5</w:t>
      </w:r>
      <w:r w:rsidR="00B8208C">
        <w:rPr>
          <w:rFonts w:ascii="Times New Roman" w:eastAsia="宋体" w:hAnsi="Times New Roman" w:cs="Times New Roman" w:hint="eastAsia"/>
          <w:b/>
          <w:bCs/>
          <w:sz w:val="24"/>
          <w:szCs w:val="24"/>
        </w:rPr>
        <w:t>0</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Images of the tear test process. a.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b.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c.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w:t>
      </w:r>
    </w:p>
    <w:p w14:paraId="3F85C834"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In the tear test, all PSM samples exhibited excellent tear resistance, as they could be stably stretched to over 20 times their original length. The initially introduced tears did not propagate but instead underwent both plastic and elastic deformation at the ends of the pant legs.</w:t>
      </w:r>
    </w:p>
    <w:p w14:paraId="0A5E59EC" w14:textId="77777777" w:rsidR="00155631" w:rsidRDefault="00155631" w:rsidP="005E6F8D">
      <w:pPr>
        <w:spacing w:line="480" w:lineRule="auto"/>
        <w:ind w:firstLineChars="200" w:firstLine="480"/>
        <w:rPr>
          <w:rFonts w:ascii="Times New Roman" w:eastAsia="宋体" w:hAnsi="Times New Roman" w:cs="Times New Roman"/>
          <w:sz w:val="24"/>
          <w:szCs w:val="24"/>
        </w:rPr>
      </w:pPr>
    </w:p>
    <w:p w14:paraId="60AC5CD8" w14:textId="157885C3" w:rsidR="00155631" w:rsidRDefault="00187EA8" w:rsidP="005E6F8D">
      <w:pPr>
        <w:spacing w:line="480" w:lineRule="auto"/>
        <w:rPr>
          <w:rFonts w:ascii="Times New Roman" w:eastAsia="宋体" w:hAnsi="Times New Roman" w:cs="Times New Roman"/>
          <w:sz w:val="24"/>
          <w:szCs w:val="24"/>
        </w:rPr>
      </w:pPr>
      <w:r>
        <w:rPr>
          <w:noProof/>
        </w:rPr>
        <w:drawing>
          <wp:inline distT="0" distB="0" distL="0" distR="0" wp14:anchorId="4A95790E" wp14:editId="4BB03C6B">
            <wp:extent cx="4967605" cy="1847215"/>
            <wp:effectExtent l="0" t="0" r="4445" b="635"/>
            <wp:docPr id="2885406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67605" cy="1847215"/>
                    </a:xfrm>
                    <a:prstGeom prst="rect">
                      <a:avLst/>
                    </a:prstGeom>
                    <a:noFill/>
                    <a:ln>
                      <a:noFill/>
                    </a:ln>
                  </pic:spPr>
                </pic:pic>
              </a:graphicData>
            </a:graphic>
          </wp:inline>
        </w:drawing>
      </w:r>
    </w:p>
    <w:p w14:paraId="4F72A774" w14:textId="7310DBA6"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E934FF">
        <w:rPr>
          <w:rFonts w:ascii="Times New Roman" w:eastAsia="宋体" w:hAnsi="Times New Roman" w:cs="Times New Roman" w:hint="eastAsia"/>
          <w:b/>
          <w:bCs/>
          <w:sz w:val="24"/>
          <w:szCs w:val="24"/>
        </w:rPr>
        <w:t>5</w:t>
      </w:r>
      <w:r w:rsidR="00B8208C">
        <w:rPr>
          <w:rFonts w:ascii="Times New Roman" w:eastAsia="宋体" w:hAnsi="Times New Roman" w:cs="Times New Roman" w:hint="eastAsia"/>
          <w:b/>
          <w:bCs/>
          <w:sz w:val="24"/>
          <w:szCs w:val="24"/>
        </w:rPr>
        <w:t>1</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Notch experimental test data of hydrogels with different </w:t>
      </w:r>
      <w:r>
        <w:rPr>
          <w:rFonts w:ascii="Times New Roman" w:eastAsia="宋体" w:hAnsi="Times New Roman" w:cs="Times New Roman"/>
          <w:sz w:val="24"/>
          <w:szCs w:val="24"/>
        </w:rPr>
        <w:lastRenderedPageBreak/>
        <w:t>concentrations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a. Stress-strain curve. b. Crack propagation resistance. c. Notch toughness.</w:t>
      </w:r>
    </w:p>
    <w:p w14:paraId="7C8EF6F0"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As the polymer chain concentration increases, the tensile strength of the hydrogel rises, with both the crack propagation resistance and notch toughness showing substantial improvements, thereby demonstrating excellent overall notch resistance.</w:t>
      </w:r>
    </w:p>
    <w:p w14:paraId="13A44150" w14:textId="77777777" w:rsidR="00155631" w:rsidRDefault="00155631" w:rsidP="005E6F8D">
      <w:pPr>
        <w:spacing w:line="480" w:lineRule="auto"/>
        <w:rPr>
          <w:rFonts w:ascii="Times New Roman" w:eastAsia="宋体" w:hAnsi="Times New Roman" w:cs="Times New Roman"/>
          <w:sz w:val="24"/>
          <w:szCs w:val="24"/>
        </w:rPr>
      </w:pPr>
    </w:p>
    <w:p w14:paraId="1F6A51BD" w14:textId="5226FAA8" w:rsidR="00155631" w:rsidRDefault="00187EA8" w:rsidP="005E6F8D">
      <w:pPr>
        <w:spacing w:line="480" w:lineRule="auto"/>
        <w:jc w:val="center"/>
        <w:rPr>
          <w:rFonts w:ascii="Times New Roman" w:eastAsia="宋体" w:hAnsi="Times New Roman" w:cs="Times New Roman"/>
          <w:sz w:val="24"/>
          <w:szCs w:val="24"/>
        </w:rPr>
      </w:pPr>
      <w:r>
        <w:rPr>
          <w:noProof/>
        </w:rPr>
        <w:drawing>
          <wp:inline distT="0" distB="0" distL="0" distR="0" wp14:anchorId="3811D6B9" wp14:editId="29B1E41F">
            <wp:extent cx="2786897" cy="4536000"/>
            <wp:effectExtent l="0" t="0" r="0" b="0"/>
            <wp:docPr id="7238388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838824" name=""/>
                    <pic:cNvPicPr/>
                  </pic:nvPicPr>
                  <pic:blipFill>
                    <a:blip r:embed="rId76"/>
                    <a:stretch>
                      <a:fillRect/>
                    </a:stretch>
                  </pic:blipFill>
                  <pic:spPr>
                    <a:xfrm>
                      <a:off x="0" y="0"/>
                      <a:ext cx="2786897" cy="4536000"/>
                    </a:xfrm>
                    <a:prstGeom prst="rect">
                      <a:avLst/>
                    </a:prstGeom>
                  </pic:spPr>
                </pic:pic>
              </a:graphicData>
            </a:graphic>
          </wp:inline>
        </w:drawing>
      </w:r>
    </w:p>
    <w:p w14:paraId="4CCE7190" w14:textId="01C8E7B5"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5</w:t>
      </w:r>
      <w:r w:rsidR="00B8208C">
        <w:rPr>
          <w:rFonts w:ascii="Times New Roman" w:eastAsia="宋体" w:hAnsi="Times New Roman" w:cs="Times New Roman" w:hint="eastAsia"/>
          <w:b/>
          <w:bCs/>
          <w:sz w:val="24"/>
          <w:szCs w:val="24"/>
        </w:rPr>
        <w:t>2</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Images of notched test process. a.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b.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c.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w:t>
      </w:r>
    </w:p>
    <w:p w14:paraId="26E77A1B"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In the notch test, all PSM samples exhibited passivation expansion and could be stably stretched up to 10 times their original length.</w:t>
      </w:r>
    </w:p>
    <w:p w14:paraId="19441AA7" w14:textId="77777777" w:rsidR="00155631" w:rsidRDefault="00155631" w:rsidP="005E6F8D">
      <w:pPr>
        <w:spacing w:line="480" w:lineRule="auto"/>
        <w:ind w:firstLineChars="200" w:firstLine="480"/>
        <w:rPr>
          <w:rFonts w:ascii="Times New Roman" w:eastAsia="宋体" w:hAnsi="Times New Roman" w:cs="Times New Roman"/>
          <w:sz w:val="24"/>
          <w:szCs w:val="24"/>
        </w:rPr>
      </w:pPr>
    </w:p>
    <w:p w14:paraId="64BF3F06" w14:textId="7447E535"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sz w:val="24"/>
          <w:szCs w:val="24"/>
        </w:rPr>
        <w:lastRenderedPageBreak/>
        <w:drawing>
          <wp:inline distT="0" distB="0" distL="0" distR="0" wp14:anchorId="0531230F" wp14:editId="491AB337">
            <wp:extent cx="3600000" cy="2002041"/>
            <wp:effectExtent l="0" t="0" r="635" b="0"/>
            <wp:docPr id="14438975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00000" cy="2002041"/>
                    </a:xfrm>
                    <a:prstGeom prst="rect">
                      <a:avLst/>
                    </a:prstGeom>
                    <a:noFill/>
                    <a:ln>
                      <a:noFill/>
                    </a:ln>
                  </pic:spPr>
                </pic:pic>
              </a:graphicData>
            </a:graphic>
          </wp:inline>
        </w:drawing>
      </w:r>
    </w:p>
    <w:p w14:paraId="17E1B887" w14:textId="16506AFE"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5</w:t>
      </w:r>
      <w:r w:rsidR="00B8208C">
        <w:rPr>
          <w:rFonts w:ascii="Times New Roman" w:eastAsia="宋体" w:hAnsi="Times New Roman" w:cs="Times New Roman" w:hint="eastAsia"/>
          <w:b/>
          <w:bCs/>
          <w:sz w:val="24"/>
          <w:szCs w:val="24"/>
        </w:rPr>
        <w:t>3</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Bright-field and DAPI/AO staining images during the co-culture of hydrogel and stem cells.</w:t>
      </w:r>
    </w:p>
    <w:p w14:paraId="4970C35F"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To evaluate its suitability, we cocultured PSM with human umbilical cord mesenchymal stem cells (UC-MSCs) and assessed key indicators such as cell survival, viability, and proliferation. Initially, two double-staining methods, DAPI/AO and AO/PI, were employed to evaluate the cell viability and survival during culture. Figure presents the DAPI/AO staining results after 24 hours of coculture. Blue represents nuclear staining by DAPI, while green indicates cell viability staining by AO. Compared with the blank control group, the PSM group presents a significantly greater number of cells and higher cell viability. Figure shows the AO/PI staining results after 24 hours of coculture. The green fluorescence and red fluorescence in the AO/PI images correspond to living and dead cells, respectively. The results reveal stronger green fluorescence signals from living cells in the PSM group, with virtually no red fluorescence indicating dead cells, thus confirming the excellent cytocompatibility of PSM.</w:t>
      </w:r>
    </w:p>
    <w:p w14:paraId="0603F36C" w14:textId="77777777" w:rsidR="00155631" w:rsidRDefault="00155631" w:rsidP="005E6F8D">
      <w:pPr>
        <w:spacing w:line="480" w:lineRule="auto"/>
        <w:ind w:firstLineChars="200" w:firstLine="480"/>
        <w:rPr>
          <w:rFonts w:ascii="Times New Roman" w:eastAsia="宋体" w:hAnsi="Times New Roman" w:cs="Times New Roman"/>
          <w:sz w:val="24"/>
          <w:szCs w:val="24"/>
        </w:rPr>
      </w:pPr>
    </w:p>
    <w:p w14:paraId="609E3CE4" w14:textId="38D070F9"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sz w:val="24"/>
          <w:szCs w:val="24"/>
        </w:rPr>
        <w:lastRenderedPageBreak/>
        <w:drawing>
          <wp:inline distT="0" distB="0" distL="0" distR="0" wp14:anchorId="2F8AD607" wp14:editId="7C418EA6">
            <wp:extent cx="3600000" cy="2013061"/>
            <wp:effectExtent l="0" t="0" r="635" b="6350"/>
            <wp:docPr id="4932156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00000" cy="2013061"/>
                    </a:xfrm>
                    <a:prstGeom prst="rect">
                      <a:avLst/>
                    </a:prstGeom>
                    <a:noFill/>
                    <a:ln>
                      <a:noFill/>
                    </a:ln>
                  </pic:spPr>
                </pic:pic>
              </a:graphicData>
            </a:graphic>
          </wp:inline>
        </w:drawing>
      </w:r>
    </w:p>
    <w:p w14:paraId="3192DBAF" w14:textId="23EA2C26"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5</w:t>
      </w:r>
      <w:r w:rsidR="00B8208C">
        <w:rPr>
          <w:rFonts w:ascii="Times New Roman" w:eastAsia="宋体" w:hAnsi="Times New Roman" w:cs="Times New Roman" w:hint="eastAsia"/>
          <w:b/>
          <w:bCs/>
          <w:sz w:val="24"/>
          <w:szCs w:val="24"/>
        </w:rPr>
        <w:t>4</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Bright-field and DAPI/</w:t>
      </w:r>
      <w:proofErr w:type="spellStart"/>
      <w:r>
        <w:rPr>
          <w:rFonts w:ascii="Times New Roman" w:eastAsia="宋体" w:hAnsi="Times New Roman" w:cs="Times New Roman"/>
          <w:sz w:val="24"/>
          <w:szCs w:val="24"/>
        </w:rPr>
        <w:t>EdU</w:t>
      </w:r>
      <w:proofErr w:type="spellEnd"/>
      <w:r>
        <w:rPr>
          <w:rFonts w:ascii="Times New Roman" w:eastAsia="宋体" w:hAnsi="Times New Roman" w:cs="Times New Roman"/>
          <w:sz w:val="24"/>
          <w:szCs w:val="24"/>
        </w:rPr>
        <w:t xml:space="preserve"> staining images during the co-culture of hydrogel and stem cells.</w:t>
      </w:r>
    </w:p>
    <w:p w14:paraId="6A028EC8"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We further investigated the effect of PSM on cell proliferation using the DAPI/</w:t>
      </w:r>
      <w:proofErr w:type="spellStart"/>
      <w:r>
        <w:rPr>
          <w:rFonts w:ascii="Times New Roman" w:eastAsia="宋体" w:hAnsi="Times New Roman" w:cs="Times New Roman"/>
          <w:sz w:val="24"/>
          <w:szCs w:val="24"/>
        </w:rPr>
        <w:t>EdU</w:t>
      </w:r>
      <w:proofErr w:type="spellEnd"/>
      <w:r>
        <w:rPr>
          <w:rFonts w:ascii="Times New Roman" w:eastAsia="宋体" w:hAnsi="Times New Roman" w:cs="Times New Roman"/>
          <w:sz w:val="24"/>
          <w:szCs w:val="24"/>
        </w:rPr>
        <w:t xml:space="preserve"> staining method58. Proliferating cells were labelled with red </w:t>
      </w:r>
      <w:proofErr w:type="spellStart"/>
      <w:r>
        <w:rPr>
          <w:rFonts w:ascii="Times New Roman" w:eastAsia="宋体" w:hAnsi="Times New Roman" w:cs="Times New Roman"/>
          <w:sz w:val="24"/>
          <w:szCs w:val="24"/>
        </w:rPr>
        <w:t>EdU</w:t>
      </w:r>
      <w:proofErr w:type="spellEnd"/>
      <w:r>
        <w:rPr>
          <w:rFonts w:ascii="Times New Roman" w:eastAsia="宋体" w:hAnsi="Times New Roman" w:cs="Times New Roman"/>
          <w:sz w:val="24"/>
          <w:szCs w:val="24"/>
        </w:rPr>
        <w:t>. PSM results in cell proliferation levels comparable to or greater than those in the blank control group, with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exhibiting the most pronounced effect on proliferation.</w:t>
      </w:r>
    </w:p>
    <w:p w14:paraId="7F2C700F" w14:textId="77777777" w:rsidR="00155631" w:rsidRDefault="00155631" w:rsidP="005E6F8D">
      <w:pPr>
        <w:spacing w:line="480" w:lineRule="auto"/>
        <w:rPr>
          <w:rFonts w:ascii="Times New Roman" w:eastAsia="宋体" w:hAnsi="Times New Roman" w:cs="Times New Roman"/>
          <w:sz w:val="24"/>
          <w:szCs w:val="24"/>
        </w:rPr>
      </w:pPr>
    </w:p>
    <w:p w14:paraId="66D3F4BF" w14:textId="3561C2FF" w:rsidR="00155631" w:rsidRDefault="00E934FF" w:rsidP="005E6F8D">
      <w:pPr>
        <w:spacing w:line="480" w:lineRule="auto"/>
        <w:rPr>
          <w:rFonts w:ascii="Times New Roman" w:eastAsia="宋体" w:hAnsi="Times New Roman" w:cs="Times New Roman"/>
          <w:sz w:val="24"/>
          <w:szCs w:val="24"/>
        </w:rPr>
      </w:pPr>
      <w:r w:rsidRPr="005B7BDA">
        <w:rPr>
          <w:rFonts w:ascii="Times New Roman" w:hAnsi="Times New Roman" w:cs="Times New Roman"/>
          <w:noProof/>
          <w:sz w:val="24"/>
          <w:szCs w:val="24"/>
        </w:rPr>
        <w:drawing>
          <wp:inline distT="0" distB="0" distL="0" distR="0" wp14:anchorId="028272F4" wp14:editId="6180A499">
            <wp:extent cx="5274000" cy="1571859"/>
            <wp:effectExtent l="0" t="0" r="0" b="9525"/>
            <wp:docPr id="2134177823"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177823" name=""/>
                    <pic:cNvPicPr/>
                  </pic:nvPicPr>
                  <pic:blipFill>
                    <a:blip r:embed="rId79">
                      <a:extLst>
                        <a:ext uri="{96DAC541-7B7A-43D3-8B79-37D633B846F1}">
                          <asvg:svgBlip xmlns:asvg="http://schemas.microsoft.com/office/drawing/2016/SVG/main" r:embed="rId80"/>
                        </a:ext>
                      </a:extLst>
                    </a:blip>
                    <a:stretch>
                      <a:fillRect/>
                    </a:stretch>
                  </pic:blipFill>
                  <pic:spPr>
                    <a:xfrm>
                      <a:off x="0" y="0"/>
                      <a:ext cx="5274000" cy="1571859"/>
                    </a:xfrm>
                    <a:prstGeom prst="rect">
                      <a:avLst/>
                    </a:prstGeom>
                  </pic:spPr>
                </pic:pic>
              </a:graphicData>
            </a:graphic>
          </wp:inline>
        </w:drawing>
      </w:r>
    </w:p>
    <w:p w14:paraId="6C61229E" w14:textId="79C6B9AF"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5</w:t>
      </w:r>
      <w:r w:rsidR="00B8208C">
        <w:rPr>
          <w:rFonts w:ascii="Times New Roman" w:eastAsia="宋体" w:hAnsi="Times New Roman" w:cs="Times New Roman" w:hint="eastAsia"/>
          <w:b/>
          <w:bCs/>
          <w:sz w:val="24"/>
          <w:szCs w:val="24"/>
        </w:rPr>
        <w:t>5</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w:t>
      </w:r>
      <w:r>
        <w:rPr>
          <w:rFonts w:ascii="Times New Roman" w:eastAsia="宋体" w:hAnsi="Times New Roman" w:cs="Times New Roman"/>
          <w:b/>
          <w:bCs/>
          <w:sz w:val="24"/>
          <w:szCs w:val="24"/>
        </w:rPr>
        <w:t>Biocompatibility of PSM.</w:t>
      </w:r>
      <w:r>
        <w:rPr>
          <w:rFonts w:ascii="Times New Roman" w:eastAsia="宋体" w:hAnsi="Times New Roman" w:cs="Times New Roman"/>
          <w:sz w:val="24"/>
          <w:szCs w:val="24"/>
        </w:rPr>
        <w:t xml:space="preserve"> a. Cell survival rates of different hydrogels. b. Cell proliferation rates of different hydrogels.</w:t>
      </w:r>
    </w:p>
    <w:p w14:paraId="657A026E"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Cell survival and proliferation rates were quantitatively evaluated using the CCK-8 assay. The results indicate that after 24 hours of coculture, the survival rates of UC-MSCs cocultured with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and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are 96%, 92%, and 87%, respectively, demonstrating excellent cytocompatibility. Furthermore, after 48 hours of </w:t>
      </w:r>
      <w:r>
        <w:rPr>
          <w:rFonts w:ascii="Times New Roman" w:eastAsia="宋体" w:hAnsi="Times New Roman" w:cs="Times New Roman"/>
          <w:sz w:val="24"/>
          <w:szCs w:val="24"/>
        </w:rPr>
        <w:lastRenderedPageBreak/>
        <w:t>culture, the cell survival rates exceed 100%, indicating that PSM promotes cell proliferation. After 48 hours of culture, the proliferation rate in the gel group is comparable to that in the blank control group (~1300%). After 96 hours of culture, the proliferation rate in the gel group surpasses that in the blank control group, indicating significant promotion of stem cell proliferation. Collectively, these findings confirm that the PSM gel has excellent biocompatibility and cytocompatibility.</w:t>
      </w:r>
    </w:p>
    <w:p w14:paraId="14BC19B2" w14:textId="77777777" w:rsidR="00155631" w:rsidRDefault="00155631" w:rsidP="005E6F8D">
      <w:pPr>
        <w:spacing w:line="480" w:lineRule="auto"/>
        <w:rPr>
          <w:rFonts w:ascii="Times New Roman" w:eastAsia="宋体" w:hAnsi="Times New Roman" w:cs="Times New Roman"/>
          <w:sz w:val="24"/>
          <w:szCs w:val="24"/>
        </w:rPr>
      </w:pPr>
    </w:p>
    <w:p w14:paraId="0F326C14" w14:textId="35993A23"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525815F3" wp14:editId="184EDED3">
            <wp:extent cx="2160000" cy="1612849"/>
            <wp:effectExtent l="0" t="0" r="0" b="6985"/>
            <wp:docPr id="97390865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60000" cy="1612849"/>
                    </a:xfrm>
                    <a:prstGeom prst="rect">
                      <a:avLst/>
                    </a:prstGeom>
                    <a:noFill/>
                    <a:ln>
                      <a:noFill/>
                    </a:ln>
                  </pic:spPr>
                </pic:pic>
              </a:graphicData>
            </a:graphic>
          </wp:inline>
        </w:drawing>
      </w:r>
    </w:p>
    <w:p w14:paraId="1C68E767" w14:textId="69BC383D"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5</w:t>
      </w:r>
      <w:r w:rsidR="00B8208C">
        <w:rPr>
          <w:rFonts w:ascii="Times New Roman" w:eastAsia="宋体" w:hAnsi="Times New Roman" w:cs="Times New Roman" w:hint="eastAsia"/>
          <w:b/>
          <w:bCs/>
          <w:sz w:val="24"/>
          <w:szCs w:val="24"/>
        </w:rPr>
        <w:t>6</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Particle size distribution and particle concentration of exosomes.</w:t>
      </w:r>
    </w:p>
    <w:p w14:paraId="7F820D5E"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PSM-Exo was utilized to load exosomes (Exos) derived from human UC-MSCs. The average diameter of the exosomes was approximately 120 nm. Additional characteristics, such as Western blot protein expression data, are provided in the supplementary materials. These data confirm the origin and characteristics of exosomes.</w:t>
      </w:r>
    </w:p>
    <w:p w14:paraId="3B47BCC5"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nanoparticle tracking analysis (NTA) results revealed that the average diameter of exosomes was 120 nm, with a concentration of 1.2×10</w:t>
      </w:r>
      <w:r>
        <w:rPr>
          <w:rFonts w:ascii="Times New Roman" w:eastAsia="宋体" w:hAnsi="Times New Roman" w:cs="Times New Roman"/>
          <w:sz w:val="24"/>
          <w:szCs w:val="24"/>
          <w:vertAlign w:val="superscript"/>
        </w:rPr>
        <w:t xml:space="preserve">7 </w:t>
      </w:r>
      <w:r>
        <w:rPr>
          <w:rFonts w:ascii="Times New Roman" w:eastAsia="宋体" w:hAnsi="Times New Roman" w:cs="Times New Roman"/>
          <w:sz w:val="24"/>
          <w:szCs w:val="24"/>
        </w:rPr>
        <w:t>particles/ml.</w:t>
      </w:r>
    </w:p>
    <w:p w14:paraId="4A21A184" w14:textId="77777777" w:rsidR="00155631" w:rsidRDefault="00155631" w:rsidP="005E6F8D">
      <w:pPr>
        <w:spacing w:line="480" w:lineRule="auto"/>
        <w:ind w:firstLineChars="200" w:firstLine="480"/>
        <w:rPr>
          <w:rFonts w:ascii="Times New Roman" w:eastAsia="宋体" w:hAnsi="Times New Roman" w:cs="Times New Roman"/>
          <w:sz w:val="24"/>
          <w:szCs w:val="24"/>
        </w:rPr>
      </w:pPr>
    </w:p>
    <w:p w14:paraId="073E1787" w14:textId="77777777" w:rsidR="00155631" w:rsidRDefault="00155631" w:rsidP="005E6F8D">
      <w:pPr>
        <w:spacing w:line="480" w:lineRule="auto"/>
        <w:ind w:firstLineChars="200" w:firstLine="480"/>
        <w:rPr>
          <w:rFonts w:ascii="Times New Roman" w:eastAsia="宋体" w:hAnsi="Times New Roman" w:cs="Times New Roman"/>
          <w:sz w:val="24"/>
          <w:szCs w:val="24"/>
        </w:rPr>
      </w:pPr>
    </w:p>
    <w:p w14:paraId="74194FF6" w14:textId="1455010D"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sz w:val="24"/>
          <w:szCs w:val="24"/>
        </w:rPr>
        <w:lastRenderedPageBreak/>
        <w:drawing>
          <wp:inline distT="0" distB="0" distL="0" distR="0" wp14:anchorId="1C1610FD" wp14:editId="15967568">
            <wp:extent cx="2160000" cy="1922831"/>
            <wp:effectExtent l="0" t="0" r="0" b="1270"/>
            <wp:docPr id="20454829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482932" name=""/>
                    <pic:cNvPicPr/>
                  </pic:nvPicPr>
                  <pic:blipFill>
                    <a:blip r:embed="rId82"/>
                    <a:stretch>
                      <a:fillRect/>
                    </a:stretch>
                  </pic:blipFill>
                  <pic:spPr>
                    <a:xfrm>
                      <a:off x="0" y="0"/>
                      <a:ext cx="2160000" cy="1922831"/>
                    </a:xfrm>
                    <a:prstGeom prst="rect">
                      <a:avLst/>
                    </a:prstGeom>
                  </pic:spPr>
                </pic:pic>
              </a:graphicData>
            </a:graphic>
          </wp:inline>
        </w:drawing>
      </w:r>
    </w:p>
    <w:p w14:paraId="0A1D79DF" w14:textId="234E5210"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5</w:t>
      </w:r>
      <w:r w:rsidR="00B8208C">
        <w:rPr>
          <w:rFonts w:ascii="Times New Roman" w:eastAsia="宋体" w:hAnsi="Times New Roman" w:cs="Times New Roman" w:hint="eastAsia"/>
          <w:b/>
          <w:bCs/>
          <w:sz w:val="24"/>
          <w:szCs w:val="24"/>
        </w:rPr>
        <w:t>7</w:t>
      </w:r>
      <w:r>
        <w:rPr>
          <w:rFonts w:ascii="Times New Roman" w:eastAsia="宋体" w:hAnsi="Times New Roman" w:cs="Times New Roman"/>
          <w:b/>
          <w:bCs/>
          <w:sz w:val="24"/>
          <w:szCs w:val="24"/>
        </w:rPr>
        <w:t xml:space="preserve">. </w:t>
      </w:r>
      <w:r>
        <w:rPr>
          <w:rFonts w:ascii="Times New Roman" w:eastAsia="宋体" w:hAnsi="Times New Roman" w:cs="Times New Roman"/>
          <w:sz w:val="24"/>
          <w:szCs w:val="24"/>
        </w:rPr>
        <w:t>PKH26 staining image of exosomes.</w:t>
      </w:r>
    </w:p>
    <w:p w14:paraId="27D909E6"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exosomes were stained with PKH26 and observed under a fluorescence microscope. The results revealed that the exosomes exhibited a cup-shaped morphology with a uniform particle size distribution.</w:t>
      </w:r>
    </w:p>
    <w:p w14:paraId="4C5D84A3" w14:textId="77777777" w:rsidR="00155631" w:rsidRDefault="00155631" w:rsidP="005E6F8D">
      <w:pPr>
        <w:spacing w:line="480" w:lineRule="auto"/>
        <w:rPr>
          <w:rFonts w:ascii="Times New Roman" w:eastAsia="宋体" w:hAnsi="Times New Roman" w:cs="Times New Roman"/>
          <w:sz w:val="24"/>
          <w:szCs w:val="24"/>
        </w:rPr>
      </w:pPr>
    </w:p>
    <w:p w14:paraId="3AB63104" w14:textId="0B4BDCAA"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sz w:val="24"/>
          <w:szCs w:val="24"/>
        </w:rPr>
        <w:drawing>
          <wp:inline distT="0" distB="0" distL="0" distR="0" wp14:anchorId="785D1110" wp14:editId="25649291">
            <wp:extent cx="1503680" cy="2189480"/>
            <wp:effectExtent l="0" t="0" r="1270" b="1270"/>
            <wp:docPr id="171614259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03680" cy="2189480"/>
                    </a:xfrm>
                    <a:prstGeom prst="rect">
                      <a:avLst/>
                    </a:prstGeom>
                    <a:noFill/>
                    <a:ln>
                      <a:noFill/>
                    </a:ln>
                  </pic:spPr>
                </pic:pic>
              </a:graphicData>
            </a:graphic>
          </wp:inline>
        </w:drawing>
      </w:r>
    </w:p>
    <w:p w14:paraId="7A832B16" w14:textId="2A9A2A36"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B8208C">
        <w:rPr>
          <w:rFonts w:ascii="Times New Roman" w:eastAsia="宋体" w:hAnsi="Times New Roman" w:cs="Times New Roman" w:hint="eastAsia"/>
          <w:b/>
          <w:bCs/>
          <w:sz w:val="24"/>
          <w:szCs w:val="24"/>
        </w:rPr>
        <w:t>58</w:t>
      </w:r>
      <w:r>
        <w:rPr>
          <w:rFonts w:ascii="Times New Roman" w:eastAsia="宋体" w:hAnsi="Times New Roman" w:cs="Times New Roman"/>
          <w:b/>
          <w:bCs/>
          <w:sz w:val="24"/>
          <w:szCs w:val="24"/>
        </w:rPr>
        <w:t xml:space="preserve">. </w:t>
      </w:r>
      <w:r>
        <w:rPr>
          <w:rFonts w:ascii="Times New Roman" w:eastAsia="宋体" w:hAnsi="Times New Roman" w:cs="Times New Roman"/>
          <w:sz w:val="24"/>
          <w:szCs w:val="24"/>
        </w:rPr>
        <w:t>WB analysis results of stem cells and exosomes derived from stem cells.</w:t>
      </w:r>
    </w:p>
    <w:p w14:paraId="1518D385"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WB analysis demonstrated that exosomes derived from umbilical cord mesenchymal stem cells co-expressed CD63, CD81, and HSP70, which are well-established markers of exosomes.</w:t>
      </w:r>
    </w:p>
    <w:p w14:paraId="747757C6" w14:textId="77777777" w:rsidR="00155631" w:rsidRDefault="00155631" w:rsidP="005E6F8D">
      <w:pPr>
        <w:spacing w:line="480" w:lineRule="auto"/>
        <w:rPr>
          <w:rFonts w:ascii="Times New Roman" w:eastAsia="宋体" w:hAnsi="Times New Roman" w:cs="Times New Roman"/>
          <w:sz w:val="24"/>
          <w:szCs w:val="24"/>
        </w:rPr>
      </w:pPr>
    </w:p>
    <w:p w14:paraId="216F4B8E" w14:textId="70A6CCDD"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lastRenderedPageBreak/>
        <w:drawing>
          <wp:inline distT="0" distB="0" distL="0" distR="0" wp14:anchorId="4A0E3D56" wp14:editId="1F53DA3F">
            <wp:extent cx="2160000" cy="1685663"/>
            <wp:effectExtent l="0" t="0" r="0" b="0"/>
            <wp:docPr id="99839073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60000" cy="1685663"/>
                    </a:xfrm>
                    <a:prstGeom prst="rect">
                      <a:avLst/>
                    </a:prstGeom>
                    <a:noFill/>
                    <a:ln>
                      <a:noFill/>
                    </a:ln>
                  </pic:spPr>
                </pic:pic>
              </a:graphicData>
            </a:graphic>
          </wp:inline>
        </w:drawing>
      </w:r>
    </w:p>
    <w:p w14:paraId="45B24D8B" w14:textId="30CA1AE4"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B8208C">
        <w:rPr>
          <w:rFonts w:ascii="Times New Roman" w:eastAsia="宋体" w:hAnsi="Times New Roman" w:cs="Times New Roman" w:hint="eastAsia"/>
          <w:b/>
          <w:bCs/>
          <w:sz w:val="24"/>
          <w:szCs w:val="24"/>
        </w:rPr>
        <w:t>59</w:t>
      </w:r>
      <w:r>
        <w:rPr>
          <w:rFonts w:ascii="Times New Roman" w:eastAsia="宋体" w:hAnsi="Times New Roman" w:cs="Times New Roman"/>
          <w:b/>
          <w:bCs/>
          <w:sz w:val="24"/>
          <w:szCs w:val="24"/>
        </w:rPr>
        <w:t xml:space="preserve">. </w:t>
      </w:r>
      <w:r>
        <w:rPr>
          <w:rFonts w:ascii="Times New Roman" w:eastAsia="宋体" w:hAnsi="Times New Roman" w:cs="Times New Roman"/>
          <w:sz w:val="24"/>
          <w:szCs w:val="24"/>
        </w:rPr>
        <w:t>Exosome loading data of different hydrogels.</w:t>
      </w:r>
    </w:p>
    <w:p w14:paraId="6455A7DC"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We evaluated the loading and sustained-release performance of the hydrogel for Exos using a BCA kit. Upon testing, PSM demonstrates an adjustable Exo loading capacity within the range of 0-10 mg/mL, satisfying the dosage requirements for local administration (approximately 0.1-1 mg/kg, as referenced). Figure shows the Exo loading curve of PSM (with a total loading of 125 </w:t>
      </w:r>
      <w:proofErr w:type="spellStart"/>
      <w:r>
        <w:rPr>
          <w:rFonts w:ascii="Times New Roman" w:eastAsia="宋体" w:hAnsi="Times New Roman" w:cs="Times New Roman"/>
          <w:sz w:val="24"/>
          <w:szCs w:val="24"/>
        </w:rPr>
        <w:t>μg</w:t>
      </w:r>
      <w:proofErr w:type="spellEnd"/>
      <w:r>
        <w:rPr>
          <w:rFonts w:ascii="Times New Roman" w:eastAsia="宋体" w:hAnsi="Times New Roman" w:cs="Times New Roman"/>
          <w:sz w:val="24"/>
          <w:szCs w:val="24"/>
        </w:rPr>
        <w:t>). Notably, owing to the relatively low water content of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it can absorb a larger volume of exosome solution. This swelling process unties some of the entangled chains, enabling electrostatic adsorption of a greater number of exosomes. Consequently,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achieves a higher loading capacity (103 </w:t>
      </w:r>
      <w:proofErr w:type="spellStart"/>
      <w:r>
        <w:rPr>
          <w:rFonts w:ascii="Times New Roman" w:eastAsia="宋体" w:hAnsi="Times New Roman" w:cs="Times New Roman"/>
          <w:sz w:val="24"/>
          <w:szCs w:val="24"/>
        </w:rPr>
        <w:t>μg</w:t>
      </w:r>
      <w:proofErr w:type="spellEnd"/>
      <w:r>
        <w:rPr>
          <w:rFonts w:ascii="Times New Roman" w:eastAsia="宋体" w:hAnsi="Times New Roman" w:cs="Times New Roman"/>
          <w:sz w:val="24"/>
          <w:szCs w:val="24"/>
        </w:rPr>
        <w:t>, with an encapsulation efficiency of 83%) than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which exhibits a relatively low loading capacity, with a final loading of 97 </w:t>
      </w:r>
      <w:proofErr w:type="spellStart"/>
      <w:r>
        <w:rPr>
          <w:rFonts w:ascii="Times New Roman" w:eastAsia="宋体" w:hAnsi="Times New Roman" w:cs="Times New Roman"/>
          <w:sz w:val="24"/>
          <w:szCs w:val="24"/>
        </w:rPr>
        <w:t>μg</w:t>
      </w:r>
      <w:proofErr w:type="spellEnd"/>
      <w:r>
        <w:rPr>
          <w:rFonts w:ascii="Times New Roman" w:eastAsia="宋体" w:hAnsi="Times New Roman" w:cs="Times New Roman"/>
          <w:sz w:val="24"/>
          <w:szCs w:val="24"/>
        </w:rPr>
        <w:t xml:space="preserve"> (encapsulation efficiency of 78%). Compared with conventional gels, which typically exhibit a loading capacity of approximately 0.1-1.5 mg/mL and an encapsulation ratio of 50–70% (as referenced), PSM demonstrates superior performance.</w:t>
      </w:r>
    </w:p>
    <w:p w14:paraId="45157F02" w14:textId="77777777" w:rsidR="00155631" w:rsidRDefault="00155631" w:rsidP="005E6F8D">
      <w:pPr>
        <w:spacing w:line="480" w:lineRule="auto"/>
        <w:rPr>
          <w:rFonts w:ascii="Times New Roman" w:eastAsia="宋体" w:hAnsi="Times New Roman" w:cs="Times New Roman"/>
          <w:sz w:val="24"/>
          <w:szCs w:val="24"/>
        </w:rPr>
      </w:pPr>
    </w:p>
    <w:p w14:paraId="64B652A1" w14:textId="1FE8C159"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lastRenderedPageBreak/>
        <w:drawing>
          <wp:inline distT="0" distB="0" distL="0" distR="0" wp14:anchorId="3F4E23BC" wp14:editId="33BDCA2D">
            <wp:extent cx="2160000" cy="1871341"/>
            <wp:effectExtent l="0" t="0" r="0" b="0"/>
            <wp:docPr id="153715558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60000" cy="1871341"/>
                    </a:xfrm>
                    <a:prstGeom prst="rect">
                      <a:avLst/>
                    </a:prstGeom>
                    <a:noFill/>
                    <a:ln>
                      <a:noFill/>
                    </a:ln>
                  </pic:spPr>
                </pic:pic>
              </a:graphicData>
            </a:graphic>
          </wp:inline>
        </w:drawing>
      </w:r>
    </w:p>
    <w:p w14:paraId="418CE1B3" w14:textId="1F80BA85"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E934FF">
        <w:rPr>
          <w:rFonts w:ascii="Times New Roman" w:eastAsia="宋体" w:hAnsi="Times New Roman" w:cs="Times New Roman" w:hint="eastAsia"/>
          <w:b/>
          <w:bCs/>
          <w:sz w:val="24"/>
          <w:szCs w:val="24"/>
        </w:rPr>
        <w:t>6</w:t>
      </w:r>
      <w:r w:rsidR="00B8208C">
        <w:rPr>
          <w:rFonts w:ascii="Times New Roman" w:eastAsia="宋体" w:hAnsi="Times New Roman" w:cs="Times New Roman" w:hint="eastAsia"/>
          <w:b/>
          <w:bCs/>
          <w:sz w:val="24"/>
          <w:szCs w:val="24"/>
        </w:rPr>
        <w:t>0</w:t>
      </w:r>
      <w:r>
        <w:rPr>
          <w:rFonts w:ascii="Times New Roman" w:eastAsia="宋体" w:hAnsi="Times New Roman" w:cs="Times New Roman"/>
          <w:b/>
          <w:bCs/>
          <w:sz w:val="24"/>
          <w:szCs w:val="24"/>
        </w:rPr>
        <w:t xml:space="preserve">. </w:t>
      </w:r>
      <w:r>
        <w:rPr>
          <w:rFonts w:ascii="Times New Roman" w:eastAsia="宋体" w:hAnsi="Times New Roman" w:cs="Times New Roman"/>
          <w:sz w:val="24"/>
          <w:szCs w:val="24"/>
        </w:rPr>
        <w:t>Exosome daily release rate of different hydrogels.</w:t>
      </w:r>
    </w:p>
    <w:p w14:paraId="54BB697E"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Reversible binding enables exosomes to exhibit excellent sustained-release properties. The in vitro release test of Exos loaded onto PSM demonstrates that the duration of Exo release increases amount lasted for up to 12 days, with uniform and continuous release (average daily release of approximately 6.4 </w:t>
      </w:r>
      <w:proofErr w:type="spellStart"/>
      <w:r>
        <w:rPr>
          <w:rFonts w:ascii="Times New Roman" w:eastAsia="宋体" w:hAnsi="Times New Roman" w:cs="Times New Roman"/>
          <w:sz w:val="24"/>
          <w:szCs w:val="24"/>
        </w:rPr>
        <w:t>μg</w:t>
      </w:r>
      <w:proofErr w:type="spellEnd"/>
      <w:r>
        <w:rPr>
          <w:rFonts w:ascii="Times New Roman" w:eastAsia="宋体" w:hAnsi="Times New Roman" w:cs="Times New Roman"/>
          <w:sz w:val="24"/>
          <w:szCs w:val="24"/>
        </w:rPr>
        <w:t xml:space="preserve">, with a maximum difference between two consecutive days of less than 1.2 </w:t>
      </w:r>
      <w:proofErr w:type="spellStart"/>
      <w:r>
        <w:rPr>
          <w:rFonts w:ascii="Times New Roman" w:eastAsia="宋体" w:hAnsi="Times New Roman" w:cs="Times New Roman"/>
          <w:sz w:val="24"/>
          <w:szCs w:val="24"/>
        </w:rPr>
        <w:t>μg</w:t>
      </w:r>
      <w:proofErr w:type="spellEnd"/>
      <w:r>
        <w:rPr>
          <w:rFonts w:ascii="Times New Roman" w:eastAsia="宋体" w:hAnsi="Times New Roman" w:cs="Times New Roman"/>
          <w:sz w:val="24"/>
          <w:szCs w:val="24"/>
        </w:rPr>
        <w:t>). This remarkable sustained-release capability provides significant therapeutic advantages over direct exosome administration and traditional organic gel encapsulation. In contrast, the polyacrylamide (</w:t>
      </w:r>
      <w:proofErr w:type="spellStart"/>
      <w:r>
        <w:rPr>
          <w:rFonts w:ascii="Times New Roman" w:eastAsia="宋体" w:hAnsi="Times New Roman" w:cs="Times New Roman"/>
          <w:sz w:val="24"/>
          <w:szCs w:val="24"/>
        </w:rPr>
        <w:t>PAAm</w:t>
      </w:r>
      <w:proofErr w:type="spellEnd"/>
      <w:r>
        <w:rPr>
          <w:rFonts w:ascii="Times New Roman" w:eastAsia="宋体" w:hAnsi="Times New Roman" w:cs="Times New Roman"/>
          <w:sz w:val="24"/>
          <w:szCs w:val="24"/>
        </w:rPr>
        <w:t xml:space="preserve">)-Exo experimental group exhibits burst release, with approximately 85% released within 24 hours. Other types of gels also demonstrate relatively rapid release rates. For instance, the extracellular matrix hydrogel releases approximately 95% within 72 hours, and the dynamic Schiff base bound hydrogel releases approximately 86% within 5 days. The release cycle can be prolonged by constructing additional interactions with substances such as RGD peptides or dopamine, delaying release to 7-10 days. Moreover, we observe differences in the Exo release </w:t>
      </w:r>
      <w:proofErr w:type="spellStart"/>
      <w:r>
        <w:rPr>
          <w:rFonts w:ascii="Times New Roman" w:eastAsia="宋体" w:hAnsi="Times New Roman" w:cs="Times New Roman"/>
          <w:sz w:val="24"/>
          <w:szCs w:val="24"/>
        </w:rPr>
        <w:t>behaviour</w:t>
      </w:r>
      <w:proofErr w:type="spellEnd"/>
      <w:r>
        <w:rPr>
          <w:rFonts w:ascii="Times New Roman" w:eastAsia="宋体" w:hAnsi="Times New Roman" w:cs="Times New Roman"/>
          <w:sz w:val="24"/>
          <w:szCs w:val="24"/>
        </w:rPr>
        <w:t xml:space="preserve"> between plastic PSM and elastic PSM. Throughout the entire release cycle (12 days),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 xml:space="preserve"> exhibits a multistage release process. Initially, the release rate is </w:t>
      </w:r>
      <w:r>
        <w:rPr>
          <w:rFonts w:ascii="Times New Roman" w:eastAsia="宋体" w:hAnsi="Times New Roman" w:cs="Times New Roman"/>
          <w:sz w:val="24"/>
          <w:szCs w:val="24"/>
        </w:rPr>
        <w:lastRenderedPageBreak/>
        <w:t>relatively fast due to the release of exosomes located within the free chain domain. The release rate subsequently decreases, and the curve tends to flatten, as exosomes bound within the helical entangled domain are more difficult to release. Later, since the gel release environment is a PBS aqueous solution, swelling occurs during exosome release, disrupting some entangled regions and enabling secondary release of exosomes from these areas. In contrast, owing to the smaller entanglement regions in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 xml:space="preserve"> and its highly water-balanced free chain network, swelling has a minimal impact on the release rate, resulting in a more stable and continuous release profile.</w:t>
      </w:r>
    </w:p>
    <w:p w14:paraId="34CADBF8" w14:textId="77777777" w:rsidR="00155631" w:rsidRDefault="00155631" w:rsidP="005E6F8D">
      <w:pPr>
        <w:spacing w:line="480" w:lineRule="auto"/>
        <w:rPr>
          <w:rFonts w:ascii="Times New Roman" w:eastAsia="宋体" w:hAnsi="Times New Roman" w:cs="Times New Roman"/>
          <w:sz w:val="24"/>
          <w:szCs w:val="24"/>
        </w:rPr>
      </w:pPr>
    </w:p>
    <w:p w14:paraId="656580B9" w14:textId="4264E8B3"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drawing>
          <wp:inline distT="0" distB="0" distL="0" distR="0" wp14:anchorId="344002CE" wp14:editId="16B86245">
            <wp:extent cx="2880000" cy="1604879"/>
            <wp:effectExtent l="0" t="0" r="0" b="0"/>
            <wp:docPr id="100373961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80000" cy="1604879"/>
                    </a:xfrm>
                    <a:prstGeom prst="rect">
                      <a:avLst/>
                    </a:prstGeom>
                    <a:noFill/>
                    <a:ln>
                      <a:noFill/>
                    </a:ln>
                  </pic:spPr>
                </pic:pic>
              </a:graphicData>
            </a:graphic>
          </wp:inline>
        </w:drawing>
      </w:r>
    </w:p>
    <w:p w14:paraId="02082BED" w14:textId="3F7153AD"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 xml:space="preserve">Supplementary Figure </w:t>
      </w:r>
      <w:r w:rsidR="00E934FF">
        <w:rPr>
          <w:rFonts w:ascii="Times New Roman" w:eastAsia="宋体" w:hAnsi="Times New Roman" w:cs="Times New Roman" w:hint="eastAsia"/>
          <w:b/>
          <w:bCs/>
          <w:sz w:val="24"/>
          <w:szCs w:val="24"/>
        </w:rPr>
        <w:t>6</w:t>
      </w:r>
      <w:r w:rsidR="00B8208C">
        <w:rPr>
          <w:rFonts w:ascii="Times New Roman" w:eastAsia="宋体" w:hAnsi="Times New Roman" w:cs="Times New Roman" w:hint="eastAsia"/>
          <w:b/>
          <w:bCs/>
          <w:sz w:val="24"/>
          <w:szCs w:val="24"/>
        </w:rPr>
        <w:t>1</w:t>
      </w:r>
      <w:r>
        <w:rPr>
          <w:rFonts w:ascii="Times New Roman" w:eastAsia="宋体" w:hAnsi="Times New Roman" w:cs="Times New Roman"/>
          <w:b/>
          <w:bCs/>
          <w:sz w:val="24"/>
          <w:szCs w:val="24"/>
        </w:rPr>
        <w:t xml:space="preserve">. </w:t>
      </w:r>
      <w:r>
        <w:rPr>
          <w:rFonts w:ascii="Times New Roman" w:eastAsia="宋体" w:hAnsi="Times New Roman" w:cs="Times New Roman"/>
          <w:sz w:val="24"/>
          <w:szCs w:val="24"/>
        </w:rPr>
        <w:t>Flowchart of the diabetes wound treatment experiment.</w:t>
      </w:r>
    </w:p>
    <w:p w14:paraId="0E89DA19"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We established a full-thickness skin defect wound model in diabetic mice and constructed a PSM-Exo group (using the PSM</w:t>
      </w:r>
      <w:r>
        <w:rPr>
          <w:rFonts w:ascii="Times New Roman" w:eastAsia="宋体" w:hAnsi="Times New Roman" w:cs="Times New Roman"/>
          <w:sz w:val="24"/>
          <w:szCs w:val="24"/>
          <w:vertAlign w:val="subscript"/>
        </w:rPr>
        <w:t>4M</w:t>
      </w:r>
      <w:r>
        <w:rPr>
          <w:rFonts w:ascii="Times New Roman" w:eastAsia="宋体" w:hAnsi="Times New Roman" w:cs="Times New Roman"/>
          <w:sz w:val="24"/>
          <w:szCs w:val="24"/>
        </w:rPr>
        <w:t xml:space="preserve"> formula with a modulus strength closer to that of skin) and a control group (commercial 3M wound dressings without exosome loading) for treatment. The specific method for model establishment is shown in Figure.</w:t>
      </w:r>
    </w:p>
    <w:p w14:paraId="5980B0FF" w14:textId="77777777" w:rsidR="00155631" w:rsidRDefault="00155631" w:rsidP="005E6F8D">
      <w:pPr>
        <w:spacing w:line="480" w:lineRule="auto"/>
        <w:rPr>
          <w:rFonts w:ascii="Times New Roman" w:eastAsia="宋体" w:hAnsi="Times New Roman" w:cs="Times New Roman"/>
          <w:sz w:val="24"/>
          <w:szCs w:val="24"/>
        </w:rPr>
      </w:pPr>
    </w:p>
    <w:p w14:paraId="39131528" w14:textId="77777777" w:rsidR="00155631" w:rsidRDefault="00155631" w:rsidP="005E6F8D">
      <w:pPr>
        <w:spacing w:line="480" w:lineRule="auto"/>
        <w:rPr>
          <w:rFonts w:ascii="Times New Roman" w:eastAsia="宋体" w:hAnsi="Times New Roman" w:cs="Times New Roman"/>
          <w:sz w:val="24"/>
          <w:szCs w:val="24"/>
        </w:rPr>
      </w:pPr>
    </w:p>
    <w:p w14:paraId="2C1F764D" w14:textId="7B389E59" w:rsidR="00155631" w:rsidRDefault="00E934FF" w:rsidP="005E6F8D">
      <w:pPr>
        <w:spacing w:line="480" w:lineRule="auto"/>
        <w:jc w:val="center"/>
        <w:rPr>
          <w:rFonts w:ascii="Times New Roman" w:eastAsia="宋体" w:hAnsi="Times New Roman" w:cs="Times New Roman"/>
          <w:sz w:val="24"/>
          <w:szCs w:val="24"/>
        </w:rPr>
      </w:pPr>
      <w:r w:rsidRPr="005B7BDA">
        <w:rPr>
          <w:rFonts w:ascii="Times New Roman" w:hAnsi="Times New Roman" w:cs="Times New Roman"/>
          <w:noProof/>
        </w:rPr>
        <w:lastRenderedPageBreak/>
        <w:drawing>
          <wp:inline distT="0" distB="0" distL="0" distR="0" wp14:anchorId="461FC96C" wp14:editId="4C7F0F46">
            <wp:extent cx="2880000" cy="1472274"/>
            <wp:effectExtent l="0" t="0" r="0" b="0"/>
            <wp:docPr id="108963418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80000" cy="1472274"/>
                    </a:xfrm>
                    <a:prstGeom prst="rect">
                      <a:avLst/>
                    </a:prstGeom>
                    <a:noFill/>
                    <a:ln>
                      <a:noFill/>
                    </a:ln>
                  </pic:spPr>
                </pic:pic>
              </a:graphicData>
            </a:graphic>
          </wp:inline>
        </w:drawing>
      </w:r>
    </w:p>
    <w:p w14:paraId="4E0A287C" w14:textId="0AA2A1AD"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6</w:t>
      </w:r>
      <w:r w:rsidR="00B8208C">
        <w:rPr>
          <w:rFonts w:ascii="Times New Roman" w:eastAsia="宋体" w:hAnsi="Times New Roman" w:cs="Times New Roman" w:hint="eastAsia"/>
          <w:b/>
          <w:bCs/>
          <w:sz w:val="24"/>
          <w:szCs w:val="24"/>
        </w:rPr>
        <w:t>2</w:t>
      </w:r>
      <w:r>
        <w:rPr>
          <w:rFonts w:ascii="Times New Roman" w:eastAsia="宋体" w:hAnsi="Times New Roman" w:cs="Times New Roman"/>
          <w:b/>
          <w:bCs/>
          <w:sz w:val="24"/>
          <w:szCs w:val="24"/>
        </w:rPr>
        <w:t xml:space="preserve">. </w:t>
      </w:r>
      <w:r>
        <w:rPr>
          <w:rFonts w:ascii="Times New Roman" w:eastAsia="宋体" w:hAnsi="Times New Roman" w:cs="Times New Roman"/>
          <w:sz w:val="24"/>
          <w:szCs w:val="24"/>
        </w:rPr>
        <w:t>Images of wound healing at different times.</w:t>
      </w:r>
    </w:p>
    <w:p w14:paraId="76C005F2"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The wound healing conditions at different treatment time points are presented in Figure. On days 3, 7, and 12, the percentages of residual wound areas in the control group are 64%, 40%, and 28%, respectively, indicating a relatively slow wound healing rate. In contrast, those in the PSM-Exo group are 60%, 23%, and 11%, respectively, with a significantly reduced residual wound area, indicating excellent therapeutic effects. These findings indicate that the released exosomes significantly promote repair of diabetic wounds.</w:t>
      </w:r>
    </w:p>
    <w:p w14:paraId="3FB0FA24"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Moreover, we compared the reparative effects of various types of exosome-loaded hydrogels on diabetic wounds to evaluate the influence of the gel properties. The ratios of residual wound areas at days 3, 7, and 12 were calculated. For the natural extracellular matrix hydrogel derived from porcine heart tissue (loaded with adipose-derived MSC exosomes), the ratios are 91%, 69%, and 25%, respectively. For the inflammatory environment-responsive chitosan hydrogel (loaded with M2 macrophage-derived exosomes), the ratios are 81%, 51%, and 21%, respectively. For the dynamic Schiff base hyaluronic acid hydrogel (loaded with UC-MSC-derived exosomes), the ratios are 75%, 40%, and 22%, respectively. These findings clearly indicate that PSM exhibits excellent loading and sustained release characteristics for </w:t>
      </w:r>
      <w:r>
        <w:rPr>
          <w:rFonts w:ascii="Times New Roman" w:eastAsia="宋体" w:hAnsi="Times New Roman" w:cs="Times New Roman"/>
          <w:sz w:val="24"/>
          <w:szCs w:val="24"/>
        </w:rPr>
        <w:lastRenderedPageBreak/>
        <w:t>Exos, which facilitate continuous regeneration and repair of refractory wounds. Moreover, its appropriate flexibility provides an optimal space and microenvironment for collagen deposition and angiogenesis at the wound site.</w:t>
      </w:r>
    </w:p>
    <w:p w14:paraId="03792035" w14:textId="77777777" w:rsidR="00155631" w:rsidRDefault="00155631" w:rsidP="005E6F8D">
      <w:pPr>
        <w:spacing w:line="480" w:lineRule="auto"/>
        <w:rPr>
          <w:rFonts w:ascii="Times New Roman" w:eastAsia="宋体" w:hAnsi="Times New Roman" w:cs="Times New Roman"/>
          <w:sz w:val="24"/>
          <w:szCs w:val="24"/>
        </w:rPr>
      </w:pPr>
    </w:p>
    <w:p w14:paraId="58D53EA9" w14:textId="349A8299" w:rsidR="00155631" w:rsidRDefault="00E934FF" w:rsidP="005E6F8D">
      <w:pPr>
        <w:spacing w:line="480" w:lineRule="auto"/>
        <w:rPr>
          <w:rFonts w:ascii="Times New Roman" w:eastAsia="宋体" w:hAnsi="Times New Roman" w:cs="Times New Roman"/>
          <w:sz w:val="24"/>
          <w:szCs w:val="24"/>
        </w:rPr>
      </w:pPr>
      <w:r w:rsidRPr="005B7BDA">
        <w:rPr>
          <w:rFonts w:ascii="Times New Roman" w:hAnsi="Times New Roman" w:cs="Times New Roman"/>
          <w:noProof/>
          <w:sz w:val="24"/>
          <w:szCs w:val="24"/>
        </w:rPr>
        <w:drawing>
          <wp:inline distT="0" distB="0" distL="0" distR="0" wp14:anchorId="2690F702" wp14:editId="1876633D">
            <wp:extent cx="5274310" cy="2407285"/>
            <wp:effectExtent l="0" t="0" r="2540" b="0"/>
            <wp:docPr id="6446099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74310" cy="2407285"/>
                    </a:xfrm>
                    <a:prstGeom prst="rect">
                      <a:avLst/>
                    </a:prstGeom>
                    <a:noFill/>
                    <a:ln>
                      <a:noFill/>
                    </a:ln>
                  </pic:spPr>
                </pic:pic>
              </a:graphicData>
            </a:graphic>
          </wp:inline>
        </w:drawing>
      </w:r>
    </w:p>
    <w:p w14:paraId="07D1B616" w14:textId="732E74AE"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Supplementary Figure 6</w:t>
      </w:r>
      <w:r w:rsidR="00B8208C">
        <w:rPr>
          <w:rFonts w:ascii="Times New Roman" w:eastAsia="宋体" w:hAnsi="Times New Roman" w:cs="Times New Roman" w:hint="eastAsia"/>
          <w:b/>
          <w:bCs/>
          <w:sz w:val="24"/>
          <w:szCs w:val="24"/>
        </w:rPr>
        <w:t>3</w:t>
      </w:r>
      <w:r>
        <w:rPr>
          <w:rFonts w:ascii="Times New Roman" w:eastAsia="宋体" w:hAnsi="Times New Roman" w:cs="Times New Roman"/>
          <w:b/>
          <w:bCs/>
          <w:sz w:val="24"/>
          <w:szCs w:val="24"/>
        </w:rPr>
        <w:t>.</w:t>
      </w:r>
      <w:r>
        <w:rPr>
          <w:rFonts w:ascii="Times New Roman" w:eastAsia="宋体" w:hAnsi="Times New Roman" w:cs="Times New Roman"/>
          <w:sz w:val="24"/>
          <w:szCs w:val="24"/>
        </w:rPr>
        <w:t xml:space="preserve"> Immunofluorescence staining images of the control and intervention groups showing CD31, α-SMA, Fibronectin 1, and Vimentin expression.</w:t>
      </w:r>
    </w:p>
    <w:p w14:paraId="1343118F" w14:textId="77777777" w:rsidR="00155631" w:rsidRDefault="00000000" w:rsidP="005E6F8D">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CD31, a well-established marker of endothelial cells, is utilized to assess the formation of new blood vessels through immunofluorescence staining. Immunofluorescence analysis confirmed the angiogenic potential of exosomes released by hydrogels. Compared with the control group, the PSM-Exo group exhibited an increased number of mature bloods ve22ssels, greater vessel size, and more pronounced tubular structures.</w:t>
      </w:r>
    </w:p>
    <w:p w14:paraId="0F054AD5" w14:textId="77777777" w:rsidR="00155631" w:rsidRDefault="00000000">
      <w:pPr>
        <w:widowControl/>
        <w:jc w:val="left"/>
        <w:rPr>
          <w:rFonts w:ascii="Times New Roman" w:eastAsia="宋体" w:hAnsi="Times New Roman" w:cs="Times New Roman"/>
          <w:szCs w:val="21"/>
        </w:rPr>
      </w:pPr>
      <w:r>
        <w:rPr>
          <w:rFonts w:ascii="Times New Roman" w:eastAsia="宋体" w:hAnsi="Times New Roman" w:cs="Times New Roman"/>
          <w:szCs w:val="21"/>
        </w:rPr>
        <w:br w:type="page"/>
      </w:r>
    </w:p>
    <w:p w14:paraId="5914837A" w14:textId="77777777"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Supplementary References</w:t>
      </w:r>
    </w:p>
    <w:p w14:paraId="0304BEB5"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1.</w:t>
      </w:r>
      <w:r>
        <w:rPr>
          <w:rFonts w:ascii="Times New Roman" w:eastAsia="等线" w:hAnsi="Times New Roman" w:cs="Times New Roman"/>
          <w:sz w:val="24"/>
          <w:szCs w:val="24"/>
          <w:lang w:val="en-GB"/>
        </w:rPr>
        <w:tab/>
      </w:r>
      <w:proofErr w:type="spellStart"/>
      <w:r>
        <w:rPr>
          <w:rFonts w:ascii="Times New Roman" w:eastAsia="等线" w:hAnsi="Times New Roman" w:cs="Times New Roman"/>
          <w:sz w:val="24"/>
          <w:szCs w:val="24"/>
          <w:lang w:val="en-GB"/>
        </w:rPr>
        <w:t>Louf</w:t>
      </w:r>
      <w:proofErr w:type="spellEnd"/>
      <w:r>
        <w:rPr>
          <w:rFonts w:ascii="Times New Roman" w:eastAsia="等线" w:hAnsi="Times New Roman" w:cs="Times New Roman"/>
          <w:sz w:val="24"/>
          <w:szCs w:val="24"/>
          <w:lang w:val="en-GB"/>
        </w:rPr>
        <w:t xml:space="preserve">, J. F., Lu, N. B., O'Connell, M. G., Cho, H. J. &amp; Datta, S. S. Under pressure: hydrogel swelling in a granular medium. </w:t>
      </w:r>
      <w:r>
        <w:rPr>
          <w:rFonts w:ascii="Times New Roman" w:eastAsia="等线" w:hAnsi="Times New Roman" w:cs="Times New Roman"/>
          <w:i/>
          <w:sz w:val="24"/>
          <w:szCs w:val="24"/>
          <w:lang w:val="en-GB"/>
        </w:rPr>
        <w:t>Sci. Adv.</w:t>
      </w:r>
      <w:r>
        <w:rPr>
          <w:rFonts w:ascii="Times New Roman" w:eastAsia="等线" w:hAnsi="Times New Roman" w:cs="Times New Roman"/>
          <w:sz w:val="24"/>
          <w:szCs w:val="24"/>
          <w:lang w:val="en-GB"/>
        </w:rPr>
        <w:t xml:space="preserve"> 7, eabd2711 (2021).</w:t>
      </w:r>
    </w:p>
    <w:p w14:paraId="6814E1FE"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2.</w:t>
      </w:r>
      <w:r>
        <w:rPr>
          <w:rFonts w:ascii="Times New Roman" w:eastAsia="等线" w:hAnsi="Times New Roman" w:cs="Times New Roman"/>
          <w:sz w:val="24"/>
          <w:szCs w:val="24"/>
          <w:lang w:val="en-GB"/>
        </w:rPr>
        <w:tab/>
        <w:t xml:space="preserve">Ma, X., Yue, Q., Fu, S., Liu, C. &amp; Luan, J. Low-crosslinked hydrophilic decellularized adipose matrix hydrogels achieve efficient and functional xenotransplant fat regeneration by optimizing stem cell niche. </w:t>
      </w:r>
      <w:r>
        <w:rPr>
          <w:rFonts w:ascii="Times New Roman" w:eastAsia="等线" w:hAnsi="Times New Roman" w:cs="Times New Roman"/>
          <w:i/>
          <w:sz w:val="24"/>
          <w:szCs w:val="24"/>
          <w:lang w:val="en-GB"/>
        </w:rPr>
        <w:t xml:space="preserve">Adv. </w:t>
      </w:r>
      <w:proofErr w:type="spellStart"/>
      <w:r>
        <w:rPr>
          <w:rFonts w:ascii="Times New Roman" w:eastAsia="等线" w:hAnsi="Times New Roman" w:cs="Times New Roman"/>
          <w:i/>
          <w:sz w:val="24"/>
          <w:szCs w:val="24"/>
          <w:lang w:val="en-GB"/>
        </w:rPr>
        <w:t>Funct</w:t>
      </w:r>
      <w:proofErr w:type="spellEnd"/>
      <w:r>
        <w:rPr>
          <w:rFonts w:ascii="Times New Roman" w:eastAsia="等线" w:hAnsi="Times New Roman" w:cs="Times New Roman"/>
          <w:i/>
          <w:sz w:val="24"/>
          <w:szCs w:val="24"/>
          <w:lang w:val="en-GB"/>
        </w:rPr>
        <w:t>. Mater.</w:t>
      </w:r>
      <w:r>
        <w:rPr>
          <w:rFonts w:ascii="Times New Roman" w:eastAsia="等线" w:hAnsi="Times New Roman" w:cs="Times New Roman"/>
          <w:sz w:val="24"/>
          <w:szCs w:val="24"/>
          <w:lang w:val="en-GB"/>
        </w:rPr>
        <w:t>, 2504124 https://doi.org/10.1002/adfm.202504124 (2025).</w:t>
      </w:r>
    </w:p>
    <w:p w14:paraId="042ECEFB"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3.</w:t>
      </w:r>
      <w:r>
        <w:rPr>
          <w:rFonts w:ascii="Times New Roman" w:eastAsia="等线" w:hAnsi="Times New Roman" w:cs="Times New Roman"/>
          <w:sz w:val="24"/>
          <w:szCs w:val="24"/>
          <w:lang w:val="en-GB"/>
        </w:rPr>
        <w:tab/>
        <w:t xml:space="preserve">Lu, J. et al. A 4arm-PEG macromolecule crosslinked chitosan hydrogels as antibacterial wound dressing. </w:t>
      </w:r>
      <w:proofErr w:type="spellStart"/>
      <w:r>
        <w:rPr>
          <w:rFonts w:ascii="Times New Roman" w:eastAsia="等线" w:hAnsi="Times New Roman" w:cs="Times New Roman"/>
          <w:i/>
          <w:sz w:val="24"/>
          <w:szCs w:val="24"/>
          <w:lang w:val="en-GB"/>
        </w:rPr>
        <w:t>Carbohydr</w:t>
      </w:r>
      <w:proofErr w:type="spellEnd"/>
      <w:r>
        <w:rPr>
          <w:rFonts w:ascii="Times New Roman" w:eastAsia="等线" w:hAnsi="Times New Roman" w:cs="Times New Roman"/>
          <w:i/>
          <w:sz w:val="24"/>
          <w:szCs w:val="24"/>
          <w:lang w:val="en-GB"/>
        </w:rPr>
        <w:t xml:space="preserve">. </w:t>
      </w:r>
      <w:proofErr w:type="spellStart"/>
      <w:r>
        <w:rPr>
          <w:rFonts w:ascii="Times New Roman" w:eastAsia="等线" w:hAnsi="Times New Roman" w:cs="Times New Roman"/>
          <w:i/>
          <w:sz w:val="24"/>
          <w:szCs w:val="24"/>
          <w:lang w:val="en-GB"/>
        </w:rPr>
        <w:t>Polym</w:t>
      </w:r>
      <w:proofErr w:type="spellEnd"/>
      <w:r>
        <w:rPr>
          <w:rFonts w:ascii="Times New Roman" w:eastAsia="等线" w:hAnsi="Times New Roman" w:cs="Times New Roman"/>
          <w:i/>
          <w:sz w:val="24"/>
          <w:szCs w:val="24"/>
          <w:lang w:val="en-GB"/>
        </w:rPr>
        <w:t>.</w:t>
      </w:r>
      <w:r>
        <w:rPr>
          <w:rFonts w:ascii="Times New Roman" w:eastAsia="等线" w:hAnsi="Times New Roman" w:cs="Times New Roman"/>
          <w:sz w:val="24"/>
          <w:szCs w:val="24"/>
          <w:lang w:val="en-GB"/>
        </w:rPr>
        <w:t xml:space="preserve"> 277, 118871 (2022).</w:t>
      </w:r>
    </w:p>
    <w:p w14:paraId="12C72769"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4.</w:t>
      </w:r>
      <w:r>
        <w:rPr>
          <w:rFonts w:ascii="Times New Roman" w:eastAsia="等线" w:hAnsi="Times New Roman" w:cs="Times New Roman"/>
          <w:sz w:val="24"/>
          <w:szCs w:val="24"/>
          <w:lang w:val="en-GB"/>
        </w:rPr>
        <w:tab/>
        <w:t xml:space="preserve">Zhang, H. et al. Development of strong and tough silicone hydrogels enabled by polymerization-induced microphase separation and </w:t>
      </w:r>
      <w:proofErr w:type="spellStart"/>
      <w:r>
        <w:rPr>
          <w:rFonts w:ascii="Times New Roman" w:eastAsia="等线" w:hAnsi="Times New Roman" w:cs="Times New Roman"/>
          <w:sz w:val="24"/>
          <w:szCs w:val="24"/>
          <w:lang w:val="en-GB"/>
        </w:rPr>
        <w:t>multiscaled</w:t>
      </w:r>
      <w:proofErr w:type="spellEnd"/>
      <w:r>
        <w:rPr>
          <w:rFonts w:ascii="Times New Roman" w:eastAsia="等线" w:hAnsi="Times New Roman" w:cs="Times New Roman"/>
          <w:sz w:val="24"/>
          <w:szCs w:val="24"/>
          <w:lang w:val="en-GB"/>
        </w:rPr>
        <w:t xml:space="preserve"> electrostatic interactions and their application as water-shrinkable sleeves. </w:t>
      </w:r>
      <w:r>
        <w:rPr>
          <w:rFonts w:ascii="Times New Roman" w:eastAsia="等线" w:hAnsi="Times New Roman" w:cs="Times New Roman"/>
          <w:i/>
          <w:sz w:val="24"/>
          <w:szCs w:val="24"/>
          <w:lang w:val="en-GB"/>
        </w:rPr>
        <w:t xml:space="preserve">Adv. </w:t>
      </w:r>
      <w:proofErr w:type="spellStart"/>
      <w:r>
        <w:rPr>
          <w:rFonts w:ascii="Times New Roman" w:eastAsia="等线" w:hAnsi="Times New Roman" w:cs="Times New Roman"/>
          <w:i/>
          <w:sz w:val="24"/>
          <w:szCs w:val="24"/>
          <w:lang w:val="en-GB"/>
        </w:rPr>
        <w:t>Funct</w:t>
      </w:r>
      <w:proofErr w:type="spellEnd"/>
      <w:r>
        <w:rPr>
          <w:rFonts w:ascii="Times New Roman" w:eastAsia="等线" w:hAnsi="Times New Roman" w:cs="Times New Roman"/>
          <w:i/>
          <w:sz w:val="24"/>
          <w:szCs w:val="24"/>
          <w:lang w:val="en-GB"/>
        </w:rPr>
        <w:t>. Mater.</w:t>
      </w:r>
      <w:r>
        <w:rPr>
          <w:rFonts w:ascii="Times New Roman" w:eastAsia="等线" w:hAnsi="Times New Roman" w:cs="Times New Roman"/>
          <w:sz w:val="24"/>
          <w:szCs w:val="24"/>
          <w:lang w:val="en-GB"/>
        </w:rPr>
        <w:t>, e07061 https://doi.org/10.1002/adfm.202507061 (2025).</w:t>
      </w:r>
    </w:p>
    <w:p w14:paraId="7D3FB1C5"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5.</w:t>
      </w:r>
      <w:r>
        <w:rPr>
          <w:rFonts w:ascii="Times New Roman" w:eastAsia="等线" w:hAnsi="Times New Roman" w:cs="Times New Roman"/>
          <w:sz w:val="24"/>
          <w:szCs w:val="24"/>
          <w:lang w:val="en-GB"/>
        </w:rPr>
        <w:tab/>
        <w:t xml:space="preserve">Xia, P. et al. A high-order double network hydrogel. </w:t>
      </w:r>
      <w:r>
        <w:rPr>
          <w:rFonts w:ascii="Times New Roman" w:eastAsia="等线" w:hAnsi="Times New Roman" w:cs="Times New Roman"/>
          <w:i/>
          <w:sz w:val="24"/>
          <w:szCs w:val="24"/>
          <w:lang w:val="en-GB"/>
        </w:rPr>
        <w:t>Macromolecules</w:t>
      </w:r>
      <w:r>
        <w:rPr>
          <w:rFonts w:ascii="Times New Roman" w:eastAsia="等线" w:hAnsi="Times New Roman" w:cs="Times New Roman"/>
          <w:sz w:val="24"/>
          <w:szCs w:val="24"/>
          <w:lang w:val="en-GB"/>
        </w:rPr>
        <w:t xml:space="preserve"> 57, 11251–11265 (2024).</w:t>
      </w:r>
    </w:p>
    <w:p w14:paraId="0F93CF7A"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6.</w:t>
      </w:r>
      <w:r>
        <w:rPr>
          <w:rFonts w:ascii="Times New Roman" w:eastAsia="等线" w:hAnsi="Times New Roman" w:cs="Times New Roman"/>
          <w:sz w:val="24"/>
          <w:szCs w:val="24"/>
          <w:lang w:val="en-GB"/>
        </w:rPr>
        <w:tab/>
        <w:t xml:space="preserve">Wu, S. et al. </w:t>
      </w:r>
      <w:proofErr w:type="gramStart"/>
      <w:r>
        <w:rPr>
          <w:rFonts w:ascii="Times New Roman" w:eastAsia="等线" w:hAnsi="Times New Roman" w:cs="Times New Roman"/>
          <w:sz w:val="24"/>
          <w:szCs w:val="24"/>
          <w:lang w:val="en-GB"/>
        </w:rPr>
        <w:t>Poly(</w:t>
      </w:r>
      <w:proofErr w:type="gramEnd"/>
      <w:r>
        <w:rPr>
          <w:rFonts w:ascii="Times New Roman" w:eastAsia="等线" w:hAnsi="Times New Roman" w:cs="Times New Roman"/>
          <w:sz w:val="24"/>
          <w:szCs w:val="24"/>
          <w:lang w:val="en-GB"/>
        </w:rPr>
        <w:t xml:space="preserve">vinyl alcohol) hydrogels with broad-range </w:t>
      </w:r>
      <w:proofErr w:type="spellStart"/>
      <w:r>
        <w:rPr>
          <w:rFonts w:ascii="Times New Roman" w:eastAsia="等线" w:hAnsi="Times New Roman" w:cs="Times New Roman"/>
          <w:sz w:val="24"/>
          <w:szCs w:val="24"/>
          <w:lang w:val="en-GB"/>
        </w:rPr>
        <w:t>tunable</w:t>
      </w:r>
      <w:proofErr w:type="spellEnd"/>
      <w:r>
        <w:rPr>
          <w:rFonts w:ascii="Times New Roman" w:eastAsia="等线" w:hAnsi="Times New Roman" w:cs="Times New Roman"/>
          <w:sz w:val="24"/>
          <w:szCs w:val="24"/>
          <w:lang w:val="en-GB"/>
        </w:rPr>
        <w:t xml:space="preserve"> mechanical properties via the </w:t>
      </w:r>
      <w:proofErr w:type="spellStart"/>
      <w:r>
        <w:rPr>
          <w:rFonts w:ascii="Times New Roman" w:eastAsia="等线" w:hAnsi="Times New Roman" w:cs="Times New Roman"/>
          <w:sz w:val="24"/>
          <w:szCs w:val="24"/>
          <w:lang w:val="en-GB"/>
        </w:rPr>
        <w:t>hofmeister</w:t>
      </w:r>
      <w:proofErr w:type="spellEnd"/>
      <w:r>
        <w:rPr>
          <w:rFonts w:ascii="Times New Roman" w:eastAsia="等线" w:hAnsi="Times New Roman" w:cs="Times New Roman"/>
          <w:sz w:val="24"/>
          <w:szCs w:val="24"/>
          <w:lang w:val="en-GB"/>
        </w:rPr>
        <w:t xml:space="preserve"> effect. </w:t>
      </w:r>
      <w:r>
        <w:rPr>
          <w:rFonts w:ascii="Times New Roman" w:eastAsia="等线" w:hAnsi="Times New Roman" w:cs="Times New Roman"/>
          <w:i/>
          <w:sz w:val="24"/>
          <w:szCs w:val="24"/>
          <w:lang w:val="en-GB"/>
        </w:rPr>
        <w:t>Adv. Mater.</w:t>
      </w:r>
      <w:r>
        <w:rPr>
          <w:rFonts w:ascii="Times New Roman" w:eastAsia="等线" w:hAnsi="Times New Roman" w:cs="Times New Roman"/>
          <w:sz w:val="24"/>
          <w:szCs w:val="24"/>
          <w:lang w:val="en-GB"/>
        </w:rPr>
        <w:t xml:space="preserve"> 33, e2007829 (2021).</w:t>
      </w:r>
    </w:p>
    <w:p w14:paraId="348B2701"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7.</w:t>
      </w:r>
      <w:r>
        <w:rPr>
          <w:rFonts w:ascii="Times New Roman" w:eastAsia="等线" w:hAnsi="Times New Roman" w:cs="Times New Roman"/>
          <w:sz w:val="24"/>
          <w:szCs w:val="24"/>
          <w:lang w:val="en-GB"/>
        </w:rPr>
        <w:tab/>
        <w:t xml:space="preserve">Zhao, Z. et al. Biphasic synergistic gel materials with switchable mechanics and self-healing capacity. </w:t>
      </w:r>
      <w:proofErr w:type="spellStart"/>
      <w:r>
        <w:rPr>
          <w:rFonts w:ascii="Times New Roman" w:eastAsia="等线" w:hAnsi="Times New Roman" w:cs="Times New Roman"/>
          <w:i/>
          <w:sz w:val="24"/>
          <w:szCs w:val="24"/>
          <w:lang w:val="en-GB"/>
        </w:rPr>
        <w:t>Angew</w:t>
      </w:r>
      <w:proofErr w:type="spellEnd"/>
      <w:r>
        <w:rPr>
          <w:rFonts w:ascii="Times New Roman" w:eastAsia="等线" w:hAnsi="Times New Roman" w:cs="Times New Roman"/>
          <w:i/>
          <w:sz w:val="24"/>
          <w:szCs w:val="24"/>
          <w:lang w:val="en-GB"/>
        </w:rPr>
        <w:t>. Chem. Int. Ed. Engl.</w:t>
      </w:r>
      <w:r>
        <w:rPr>
          <w:rFonts w:ascii="Times New Roman" w:eastAsia="等线" w:hAnsi="Times New Roman" w:cs="Times New Roman"/>
          <w:sz w:val="24"/>
          <w:szCs w:val="24"/>
          <w:lang w:val="en-GB"/>
        </w:rPr>
        <w:t xml:space="preserve"> 56, 13464–13469 (2017).</w:t>
      </w:r>
    </w:p>
    <w:p w14:paraId="5964273B"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8.</w:t>
      </w:r>
      <w:r>
        <w:rPr>
          <w:rFonts w:ascii="Times New Roman" w:eastAsia="等线" w:hAnsi="Times New Roman" w:cs="Times New Roman"/>
          <w:sz w:val="24"/>
          <w:szCs w:val="24"/>
          <w:lang w:val="en-GB"/>
        </w:rPr>
        <w:tab/>
      </w:r>
      <w:proofErr w:type="spellStart"/>
      <w:r>
        <w:rPr>
          <w:rFonts w:ascii="Times New Roman" w:eastAsia="等线" w:hAnsi="Times New Roman" w:cs="Times New Roman"/>
          <w:sz w:val="24"/>
          <w:szCs w:val="24"/>
          <w:lang w:val="en-GB"/>
        </w:rPr>
        <w:t>Asadikorayem</w:t>
      </w:r>
      <w:proofErr w:type="spellEnd"/>
      <w:r>
        <w:rPr>
          <w:rFonts w:ascii="Times New Roman" w:eastAsia="等线" w:hAnsi="Times New Roman" w:cs="Times New Roman"/>
          <w:sz w:val="24"/>
          <w:szCs w:val="24"/>
          <w:lang w:val="en-GB"/>
        </w:rPr>
        <w:t xml:space="preserve">, M., Surman, F., Weber, P., Weber, D. &amp; Zenobi-Wong, M. Zwitterionic granular hydrogel for cartilage tissue engineering. </w:t>
      </w:r>
      <w:r>
        <w:rPr>
          <w:rFonts w:ascii="Times New Roman" w:eastAsia="等线" w:hAnsi="Times New Roman" w:cs="Times New Roman"/>
          <w:i/>
          <w:sz w:val="24"/>
          <w:szCs w:val="24"/>
          <w:lang w:val="en-GB"/>
        </w:rPr>
        <w:t xml:space="preserve">Adv. </w:t>
      </w:r>
      <w:proofErr w:type="spellStart"/>
      <w:r>
        <w:rPr>
          <w:rFonts w:ascii="Times New Roman" w:eastAsia="等线" w:hAnsi="Times New Roman" w:cs="Times New Roman"/>
          <w:i/>
          <w:sz w:val="24"/>
          <w:szCs w:val="24"/>
          <w:lang w:val="en-GB"/>
        </w:rPr>
        <w:t>Healthc</w:t>
      </w:r>
      <w:proofErr w:type="spellEnd"/>
      <w:r>
        <w:rPr>
          <w:rFonts w:ascii="Times New Roman" w:eastAsia="等线" w:hAnsi="Times New Roman" w:cs="Times New Roman"/>
          <w:i/>
          <w:sz w:val="24"/>
          <w:szCs w:val="24"/>
          <w:lang w:val="en-GB"/>
        </w:rPr>
        <w:t>. Mater.</w:t>
      </w:r>
      <w:r>
        <w:rPr>
          <w:rFonts w:ascii="Times New Roman" w:eastAsia="等线" w:hAnsi="Times New Roman" w:cs="Times New Roman"/>
          <w:sz w:val="24"/>
          <w:szCs w:val="24"/>
          <w:lang w:val="en-GB"/>
        </w:rPr>
        <w:t xml:space="preserve"> 13, e2301831 (2024).</w:t>
      </w:r>
    </w:p>
    <w:p w14:paraId="7241E26A"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lastRenderedPageBreak/>
        <w:t>9.</w:t>
      </w:r>
      <w:r>
        <w:rPr>
          <w:rFonts w:ascii="Times New Roman" w:eastAsia="等线" w:hAnsi="Times New Roman" w:cs="Times New Roman"/>
          <w:sz w:val="24"/>
          <w:szCs w:val="24"/>
          <w:lang w:val="en-GB"/>
        </w:rPr>
        <w:tab/>
        <w:t xml:space="preserve">Asim, S. et al. </w:t>
      </w:r>
      <w:proofErr w:type="gramStart"/>
      <w:r>
        <w:rPr>
          <w:rFonts w:ascii="Times New Roman" w:eastAsia="等线" w:hAnsi="Times New Roman" w:cs="Times New Roman"/>
          <w:sz w:val="24"/>
          <w:szCs w:val="24"/>
          <w:lang w:val="en-GB"/>
        </w:rPr>
        <w:t>Multi-functional</w:t>
      </w:r>
      <w:proofErr w:type="gramEnd"/>
      <w:r>
        <w:rPr>
          <w:rFonts w:ascii="Times New Roman" w:eastAsia="等线" w:hAnsi="Times New Roman" w:cs="Times New Roman"/>
          <w:sz w:val="24"/>
          <w:szCs w:val="24"/>
          <w:lang w:val="en-GB"/>
        </w:rPr>
        <w:t xml:space="preserve"> </w:t>
      </w:r>
      <w:proofErr w:type="spellStart"/>
      <w:r>
        <w:rPr>
          <w:rFonts w:ascii="Times New Roman" w:eastAsia="等线" w:hAnsi="Times New Roman" w:cs="Times New Roman"/>
          <w:sz w:val="24"/>
          <w:szCs w:val="24"/>
          <w:lang w:val="en-GB"/>
        </w:rPr>
        <w:t>gelatin</w:t>
      </w:r>
      <w:proofErr w:type="spellEnd"/>
      <w:r>
        <w:rPr>
          <w:rFonts w:ascii="Times New Roman" w:eastAsia="等线" w:hAnsi="Times New Roman" w:cs="Times New Roman"/>
          <w:sz w:val="24"/>
          <w:szCs w:val="24"/>
          <w:lang w:val="en-GB"/>
        </w:rPr>
        <w:t xml:space="preserve">-dithiolane hydrogels for tissue engineering. </w:t>
      </w:r>
      <w:r>
        <w:rPr>
          <w:rFonts w:ascii="Times New Roman" w:eastAsia="等线" w:hAnsi="Times New Roman" w:cs="Times New Roman"/>
          <w:i/>
          <w:sz w:val="24"/>
          <w:szCs w:val="24"/>
          <w:lang w:val="en-GB"/>
        </w:rPr>
        <w:t xml:space="preserve">Adv. </w:t>
      </w:r>
      <w:proofErr w:type="spellStart"/>
      <w:r>
        <w:rPr>
          <w:rFonts w:ascii="Times New Roman" w:eastAsia="等线" w:hAnsi="Times New Roman" w:cs="Times New Roman"/>
          <w:i/>
          <w:sz w:val="24"/>
          <w:szCs w:val="24"/>
          <w:lang w:val="en-GB"/>
        </w:rPr>
        <w:t>Funct</w:t>
      </w:r>
      <w:proofErr w:type="spellEnd"/>
      <w:r>
        <w:rPr>
          <w:rFonts w:ascii="Times New Roman" w:eastAsia="等线" w:hAnsi="Times New Roman" w:cs="Times New Roman"/>
          <w:i/>
          <w:sz w:val="24"/>
          <w:szCs w:val="24"/>
          <w:lang w:val="en-GB"/>
        </w:rPr>
        <w:t>. Mater.</w:t>
      </w:r>
      <w:r>
        <w:rPr>
          <w:rFonts w:ascii="Times New Roman" w:eastAsia="等线" w:hAnsi="Times New Roman" w:cs="Times New Roman"/>
          <w:sz w:val="24"/>
          <w:szCs w:val="24"/>
          <w:lang w:val="en-GB"/>
        </w:rPr>
        <w:t xml:space="preserve"> 35, 2407522 (2025).</w:t>
      </w:r>
    </w:p>
    <w:p w14:paraId="6497F07F"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10.</w:t>
      </w:r>
      <w:r>
        <w:rPr>
          <w:rFonts w:ascii="Times New Roman" w:eastAsia="等线" w:hAnsi="Times New Roman" w:cs="Times New Roman"/>
          <w:sz w:val="24"/>
          <w:szCs w:val="24"/>
          <w:lang w:val="en-GB"/>
        </w:rPr>
        <w:tab/>
        <w:t xml:space="preserve">Li, Z. et al. A </w:t>
      </w:r>
      <w:proofErr w:type="spellStart"/>
      <w:r>
        <w:rPr>
          <w:rFonts w:ascii="Times New Roman" w:eastAsia="等线" w:hAnsi="Times New Roman" w:cs="Times New Roman"/>
          <w:sz w:val="24"/>
          <w:szCs w:val="24"/>
          <w:lang w:val="en-GB"/>
        </w:rPr>
        <w:t>tumor</w:t>
      </w:r>
      <w:proofErr w:type="spellEnd"/>
      <w:r>
        <w:rPr>
          <w:rFonts w:ascii="Times New Roman" w:eastAsia="等线" w:hAnsi="Times New Roman" w:cs="Times New Roman"/>
          <w:sz w:val="24"/>
          <w:szCs w:val="24"/>
          <w:lang w:val="en-GB"/>
        </w:rPr>
        <w:t xml:space="preserve"> microenvironments-adapted polypeptide hydrogel/nanogel composite boosts antitumor molecularly targeted inhibition and </w:t>
      </w:r>
      <w:proofErr w:type="spellStart"/>
      <w:r>
        <w:rPr>
          <w:rFonts w:ascii="Times New Roman" w:eastAsia="等线" w:hAnsi="Times New Roman" w:cs="Times New Roman"/>
          <w:sz w:val="24"/>
          <w:szCs w:val="24"/>
          <w:lang w:val="en-GB"/>
        </w:rPr>
        <w:t>immunoactivation</w:t>
      </w:r>
      <w:proofErr w:type="spellEnd"/>
      <w:r>
        <w:rPr>
          <w:rFonts w:ascii="Times New Roman" w:eastAsia="等线" w:hAnsi="Times New Roman" w:cs="Times New Roman"/>
          <w:sz w:val="24"/>
          <w:szCs w:val="24"/>
          <w:lang w:val="en-GB"/>
        </w:rPr>
        <w:t xml:space="preserve">. </w:t>
      </w:r>
      <w:r>
        <w:rPr>
          <w:rFonts w:ascii="Times New Roman" w:eastAsia="等线" w:hAnsi="Times New Roman" w:cs="Times New Roman"/>
          <w:i/>
          <w:sz w:val="24"/>
          <w:szCs w:val="24"/>
          <w:lang w:val="en-GB"/>
        </w:rPr>
        <w:t>Adv. Mater.</w:t>
      </w:r>
      <w:r>
        <w:rPr>
          <w:rFonts w:ascii="Times New Roman" w:eastAsia="等线" w:hAnsi="Times New Roman" w:cs="Times New Roman"/>
          <w:sz w:val="24"/>
          <w:szCs w:val="24"/>
          <w:lang w:val="en-GB"/>
        </w:rPr>
        <w:t xml:space="preserve"> 34, e2200449 (2022).</w:t>
      </w:r>
    </w:p>
    <w:p w14:paraId="33F218DF"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11.</w:t>
      </w:r>
      <w:r>
        <w:rPr>
          <w:rFonts w:ascii="Times New Roman" w:eastAsia="等线" w:hAnsi="Times New Roman" w:cs="Times New Roman"/>
          <w:sz w:val="24"/>
          <w:szCs w:val="24"/>
          <w:lang w:val="en-GB"/>
        </w:rPr>
        <w:tab/>
        <w:t xml:space="preserve">Han, J. et al. Development of recombinant high-density lipoprotein platform with innate adipose tissue-targeting abilities for regional fat reduction. </w:t>
      </w:r>
      <w:r>
        <w:rPr>
          <w:rFonts w:ascii="Times New Roman" w:eastAsia="等线" w:hAnsi="Times New Roman" w:cs="Times New Roman"/>
          <w:i/>
          <w:sz w:val="24"/>
          <w:szCs w:val="24"/>
          <w:lang w:val="en-GB"/>
        </w:rPr>
        <w:t>ACS Nano</w:t>
      </w:r>
      <w:r>
        <w:rPr>
          <w:rFonts w:ascii="Times New Roman" w:eastAsia="等线" w:hAnsi="Times New Roman" w:cs="Times New Roman"/>
          <w:sz w:val="24"/>
          <w:szCs w:val="24"/>
          <w:lang w:val="en-GB"/>
        </w:rPr>
        <w:t xml:space="preserve"> 18, 13635–13651 (2024).</w:t>
      </w:r>
    </w:p>
    <w:p w14:paraId="69B0E998"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12.</w:t>
      </w:r>
      <w:r>
        <w:rPr>
          <w:rFonts w:ascii="Times New Roman" w:eastAsia="等线" w:hAnsi="Times New Roman" w:cs="Times New Roman"/>
          <w:sz w:val="24"/>
          <w:szCs w:val="24"/>
          <w:lang w:val="en-GB"/>
        </w:rPr>
        <w:tab/>
        <w:t xml:space="preserve">Hang, J. T., Wang, H. &amp; Xu, G. K. Scaling-law variance and invariance of cell plasticity. </w:t>
      </w:r>
      <w:r>
        <w:rPr>
          <w:rFonts w:ascii="Times New Roman" w:eastAsia="等线" w:hAnsi="Times New Roman" w:cs="Times New Roman"/>
          <w:i/>
          <w:sz w:val="24"/>
          <w:szCs w:val="24"/>
          <w:lang w:val="en-GB"/>
        </w:rPr>
        <w:t>J. Mech. Phys. Solids</w:t>
      </w:r>
      <w:r>
        <w:rPr>
          <w:rFonts w:ascii="Times New Roman" w:eastAsia="等线" w:hAnsi="Times New Roman" w:cs="Times New Roman"/>
          <w:sz w:val="24"/>
          <w:szCs w:val="24"/>
          <w:lang w:val="en-GB"/>
        </w:rPr>
        <w:t xml:space="preserve"> 187, 105642 (2024).</w:t>
      </w:r>
    </w:p>
    <w:p w14:paraId="42FE4A1B"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13.</w:t>
      </w:r>
      <w:r>
        <w:rPr>
          <w:rFonts w:ascii="Times New Roman" w:eastAsia="等线" w:hAnsi="Times New Roman" w:cs="Times New Roman"/>
          <w:sz w:val="24"/>
          <w:szCs w:val="24"/>
          <w:lang w:val="en-GB"/>
        </w:rPr>
        <w:tab/>
        <w:t xml:space="preserve">Lei, L. et al. Dual-functional injectable hydrogel for osteoarthritis treatments. </w:t>
      </w:r>
      <w:r>
        <w:rPr>
          <w:rFonts w:ascii="Times New Roman" w:eastAsia="等线" w:hAnsi="Times New Roman" w:cs="Times New Roman"/>
          <w:i/>
          <w:sz w:val="24"/>
          <w:szCs w:val="24"/>
          <w:lang w:val="en-GB"/>
        </w:rPr>
        <w:t xml:space="preserve">Adv. </w:t>
      </w:r>
      <w:proofErr w:type="spellStart"/>
      <w:r>
        <w:rPr>
          <w:rFonts w:ascii="Times New Roman" w:eastAsia="等线" w:hAnsi="Times New Roman" w:cs="Times New Roman"/>
          <w:i/>
          <w:sz w:val="24"/>
          <w:szCs w:val="24"/>
          <w:lang w:val="en-GB"/>
        </w:rPr>
        <w:t>Healthc</w:t>
      </w:r>
      <w:proofErr w:type="spellEnd"/>
      <w:r>
        <w:rPr>
          <w:rFonts w:ascii="Times New Roman" w:eastAsia="等线" w:hAnsi="Times New Roman" w:cs="Times New Roman"/>
          <w:i/>
          <w:sz w:val="24"/>
          <w:szCs w:val="24"/>
          <w:lang w:val="en-GB"/>
        </w:rPr>
        <w:t>. Mater.</w:t>
      </w:r>
      <w:r>
        <w:rPr>
          <w:rFonts w:ascii="Times New Roman" w:eastAsia="等线" w:hAnsi="Times New Roman" w:cs="Times New Roman"/>
          <w:sz w:val="24"/>
          <w:szCs w:val="24"/>
          <w:lang w:val="en-GB"/>
        </w:rPr>
        <w:t xml:space="preserve"> 13, e2302551 (2024).</w:t>
      </w:r>
    </w:p>
    <w:p w14:paraId="306DB824"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14.</w:t>
      </w:r>
      <w:r>
        <w:rPr>
          <w:rFonts w:ascii="Times New Roman" w:eastAsia="等线" w:hAnsi="Times New Roman" w:cs="Times New Roman"/>
          <w:sz w:val="24"/>
          <w:szCs w:val="24"/>
          <w:lang w:val="en-GB"/>
        </w:rPr>
        <w:tab/>
        <w:t xml:space="preserve">Qin, W. et al. </w:t>
      </w:r>
      <w:proofErr w:type="spellStart"/>
      <w:r>
        <w:rPr>
          <w:rFonts w:ascii="Times New Roman" w:eastAsia="等线" w:hAnsi="Times New Roman" w:cs="Times New Roman"/>
          <w:sz w:val="24"/>
          <w:szCs w:val="24"/>
          <w:lang w:val="en-GB"/>
        </w:rPr>
        <w:t>Neurovascularization</w:t>
      </w:r>
      <w:proofErr w:type="spellEnd"/>
      <w:r>
        <w:rPr>
          <w:rFonts w:ascii="Times New Roman" w:eastAsia="等线" w:hAnsi="Times New Roman" w:cs="Times New Roman"/>
          <w:sz w:val="24"/>
          <w:szCs w:val="24"/>
          <w:lang w:val="en-GB"/>
        </w:rPr>
        <w:t xml:space="preserve"> inhibiting dual responsive hydrogel for alleviating the progression of osteoarthritis. </w:t>
      </w:r>
      <w:r>
        <w:rPr>
          <w:rFonts w:ascii="Times New Roman" w:eastAsia="等线" w:hAnsi="Times New Roman" w:cs="Times New Roman"/>
          <w:i/>
          <w:sz w:val="24"/>
          <w:szCs w:val="24"/>
          <w:lang w:val="en-GB"/>
        </w:rPr>
        <w:t>Nat. Commun.</w:t>
      </w:r>
      <w:r>
        <w:rPr>
          <w:rFonts w:ascii="Times New Roman" w:eastAsia="等线" w:hAnsi="Times New Roman" w:cs="Times New Roman"/>
          <w:sz w:val="24"/>
          <w:szCs w:val="24"/>
          <w:lang w:val="en-GB"/>
        </w:rPr>
        <w:t xml:space="preserve"> 16, 1390 (2025).</w:t>
      </w:r>
    </w:p>
    <w:p w14:paraId="7C3DF7BE"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15.</w:t>
      </w:r>
      <w:r>
        <w:rPr>
          <w:rFonts w:ascii="Times New Roman" w:eastAsia="等线" w:hAnsi="Times New Roman" w:cs="Times New Roman"/>
          <w:sz w:val="24"/>
          <w:szCs w:val="24"/>
          <w:lang w:val="en-GB"/>
        </w:rPr>
        <w:tab/>
      </w:r>
      <w:proofErr w:type="spellStart"/>
      <w:r>
        <w:rPr>
          <w:rFonts w:ascii="Times New Roman" w:eastAsia="等线" w:hAnsi="Times New Roman" w:cs="Times New Roman"/>
          <w:sz w:val="24"/>
          <w:szCs w:val="24"/>
          <w:lang w:val="en-GB"/>
        </w:rPr>
        <w:t>Nonoyama</w:t>
      </w:r>
      <w:proofErr w:type="spellEnd"/>
      <w:r>
        <w:rPr>
          <w:rFonts w:ascii="Times New Roman" w:eastAsia="等线" w:hAnsi="Times New Roman" w:cs="Times New Roman"/>
          <w:sz w:val="24"/>
          <w:szCs w:val="24"/>
          <w:lang w:val="en-GB"/>
        </w:rPr>
        <w:t xml:space="preserve">, T. et al. Instant thermal switching from soft hydrogel to rigid plastics inspired by thermophile proteins. </w:t>
      </w:r>
      <w:r>
        <w:rPr>
          <w:rFonts w:ascii="Times New Roman" w:eastAsia="等线" w:hAnsi="Times New Roman" w:cs="Times New Roman"/>
          <w:i/>
          <w:sz w:val="24"/>
          <w:szCs w:val="24"/>
          <w:lang w:val="en-GB"/>
        </w:rPr>
        <w:t>Adv. Mater.</w:t>
      </w:r>
      <w:r>
        <w:rPr>
          <w:rFonts w:ascii="Times New Roman" w:eastAsia="等线" w:hAnsi="Times New Roman" w:cs="Times New Roman"/>
          <w:sz w:val="24"/>
          <w:szCs w:val="24"/>
          <w:lang w:val="en-GB"/>
        </w:rPr>
        <w:t xml:space="preserve"> 32, e1905878 (2020).</w:t>
      </w:r>
    </w:p>
    <w:p w14:paraId="70563CD7"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16.</w:t>
      </w:r>
      <w:r>
        <w:rPr>
          <w:rFonts w:ascii="Times New Roman" w:eastAsia="等线" w:hAnsi="Times New Roman" w:cs="Times New Roman"/>
          <w:sz w:val="24"/>
          <w:szCs w:val="24"/>
          <w:lang w:val="en-GB"/>
        </w:rPr>
        <w:tab/>
        <w:t xml:space="preserve">Li, L., Wu, B., Sun, S. &amp; Wu, P. High-entropy thermal-stiffening hydrogels with fast switching dynamics. </w:t>
      </w:r>
      <w:r>
        <w:rPr>
          <w:rFonts w:ascii="Times New Roman" w:eastAsia="等线" w:hAnsi="Times New Roman" w:cs="Times New Roman"/>
          <w:i/>
          <w:sz w:val="24"/>
          <w:szCs w:val="24"/>
          <w:lang w:val="en-GB"/>
        </w:rPr>
        <w:t>Natl. Sci. Rev.</w:t>
      </w:r>
      <w:r>
        <w:rPr>
          <w:rFonts w:ascii="Times New Roman" w:eastAsia="等线" w:hAnsi="Times New Roman" w:cs="Times New Roman"/>
          <w:sz w:val="24"/>
          <w:szCs w:val="24"/>
          <w:lang w:val="en-GB"/>
        </w:rPr>
        <w:t xml:space="preserve"> 12, nwaf072 (2025).</w:t>
      </w:r>
    </w:p>
    <w:p w14:paraId="3768F805"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17.</w:t>
      </w:r>
      <w:r>
        <w:rPr>
          <w:rFonts w:ascii="Times New Roman" w:eastAsia="等线" w:hAnsi="Times New Roman" w:cs="Times New Roman"/>
          <w:sz w:val="24"/>
          <w:szCs w:val="24"/>
          <w:lang w:val="en-GB"/>
        </w:rPr>
        <w:tab/>
        <w:t xml:space="preserve">Yang, Y. et al. Ultra-durable cell-free bioactive hydrogel with fast shape memory and on-demand drug release for cartilage regeneration. </w:t>
      </w:r>
      <w:r>
        <w:rPr>
          <w:rFonts w:ascii="Times New Roman" w:eastAsia="等线" w:hAnsi="Times New Roman" w:cs="Times New Roman"/>
          <w:i/>
          <w:sz w:val="24"/>
          <w:szCs w:val="24"/>
          <w:lang w:val="en-GB"/>
        </w:rPr>
        <w:t>Nat. Commun.</w:t>
      </w:r>
      <w:r>
        <w:rPr>
          <w:rFonts w:ascii="Times New Roman" w:eastAsia="等线" w:hAnsi="Times New Roman" w:cs="Times New Roman"/>
          <w:sz w:val="24"/>
          <w:szCs w:val="24"/>
          <w:lang w:val="en-GB"/>
        </w:rPr>
        <w:t xml:space="preserve"> 14, 7771 (2023).</w:t>
      </w:r>
    </w:p>
    <w:p w14:paraId="50FFB1A8"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18.</w:t>
      </w:r>
      <w:r>
        <w:rPr>
          <w:rFonts w:ascii="Times New Roman" w:eastAsia="等线" w:hAnsi="Times New Roman" w:cs="Times New Roman"/>
          <w:sz w:val="24"/>
          <w:szCs w:val="24"/>
          <w:lang w:val="en-GB"/>
        </w:rPr>
        <w:tab/>
        <w:t xml:space="preserve">Fu, L. et al. Cartilage-like protein hydrogels engineered via entanglement. </w:t>
      </w:r>
      <w:r>
        <w:rPr>
          <w:rFonts w:ascii="Times New Roman" w:eastAsia="等线" w:hAnsi="Times New Roman" w:cs="Times New Roman"/>
          <w:i/>
          <w:sz w:val="24"/>
          <w:szCs w:val="24"/>
          <w:lang w:val="en-GB"/>
        </w:rPr>
        <w:lastRenderedPageBreak/>
        <w:t>Nature</w:t>
      </w:r>
      <w:r>
        <w:rPr>
          <w:rFonts w:ascii="Times New Roman" w:eastAsia="等线" w:hAnsi="Times New Roman" w:cs="Times New Roman"/>
          <w:sz w:val="24"/>
          <w:szCs w:val="24"/>
          <w:lang w:val="en-GB"/>
        </w:rPr>
        <w:t xml:space="preserve"> 618, 740–747 (2023).</w:t>
      </w:r>
    </w:p>
    <w:p w14:paraId="7C4F4BB3"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19.</w:t>
      </w:r>
      <w:r>
        <w:rPr>
          <w:rFonts w:ascii="Times New Roman" w:eastAsia="等线" w:hAnsi="Times New Roman" w:cs="Times New Roman"/>
          <w:sz w:val="24"/>
          <w:szCs w:val="24"/>
          <w:lang w:val="en-GB"/>
        </w:rPr>
        <w:tab/>
        <w:t xml:space="preserve">Liu, Y., Gilchrist, A. E. &amp; </w:t>
      </w:r>
      <w:proofErr w:type="spellStart"/>
      <w:r>
        <w:rPr>
          <w:rFonts w:ascii="Times New Roman" w:eastAsia="等线" w:hAnsi="Times New Roman" w:cs="Times New Roman"/>
          <w:sz w:val="24"/>
          <w:szCs w:val="24"/>
          <w:lang w:val="en-GB"/>
        </w:rPr>
        <w:t>Heilshorn</w:t>
      </w:r>
      <w:proofErr w:type="spellEnd"/>
      <w:r>
        <w:rPr>
          <w:rFonts w:ascii="Times New Roman" w:eastAsia="等线" w:hAnsi="Times New Roman" w:cs="Times New Roman"/>
          <w:sz w:val="24"/>
          <w:szCs w:val="24"/>
          <w:lang w:val="en-GB"/>
        </w:rPr>
        <w:t xml:space="preserve">, S. C. Engineered protein hydrogels as biomimetic cellular scaffolds. </w:t>
      </w:r>
      <w:r>
        <w:rPr>
          <w:rFonts w:ascii="Times New Roman" w:eastAsia="等线" w:hAnsi="Times New Roman" w:cs="Times New Roman"/>
          <w:i/>
          <w:sz w:val="24"/>
          <w:szCs w:val="24"/>
          <w:lang w:val="en-GB"/>
        </w:rPr>
        <w:t>Adv. Mater.</w:t>
      </w:r>
      <w:r>
        <w:rPr>
          <w:rFonts w:ascii="Times New Roman" w:eastAsia="等线" w:hAnsi="Times New Roman" w:cs="Times New Roman"/>
          <w:sz w:val="24"/>
          <w:szCs w:val="24"/>
          <w:lang w:val="en-GB"/>
        </w:rPr>
        <w:t xml:space="preserve"> 36, e2407794 (2024).</w:t>
      </w:r>
    </w:p>
    <w:p w14:paraId="091811C9"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20.</w:t>
      </w:r>
      <w:r>
        <w:rPr>
          <w:rFonts w:ascii="Times New Roman" w:eastAsia="等线" w:hAnsi="Times New Roman" w:cs="Times New Roman"/>
          <w:sz w:val="24"/>
          <w:szCs w:val="24"/>
          <w:lang w:val="en-GB"/>
        </w:rPr>
        <w:tab/>
        <w:t xml:space="preserve">Xie, X. T. et al. Gene-engineered polypeptide hydrogels with on-demand oxygenation and ECM-cell interaction mimicry for diabetic wound healing. </w:t>
      </w:r>
      <w:r>
        <w:rPr>
          <w:rFonts w:ascii="Times New Roman" w:eastAsia="等线" w:hAnsi="Times New Roman" w:cs="Times New Roman"/>
          <w:i/>
          <w:sz w:val="24"/>
          <w:szCs w:val="24"/>
          <w:lang w:val="en-GB"/>
        </w:rPr>
        <w:t>Biomaterials</w:t>
      </w:r>
      <w:r>
        <w:rPr>
          <w:rFonts w:ascii="Times New Roman" w:eastAsia="等线" w:hAnsi="Times New Roman" w:cs="Times New Roman"/>
          <w:sz w:val="24"/>
          <w:szCs w:val="24"/>
          <w:lang w:val="en-GB"/>
        </w:rPr>
        <w:t xml:space="preserve"> 316, 122984 (2025).</w:t>
      </w:r>
    </w:p>
    <w:p w14:paraId="7B6EF3F4"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21.</w:t>
      </w:r>
      <w:r>
        <w:rPr>
          <w:rFonts w:ascii="Times New Roman" w:eastAsia="等线" w:hAnsi="Times New Roman" w:cs="Times New Roman"/>
          <w:sz w:val="24"/>
          <w:szCs w:val="24"/>
          <w:lang w:val="en-GB"/>
        </w:rPr>
        <w:tab/>
        <w:t xml:space="preserve">Chen, L. et al. A </w:t>
      </w:r>
      <w:proofErr w:type="spellStart"/>
      <w:r>
        <w:rPr>
          <w:rFonts w:ascii="Times New Roman" w:eastAsia="等线" w:hAnsi="Times New Roman" w:cs="Times New Roman"/>
          <w:sz w:val="24"/>
          <w:szCs w:val="24"/>
          <w:lang w:val="en-GB"/>
        </w:rPr>
        <w:t>hyperelastic</w:t>
      </w:r>
      <w:proofErr w:type="spellEnd"/>
      <w:r>
        <w:rPr>
          <w:rFonts w:ascii="Times New Roman" w:eastAsia="等线" w:hAnsi="Times New Roman" w:cs="Times New Roman"/>
          <w:sz w:val="24"/>
          <w:szCs w:val="24"/>
          <w:lang w:val="en-GB"/>
        </w:rPr>
        <w:t xml:space="preserve"> hydrogel with an </w:t>
      </w:r>
      <w:proofErr w:type="spellStart"/>
      <w:r>
        <w:rPr>
          <w:rFonts w:ascii="Times New Roman" w:eastAsia="等线" w:hAnsi="Times New Roman" w:cs="Times New Roman"/>
          <w:sz w:val="24"/>
          <w:szCs w:val="24"/>
          <w:lang w:val="en-GB"/>
        </w:rPr>
        <w:t>ultralarge</w:t>
      </w:r>
      <w:proofErr w:type="spellEnd"/>
      <w:r>
        <w:rPr>
          <w:rFonts w:ascii="Times New Roman" w:eastAsia="等线" w:hAnsi="Times New Roman" w:cs="Times New Roman"/>
          <w:sz w:val="24"/>
          <w:szCs w:val="24"/>
          <w:lang w:val="en-GB"/>
        </w:rPr>
        <w:t xml:space="preserve"> reversible biaxial strain. </w:t>
      </w:r>
      <w:r>
        <w:rPr>
          <w:rFonts w:ascii="Times New Roman" w:eastAsia="等线" w:hAnsi="Times New Roman" w:cs="Times New Roman"/>
          <w:i/>
          <w:sz w:val="24"/>
          <w:szCs w:val="24"/>
          <w:lang w:val="en-GB"/>
        </w:rPr>
        <w:t>Science</w:t>
      </w:r>
      <w:r>
        <w:rPr>
          <w:rFonts w:ascii="Times New Roman" w:eastAsia="等线" w:hAnsi="Times New Roman" w:cs="Times New Roman"/>
          <w:sz w:val="24"/>
          <w:szCs w:val="24"/>
          <w:lang w:val="en-GB"/>
        </w:rPr>
        <w:t xml:space="preserve"> 383, 1455–1461 (2024).</w:t>
      </w:r>
    </w:p>
    <w:p w14:paraId="6A91D0B9"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22.</w:t>
      </w:r>
      <w:r>
        <w:rPr>
          <w:rFonts w:ascii="Times New Roman" w:eastAsia="等线" w:hAnsi="Times New Roman" w:cs="Times New Roman"/>
          <w:sz w:val="24"/>
          <w:szCs w:val="24"/>
          <w:lang w:val="en-GB"/>
        </w:rPr>
        <w:tab/>
        <w:t xml:space="preserve">Zhang, X., Wu, B., Sun, S. &amp; Wu, P. Hybrid materials from ultrahigh-inorganic-content mineral plastic hydrogels: arbitrarily </w:t>
      </w:r>
      <w:proofErr w:type="spellStart"/>
      <w:r>
        <w:rPr>
          <w:rFonts w:ascii="Times New Roman" w:eastAsia="等线" w:hAnsi="Times New Roman" w:cs="Times New Roman"/>
          <w:sz w:val="24"/>
          <w:szCs w:val="24"/>
          <w:lang w:val="en-GB"/>
        </w:rPr>
        <w:t>shapeable</w:t>
      </w:r>
      <w:proofErr w:type="spellEnd"/>
      <w:r>
        <w:rPr>
          <w:rFonts w:ascii="Times New Roman" w:eastAsia="等线" w:hAnsi="Times New Roman" w:cs="Times New Roman"/>
          <w:sz w:val="24"/>
          <w:szCs w:val="24"/>
          <w:lang w:val="en-GB"/>
        </w:rPr>
        <w:t xml:space="preserve">, strong, and tough. </w:t>
      </w:r>
      <w:r>
        <w:rPr>
          <w:rFonts w:ascii="Times New Roman" w:eastAsia="等线" w:hAnsi="Times New Roman" w:cs="Times New Roman"/>
          <w:i/>
          <w:sz w:val="24"/>
          <w:szCs w:val="24"/>
          <w:lang w:val="en-GB"/>
        </w:rPr>
        <w:t xml:space="preserve">Adv. </w:t>
      </w:r>
      <w:proofErr w:type="spellStart"/>
      <w:r>
        <w:rPr>
          <w:rFonts w:ascii="Times New Roman" w:eastAsia="等线" w:hAnsi="Times New Roman" w:cs="Times New Roman"/>
          <w:i/>
          <w:sz w:val="24"/>
          <w:szCs w:val="24"/>
          <w:lang w:val="en-GB"/>
        </w:rPr>
        <w:t>Funct</w:t>
      </w:r>
      <w:proofErr w:type="spellEnd"/>
      <w:r>
        <w:rPr>
          <w:rFonts w:ascii="Times New Roman" w:eastAsia="等线" w:hAnsi="Times New Roman" w:cs="Times New Roman"/>
          <w:i/>
          <w:sz w:val="24"/>
          <w:szCs w:val="24"/>
          <w:lang w:val="en-GB"/>
        </w:rPr>
        <w:t>. Mater.</w:t>
      </w:r>
      <w:r>
        <w:rPr>
          <w:rFonts w:ascii="Times New Roman" w:eastAsia="等线" w:hAnsi="Times New Roman" w:cs="Times New Roman"/>
          <w:sz w:val="24"/>
          <w:szCs w:val="24"/>
          <w:lang w:val="en-GB"/>
        </w:rPr>
        <w:t xml:space="preserve"> 30, 1910425 (2020).</w:t>
      </w:r>
    </w:p>
    <w:p w14:paraId="7701376C"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23.</w:t>
      </w:r>
      <w:r>
        <w:rPr>
          <w:rFonts w:ascii="Times New Roman" w:eastAsia="等线" w:hAnsi="Times New Roman" w:cs="Times New Roman"/>
          <w:sz w:val="24"/>
          <w:szCs w:val="24"/>
          <w:lang w:val="en-GB"/>
        </w:rPr>
        <w:tab/>
        <w:t xml:space="preserve">Yuan, Z. et al. Methyl matters: molecular regulation of the soft-to-rigid transition of shape memory hydrogels for programmable deformation. </w:t>
      </w:r>
      <w:r>
        <w:rPr>
          <w:rFonts w:ascii="Times New Roman" w:eastAsia="等线" w:hAnsi="Times New Roman" w:cs="Times New Roman"/>
          <w:i/>
          <w:sz w:val="24"/>
          <w:szCs w:val="24"/>
          <w:lang w:val="en-GB"/>
        </w:rPr>
        <w:t>Macromolecules</w:t>
      </w:r>
      <w:r>
        <w:rPr>
          <w:rFonts w:ascii="Times New Roman" w:eastAsia="等线" w:hAnsi="Times New Roman" w:cs="Times New Roman"/>
          <w:sz w:val="24"/>
          <w:szCs w:val="24"/>
          <w:lang w:val="en-GB"/>
        </w:rPr>
        <w:t xml:space="preserve"> 57, 7798–7807 (2024).</w:t>
      </w:r>
    </w:p>
    <w:p w14:paraId="04B831DC"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24.</w:t>
      </w:r>
      <w:r>
        <w:rPr>
          <w:rFonts w:ascii="Times New Roman" w:eastAsia="等线" w:hAnsi="Times New Roman" w:cs="Times New Roman"/>
          <w:sz w:val="24"/>
          <w:szCs w:val="24"/>
          <w:lang w:val="en-GB"/>
        </w:rPr>
        <w:tab/>
        <w:t xml:space="preserve">Liu, Y., Cui, H., Wang, X., Ouyang, G. &amp; Guo, H. Hydrogels with reversible heat-trained toughness for convenient manufacture. </w:t>
      </w:r>
      <w:r>
        <w:rPr>
          <w:rFonts w:ascii="Times New Roman" w:eastAsia="等线" w:hAnsi="Times New Roman" w:cs="Times New Roman"/>
          <w:i/>
          <w:sz w:val="24"/>
          <w:szCs w:val="24"/>
          <w:lang w:val="en-GB"/>
        </w:rPr>
        <w:t>Adv. Mater. Technol.</w:t>
      </w:r>
      <w:r>
        <w:rPr>
          <w:rFonts w:ascii="Times New Roman" w:eastAsia="等线" w:hAnsi="Times New Roman" w:cs="Times New Roman"/>
          <w:sz w:val="24"/>
          <w:szCs w:val="24"/>
          <w:lang w:val="en-GB"/>
        </w:rPr>
        <w:t xml:space="preserve"> 8, 2201346 (2023).</w:t>
      </w:r>
    </w:p>
    <w:p w14:paraId="295D6FB5"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25.</w:t>
      </w:r>
      <w:r>
        <w:rPr>
          <w:rFonts w:ascii="Times New Roman" w:eastAsia="等线" w:hAnsi="Times New Roman" w:cs="Times New Roman"/>
          <w:sz w:val="24"/>
          <w:szCs w:val="24"/>
          <w:lang w:val="en-GB"/>
        </w:rPr>
        <w:tab/>
        <w:t xml:space="preserve">Liu, G. et al. 3D printing of hard/soft switchable hydrogels. </w:t>
      </w:r>
      <w:r>
        <w:rPr>
          <w:rFonts w:ascii="Times New Roman" w:eastAsia="等线" w:hAnsi="Times New Roman" w:cs="Times New Roman"/>
          <w:i/>
          <w:sz w:val="24"/>
          <w:szCs w:val="24"/>
          <w:lang w:val="en-GB"/>
        </w:rPr>
        <w:t>Int. J. Extreme Manuf.</w:t>
      </w:r>
      <w:r>
        <w:rPr>
          <w:rFonts w:ascii="Times New Roman" w:eastAsia="等线" w:hAnsi="Times New Roman" w:cs="Times New Roman"/>
          <w:sz w:val="24"/>
          <w:szCs w:val="24"/>
          <w:lang w:val="en-GB"/>
        </w:rPr>
        <w:t xml:space="preserve"> 7, 045001 (2025).</w:t>
      </w:r>
    </w:p>
    <w:p w14:paraId="009341BC"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26.</w:t>
      </w:r>
      <w:r>
        <w:rPr>
          <w:rFonts w:ascii="Times New Roman" w:eastAsia="等线" w:hAnsi="Times New Roman" w:cs="Times New Roman"/>
          <w:sz w:val="24"/>
          <w:szCs w:val="24"/>
          <w:lang w:val="en-GB"/>
        </w:rPr>
        <w:tab/>
        <w:t xml:space="preserve">Chen, F. et al. Phase-separation facilitated one-step fabrication of multiscale heterogeneous two-aqueous-phase gel. </w:t>
      </w:r>
      <w:r>
        <w:rPr>
          <w:rFonts w:ascii="Times New Roman" w:eastAsia="等线" w:hAnsi="Times New Roman" w:cs="Times New Roman"/>
          <w:i/>
          <w:sz w:val="24"/>
          <w:szCs w:val="24"/>
          <w:lang w:val="en-GB"/>
        </w:rPr>
        <w:t>Nat. Commun.</w:t>
      </w:r>
      <w:r>
        <w:rPr>
          <w:rFonts w:ascii="Times New Roman" w:eastAsia="等线" w:hAnsi="Times New Roman" w:cs="Times New Roman"/>
          <w:sz w:val="24"/>
          <w:szCs w:val="24"/>
          <w:lang w:val="en-GB"/>
        </w:rPr>
        <w:t xml:space="preserve"> 14, 2793 (2023).</w:t>
      </w:r>
    </w:p>
    <w:p w14:paraId="2C4D67A5"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27.</w:t>
      </w:r>
      <w:r>
        <w:rPr>
          <w:rFonts w:ascii="Times New Roman" w:eastAsia="等线" w:hAnsi="Times New Roman" w:cs="Times New Roman"/>
          <w:sz w:val="24"/>
          <w:szCs w:val="24"/>
          <w:lang w:val="en-GB"/>
        </w:rPr>
        <w:tab/>
        <w:t xml:space="preserve">Zhang, G., Steck, J., Kim, J., Ahn, C. H. &amp; Suo, Z. Hydrogels of arrested phase </w:t>
      </w:r>
      <w:r>
        <w:rPr>
          <w:rFonts w:ascii="Times New Roman" w:eastAsia="等线" w:hAnsi="Times New Roman" w:cs="Times New Roman"/>
          <w:sz w:val="24"/>
          <w:szCs w:val="24"/>
          <w:lang w:val="en-GB"/>
        </w:rPr>
        <w:lastRenderedPageBreak/>
        <w:t xml:space="preserve">separation simultaneously achieve high strength and low hysteresis. </w:t>
      </w:r>
      <w:r>
        <w:rPr>
          <w:rFonts w:ascii="Times New Roman" w:eastAsia="等线" w:hAnsi="Times New Roman" w:cs="Times New Roman"/>
          <w:i/>
          <w:sz w:val="24"/>
          <w:szCs w:val="24"/>
          <w:lang w:val="en-GB"/>
        </w:rPr>
        <w:t>Sci. Adv.</w:t>
      </w:r>
      <w:r>
        <w:rPr>
          <w:rFonts w:ascii="Times New Roman" w:eastAsia="等线" w:hAnsi="Times New Roman" w:cs="Times New Roman"/>
          <w:sz w:val="24"/>
          <w:szCs w:val="24"/>
          <w:lang w:val="en-GB"/>
        </w:rPr>
        <w:t xml:space="preserve"> 9, eadh7742 (2023).</w:t>
      </w:r>
    </w:p>
    <w:p w14:paraId="308DEE13"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28.</w:t>
      </w:r>
      <w:r>
        <w:rPr>
          <w:rFonts w:ascii="Times New Roman" w:eastAsia="等线" w:hAnsi="Times New Roman" w:cs="Times New Roman"/>
          <w:sz w:val="24"/>
          <w:szCs w:val="24"/>
          <w:lang w:val="en-GB"/>
        </w:rPr>
        <w:tab/>
        <w:t xml:space="preserve">Lu, J. et al. Construction and function of robust and moist bilayer chitosan-based hydrogel wound dressing. </w:t>
      </w:r>
      <w:r>
        <w:rPr>
          <w:rFonts w:ascii="Times New Roman" w:eastAsia="等线" w:hAnsi="Times New Roman" w:cs="Times New Roman"/>
          <w:i/>
          <w:sz w:val="24"/>
          <w:szCs w:val="24"/>
          <w:lang w:val="en-GB"/>
        </w:rPr>
        <w:t>Mater. Des.</w:t>
      </w:r>
      <w:r>
        <w:rPr>
          <w:rFonts w:ascii="Times New Roman" w:eastAsia="等线" w:hAnsi="Times New Roman" w:cs="Times New Roman"/>
          <w:sz w:val="24"/>
          <w:szCs w:val="24"/>
          <w:lang w:val="en-GB"/>
        </w:rPr>
        <w:t xml:space="preserve"> 226, 111604 (2023).</w:t>
      </w:r>
    </w:p>
    <w:p w14:paraId="4FF318AB"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29.</w:t>
      </w:r>
      <w:r>
        <w:rPr>
          <w:rFonts w:ascii="Times New Roman" w:eastAsia="等线" w:hAnsi="Times New Roman" w:cs="Times New Roman"/>
          <w:sz w:val="24"/>
          <w:szCs w:val="24"/>
          <w:lang w:val="en-GB"/>
        </w:rPr>
        <w:tab/>
        <w:t xml:space="preserve">Su, L. et al. Dilution-induced gel-sol-gel-sol transitions by competitive supramolecular pathways in water. </w:t>
      </w:r>
      <w:r>
        <w:rPr>
          <w:rFonts w:ascii="Times New Roman" w:eastAsia="等线" w:hAnsi="Times New Roman" w:cs="Times New Roman"/>
          <w:i/>
          <w:sz w:val="24"/>
          <w:szCs w:val="24"/>
          <w:lang w:val="en-GB"/>
        </w:rPr>
        <w:t>Science</w:t>
      </w:r>
      <w:r>
        <w:rPr>
          <w:rFonts w:ascii="Times New Roman" w:eastAsia="等线" w:hAnsi="Times New Roman" w:cs="Times New Roman"/>
          <w:sz w:val="24"/>
          <w:szCs w:val="24"/>
          <w:lang w:val="en-GB"/>
        </w:rPr>
        <w:t xml:space="preserve"> 377, 213–218 (2022).</w:t>
      </w:r>
    </w:p>
    <w:p w14:paraId="3C063E70"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30.</w:t>
      </w:r>
      <w:r>
        <w:rPr>
          <w:rFonts w:ascii="Times New Roman" w:eastAsia="等线" w:hAnsi="Times New Roman" w:cs="Times New Roman"/>
          <w:sz w:val="24"/>
          <w:szCs w:val="24"/>
          <w:lang w:val="en-GB"/>
        </w:rPr>
        <w:tab/>
        <w:t xml:space="preserve">Wang, X. et al. A microgel-hydrogel hybrid for functional compensation and mechanical stability in 3D printed cell-dense vascularized liver tissue. </w:t>
      </w:r>
      <w:r>
        <w:rPr>
          <w:rFonts w:ascii="Times New Roman" w:eastAsia="等线" w:hAnsi="Times New Roman" w:cs="Times New Roman"/>
          <w:i/>
          <w:sz w:val="24"/>
          <w:szCs w:val="24"/>
          <w:lang w:val="en-GB"/>
        </w:rPr>
        <w:t>Adv. Mater.</w:t>
      </w:r>
      <w:r>
        <w:rPr>
          <w:rFonts w:ascii="Times New Roman" w:eastAsia="等线" w:hAnsi="Times New Roman" w:cs="Times New Roman"/>
          <w:sz w:val="24"/>
          <w:szCs w:val="24"/>
          <w:lang w:val="en-GB"/>
        </w:rPr>
        <w:t xml:space="preserve"> 37, e2413940 (2025).</w:t>
      </w:r>
    </w:p>
    <w:p w14:paraId="56961678"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31.</w:t>
      </w:r>
      <w:r>
        <w:rPr>
          <w:rFonts w:ascii="Times New Roman" w:eastAsia="等线" w:hAnsi="Times New Roman" w:cs="Times New Roman"/>
          <w:sz w:val="24"/>
          <w:szCs w:val="24"/>
          <w:lang w:val="en-GB"/>
        </w:rPr>
        <w:tab/>
        <w:t xml:space="preserve">Chaudhuri, O. et al. Hydrogels with </w:t>
      </w:r>
      <w:proofErr w:type="spellStart"/>
      <w:r>
        <w:rPr>
          <w:rFonts w:ascii="Times New Roman" w:eastAsia="等线" w:hAnsi="Times New Roman" w:cs="Times New Roman"/>
          <w:sz w:val="24"/>
          <w:szCs w:val="24"/>
          <w:lang w:val="en-GB"/>
        </w:rPr>
        <w:t>tunable</w:t>
      </w:r>
      <w:proofErr w:type="spellEnd"/>
      <w:r>
        <w:rPr>
          <w:rFonts w:ascii="Times New Roman" w:eastAsia="等线" w:hAnsi="Times New Roman" w:cs="Times New Roman"/>
          <w:sz w:val="24"/>
          <w:szCs w:val="24"/>
          <w:lang w:val="en-GB"/>
        </w:rPr>
        <w:t xml:space="preserve"> stress relaxation regulate stem cell fate and activity. </w:t>
      </w:r>
      <w:r>
        <w:rPr>
          <w:rFonts w:ascii="Times New Roman" w:eastAsia="等线" w:hAnsi="Times New Roman" w:cs="Times New Roman"/>
          <w:i/>
          <w:sz w:val="24"/>
          <w:szCs w:val="24"/>
          <w:lang w:val="en-GB"/>
        </w:rPr>
        <w:t>Nat. Mater.</w:t>
      </w:r>
      <w:r>
        <w:rPr>
          <w:rFonts w:ascii="Times New Roman" w:eastAsia="等线" w:hAnsi="Times New Roman" w:cs="Times New Roman"/>
          <w:sz w:val="24"/>
          <w:szCs w:val="24"/>
          <w:lang w:val="en-GB"/>
        </w:rPr>
        <w:t xml:space="preserve"> 15, 326–34 (2016).</w:t>
      </w:r>
    </w:p>
    <w:p w14:paraId="56E8D3E2"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32.</w:t>
      </w:r>
      <w:r>
        <w:rPr>
          <w:rFonts w:ascii="Times New Roman" w:eastAsia="等线" w:hAnsi="Times New Roman" w:cs="Times New Roman"/>
          <w:sz w:val="24"/>
          <w:szCs w:val="24"/>
          <w:lang w:val="en-GB"/>
        </w:rPr>
        <w:tab/>
        <w:t xml:space="preserve">Xu, R. et al. Enabling 3D printability and vascular morphogenesis with double network dynamic hydrogels. </w:t>
      </w:r>
      <w:r>
        <w:rPr>
          <w:rFonts w:ascii="Times New Roman" w:eastAsia="等线" w:hAnsi="Times New Roman" w:cs="Times New Roman"/>
          <w:i/>
          <w:sz w:val="24"/>
          <w:szCs w:val="24"/>
          <w:lang w:val="en-GB"/>
        </w:rPr>
        <w:t>Mater. Today</w:t>
      </w:r>
      <w:r>
        <w:rPr>
          <w:rFonts w:ascii="Times New Roman" w:eastAsia="等线" w:hAnsi="Times New Roman" w:cs="Times New Roman"/>
          <w:sz w:val="24"/>
          <w:szCs w:val="24"/>
          <w:lang w:val="en-GB"/>
        </w:rPr>
        <w:t xml:space="preserve"> 84, 10–27 (2025).</w:t>
      </w:r>
    </w:p>
    <w:p w14:paraId="3D155A38"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33.</w:t>
      </w:r>
      <w:r>
        <w:rPr>
          <w:rFonts w:ascii="Times New Roman" w:eastAsia="等线" w:hAnsi="Times New Roman" w:cs="Times New Roman"/>
          <w:sz w:val="24"/>
          <w:szCs w:val="24"/>
          <w:lang w:val="en-GB"/>
        </w:rPr>
        <w:tab/>
        <w:t xml:space="preserve"> Lei, Z., Wang, Q., Sun, S., Zhu, W. &amp; Wu, P. A bioinspired mineral hydrogel as a self-healable, mechanically adaptable ionic skin for highly sensitive pressure sensing. </w:t>
      </w:r>
      <w:r>
        <w:rPr>
          <w:rFonts w:ascii="Times New Roman" w:eastAsia="等线" w:hAnsi="Times New Roman" w:cs="Times New Roman"/>
          <w:i/>
          <w:sz w:val="24"/>
          <w:szCs w:val="24"/>
          <w:lang w:val="en-GB"/>
        </w:rPr>
        <w:t>Adv. Mater.</w:t>
      </w:r>
      <w:r>
        <w:rPr>
          <w:rFonts w:ascii="Times New Roman" w:eastAsia="等线" w:hAnsi="Times New Roman" w:cs="Times New Roman"/>
          <w:sz w:val="24"/>
          <w:szCs w:val="24"/>
          <w:lang w:val="en-GB"/>
        </w:rPr>
        <w:t xml:space="preserve"> 29, 1700321 (2017).</w:t>
      </w:r>
    </w:p>
    <w:p w14:paraId="7732FD5E"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34.</w:t>
      </w:r>
      <w:r>
        <w:rPr>
          <w:rFonts w:ascii="Times New Roman" w:eastAsia="等线" w:hAnsi="Times New Roman" w:cs="Times New Roman"/>
          <w:sz w:val="24"/>
          <w:szCs w:val="24"/>
          <w:lang w:val="en-GB"/>
        </w:rPr>
        <w:tab/>
        <w:t xml:space="preserve">Yin, H., You, M., Shi, X., Yu, H. &amp; Chen, Q. New insights into pure zwitterionic hydrogels with high strength and high toughness. </w:t>
      </w:r>
      <w:r>
        <w:rPr>
          <w:rFonts w:ascii="Times New Roman" w:eastAsia="等线" w:hAnsi="Times New Roman" w:cs="Times New Roman"/>
          <w:i/>
          <w:sz w:val="24"/>
          <w:szCs w:val="24"/>
          <w:lang w:val="en-GB"/>
        </w:rPr>
        <w:t xml:space="preserve">Mater. </w:t>
      </w:r>
      <w:proofErr w:type="spellStart"/>
      <w:r>
        <w:rPr>
          <w:rFonts w:ascii="Times New Roman" w:eastAsia="等线" w:hAnsi="Times New Roman" w:cs="Times New Roman"/>
          <w:i/>
          <w:sz w:val="24"/>
          <w:szCs w:val="24"/>
          <w:lang w:val="en-GB"/>
        </w:rPr>
        <w:t>Horiz</w:t>
      </w:r>
      <w:proofErr w:type="spellEnd"/>
      <w:r>
        <w:rPr>
          <w:rFonts w:ascii="Times New Roman" w:eastAsia="等线" w:hAnsi="Times New Roman" w:cs="Times New Roman"/>
          <w:i/>
          <w:sz w:val="24"/>
          <w:szCs w:val="24"/>
          <w:lang w:val="en-GB"/>
        </w:rPr>
        <w:t>.</w:t>
      </w:r>
      <w:r>
        <w:rPr>
          <w:rFonts w:ascii="Times New Roman" w:eastAsia="等线" w:hAnsi="Times New Roman" w:cs="Times New Roman"/>
          <w:sz w:val="24"/>
          <w:szCs w:val="24"/>
          <w:lang w:val="en-GB"/>
        </w:rPr>
        <w:t xml:space="preserve"> 11, 3946–3960 (2024).</w:t>
      </w:r>
    </w:p>
    <w:p w14:paraId="7A2EF5FB"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35.</w:t>
      </w:r>
      <w:r>
        <w:rPr>
          <w:rFonts w:ascii="Times New Roman" w:eastAsia="等线" w:hAnsi="Times New Roman" w:cs="Times New Roman"/>
          <w:sz w:val="24"/>
          <w:szCs w:val="24"/>
          <w:lang w:val="en-GB"/>
        </w:rPr>
        <w:tab/>
        <w:t xml:space="preserve">Zhao, C. et al. Molecular co-assembled strategy tuning protein conformation for cartilage regeneration. </w:t>
      </w:r>
      <w:r>
        <w:rPr>
          <w:rFonts w:ascii="Times New Roman" w:eastAsia="等线" w:hAnsi="Times New Roman" w:cs="Times New Roman"/>
          <w:i/>
          <w:sz w:val="24"/>
          <w:szCs w:val="24"/>
          <w:lang w:val="en-GB"/>
        </w:rPr>
        <w:t>Nat. Commun.</w:t>
      </w:r>
      <w:r>
        <w:rPr>
          <w:rFonts w:ascii="Times New Roman" w:eastAsia="等线" w:hAnsi="Times New Roman" w:cs="Times New Roman"/>
          <w:sz w:val="24"/>
          <w:szCs w:val="24"/>
          <w:lang w:val="en-GB"/>
        </w:rPr>
        <w:t xml:space="preserve"> 15, 1488 (2024).</w:t>
      </w:r>
    </w:p>
    <w:p w14:paraId="769FA1AE"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36.</w:t>
      </w:r>
      <w:r>
        <w:rPr>
          <w:rFonts w:ascii="Times New Roman" w:eastAsia="等线" w:hAnsi="Times New Roman" w:cs="Times New Roman"/>
          <w:sz w:val="24"/>
          <w:szCs w:val="24"/>
          <w:lang w:val="en-GB"/>
        </w:rPr>
        <w:tab/>
        <w:t xml:space="preserve">Lian, W. Z. et al. Tough hydrogels with dynamic H-bonds: structural </w:t>
      </w:r>
      <w:r>
        <w:rPr>
          <w:rFonts w:ascii="Times New Roman" w:eastAsia="等线" w:hAnsi="Times New Roman" w:cs="Times New Roman"/>
          <w:sz w:val="24"/>
          <w:szCs w:val="24"/>
          <w:lang w:val="en-GB"/>
        </w:rPr>
        <w:lastRenderedPageBreak/>
        <w:t xml:space="preserve">heterogeneities and mechanical performances. </w:t>
      </w:r>
      <w:r>
        <w:rPr>
          <w:rFonts w:ascii="Times New Roman" w:eastAsia="等线" w:hAnsi="Times New Roman" w:cs="Times New Roman"/>
          <w:i/>
          <w:sz w:val="24"/>
          <w:szCs w:val="24"/>
          <w:lang w:val="en-GB"/>
        </w:rPr>
        <w:t>Macromolecules</w:t>
      </w:r>
      <w:r>
        <w:rPr>
          <w:rFonts w:ascii="Times New Roman" w:eastAsia="等线" w:hAnsi="Times New Roman" w:cs="Times New Roman"/>
          <w:sz w:val="24"/>
          <w:szCs w:val="24"/>
          <w:lang w:val="en-GB"/>
        </w:rPr>
        <w:t xml:space="preserve"> 54, 8996–9006 (2021).</w:t>
      </w:r>
    </w:p>
    <w:p w14:paraId="650A8805"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37.</w:t>
      </w:r>
      <w:r>
        <w:rPr>
          <w:rFonts w:ascii="Times New Roman" w:eastAsia="等线" w:hAnsi="Times New Roman" w:cs="Times New Roman"/>
          <w:sz w:val="24"/>
          <w:szCs w:val="24"/>
          <w:lang w:val="en-GB"/>
        </w:rPr>
        <w:tab/>
        <w:t xml:space="preserve">Tian, Y. et al. Connective tissue inspired elastomer-based hydrogel for artificial skin via radiation-indued penetrating polymerization. </w:t>
      </w:r>
      <w:r>
        <w:rPr>
          <w:rFonts w:ascii="Times New Roman" w:eastAsia="等线" w:hAnsi="Times New Roman" w:cs="Times New Roman"/>
          <w:i/>
          <w:sz w:val="24"/>
          <w:szCs w:val="24"/>
          <w:lang w:val="en-GB"/>
        </w:rPr>
        <w:t>Nat. Commun.</w:t>
      </w:r>
      <w:r>
        <w:rPr>
          <w:rFonts w:ascii="Times New Roman" w:eastAsia="等线" w:hAnsi="Times New Roman" w:cs="Times New Roman"/>
          <w:sz w:val="24"/>
          <w:szCs w:val="24"/>
          <w:lang w:val="en-GB"/>
        </w:rPr>
        <w:t xml:space="preserve"> 15, 636 (2024).</w:t>
      </w:r>
    </w:p>
    <w:p w14:paraId="601112BD"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38.</w:t>
      </w:r>
      <w:r>
        <w:rPr>
          <w:rFonts w:ascii="Times New Roman" w:eastAsia="等线" w:hAnsi="Times New Roman" w:cs="Times New Roman"/>
          <w:sz w:val="24"/>
          <w:szCs w:val="24"/>
          <w:lang w:val="en-GB"/>
        </w:rPr>
        <w:tab/>
        <w:t xml:space="preserve">Jiang, H. et al. Mechanically robust, highly conductive, wide-voltage cellulose </w:t>
      </w:r>
      <w:proofErr w:type="spellStart"/>
      <w:r>
        <w:rPr>
          <w:rFonts w:ascii="Times New Roman" w:eastAsia="等线" w:hAnsi="Times New Roman" w:cs="Times New Roman"/>
          <w:sz w:val="24"/>
          <w:szCs w:val="24"/>
          <w:lang w:val="en-GB"/>
        </w:rPr>
        <w:t>ionogels</w:t>
      </w:r>
      <w:proofErr w:type="spellEnd"/>
      <w:r>
        <w:rPr>
          <w:rFonts w:ascii="Times New Roman" w:eastAsia="等线" w:hAnsi="Times New Roman" w:cs="Times New Roman"/>
          <w:sz w:val="24"/>
          <w:szCs w:val="24"/>
          <w:lang w:val="en-GB"/>
        </w:rPr>
        <w:t xml:space="preserve"> enabled by molecular network reconstruction. </w:t>
      </w:r>
      <w:r>
        <w:rPr>
          <w:rFonts w:ascii="Times New Roman" w:eastAsia="等线" w:hAnsi="Times New Roman" w:cs="Times New Roman"/>
          <w:i/>
          <w:sz w:val="24"/>
          <w:szCs w:val="24"/>
          <w:lang w:val="en-GB"/>
        </w:rPr>
        <w:t xml:space="preserve">Adv. </w:t>
      </w:r>
      <w:proofErr w:type="spellStart"/>
      <w:r>
        <w:rPr>
          <w:rFonts w:ascii="Times New Roman" w:eastAsia="等线" w:hAnsi="Times New Roman" w:cs="Times New Roman"/>
          <w:i/>
          <w:sz w:val="24"/>
          <w:szCs w:val="24"/>
          <w:lang w:val="en-GB"/>
        </w:rPr>
        <w:t>Funct</w:t>
      </w:r>
      <w:proofErr w:type="spellEnd"/>
      <w:r>
        <w:rPr>
          <w:rFonts w:ascii="Times New Roman" w:eastAsia="等线" w:hAnsi="Times New Roman" w:cs="Times New Roman"/>
          <w:i/>
          <w:sz w:val="24"/>
          <w:szCs w:val="24"/>
          <w:lang w:val="en-GB"/>
        </w:rPr>
        <w:t>. Mater.</w:t>
      </w:r>
      <w:r>
        <w:rPr>
          <w:rFonts w:ascii="Times New Roman" w:eastAsia="等线" w:hAnsi="Times New Roman" w:cs="Times New Roman"/>
          <w:sz w:val="24"/>
          <w:szCs w:val="24"/>
          <w:lang w:val="en-GB"/>
        </w:rPr>
        <w:t>, 2503512 https://doi.org/10.1002/adfm.202503512 (2025).</w:t>
      </w:r>
    </w:p>
    <w:p w14:paraId="0A08BE38"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39.</w:t>
      </w:r>
      <w:r>
        <w:rPr>
          <w:rFonts w:ascii="Times New Roman" w:eastAsia="等线" w:hAnsi="Times New Roman" w:cs="Times New Roman"/>
          <w:sz w:val="24"/>
          <w:szCs w:val="24"/>
          <w:lang w:val="en-GB"/>
        </w:rPr>
        <w:tab/>
        <w:t xml:space="preserve">Li, X., Wu, B., Sun, S. &amp; Wu, P. Making sticky-slippery switchable </w:t>
      </w:r>
      <w:proofErr w:type="spellStart"/>
      <w:r>
        <w:rPr>
          <w:rFonts w:ascii="Times New Roman" w:eastAsia="等线" w:hAnsi="Times New Roman" w:cs="Times New Roman"/>
          <w:sz w:val="24"/>
          <w:szCs w:val="24"/>
          <w:lang w:val="en-GB"/>
        </w:rPr>
        <w:t>fluorogels</w:t>
      </w:r>
      <w:proofErr w:type="spellEnd"/>
      <w:r>
        <w:rPr>
          <w:rFonts w:ascii="Times New Roman" w:eastAsia="等线" w:hAnsi="Times New Roman" w:cs="Times New Roman"/>
          <w:sz w:val="24"/>
          <w:szCs w:val="24"/>
          <w:lang w:val="en-GB"/>
        </w:rPr>
        <w:t xml:space="preserve"> through self-adaptive </w:t>
      </w:r>
      <w:proofErr w:type="spellStart"/>
      <w:r>
        <w:rPr>
          <w:rFonts w:ascii="Times New Roman" w:eastAsia="等线" w:hAnsi="Times New Roman" w:cs="Times New Roman"/>
          <w:sz w:val="24"/>
          <w:szCs w:val="24"/>
          <w:lang w:val="en-GB"/>
        </w:rPr>
        <w:t>bicontinuous</w:t>
      </w:r>
      <w:proofErr w:type="spellEnd"/>
      <w:r>
        <w:rPr>
          <w:rFonts w:ascii="Times New Roman" w:eastAsia="等线" w:hAnsi="Times New Roman" w:cs="Times New Roman"/>
          <w:sz w:val="24"/>
          <w:szCs w:val="24"/>
          <w:lang w:val="en-GB"/>
        </w:rPr>
        <w:t xml:space="preserve"> phase separation. </w:t>
      </w:r>
      <w:r>
        <w:rPr>
          <w:rFonts w:ascii="Times New Roman" w:eastAsia="等线" w:hAnsi="Times New Roman" w:cs="Times New Roman"/>
          <w:i/>
          <w:sz w:val="24"/>
          <w:szCs w:val="24"/>
          <w:lang w:val="en-GB"/>
        </w:rPr>
        <w:t>Adv. Mater.</w:t>
      </w:r>
      <w:r>
        <w:rPr>
          <w:rFonts w:ascii="Times New Roman" w:eastAsia="等线" w:hAnsi="Times New Roman" w:cs="Times New Roman"/>
          <w:sz w:val="24"/>
          <w:szCs w:val="24"/>
          <w:lang w:val="en-GB"/>
        </w:rPr>
        <w:t xml:space="preserve"> 36, 2411273 (2024).</w:t>
      </w:r>
    </w:p>
    <w:p w14:paraId="0C7630DB"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40.</w:t>
      </w:r>
      <w:r>
        <w:rPr>
          <w:rFonts w:ascii="Times New Roman" w:eastAsia="等线" w:hAnsi="Times New Roman" w:cs="Times New Roman"/>
          <w:sz w:val="24"/>
          <w:szCs w:val="24"/>
          <w:lang w:val="en-GB"/>
        </w:rPr>
        <w:tab/>
        <w:t xml:space="preserve">Li, W. et al. Symbolic regression accelerates the discovery of quantitative relationships in rubber material aging. </w:t>
      </w:r>
      <w:r>
        <w:rPr>
          <w:rFonts w:ascii="Times New Roman" w:eastAsia="等线" w:hAnsi="Times New Roman" w:cs="Times New Roman"/>
          <w:i/>
          <w:sz w:val="24"/>
          <w:szCs w:val="24"/>
          <w:lang w:val="en-GB"/>
        </w:rPr>
        <w:t>J. Mater. Inform.</w:t>
      </w:r>
      <w:r>
        <w:rPr>
          <w:rFonts w:ascii="Times New Roman" w:eastAsia="等线" w:hAnsi="Times New Roman" w:cs="Times New Roman"/>
          <w:sz w:val="24"/>
          <w:szCs w:val="24"/>
          <w:lang w:val="en-GB"/>
        </w:rPr>
        <w:t xml:space="preserve"> 5, 29 (2025).</w:t>
      </w:r>
    </w:p>
    <w:p w14:paraId="2D3CF21D"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41.</w:t>
      </w:r>
      <w:r>
        <w:rPr>
          <w:rFonts w:ascii="Times New Roman" w:eastAsia="等线" w:hAnsi="Times New Roman" w:cs="Times New Roman"/>
          <w:sz w:val="24"/>
          <w:szCs w:val="24"/>
          <w:lang w:val="en-GB"/>
        </w:rPr>
        <w:tab/>
        <w:t xml:space="preserve">Huang, J. et al. Ultrahigh energy-dissipation elastomers by precisely tailoring the relaxation of confined polymer fluids. </w:t>
      </w:r>
      <w:r>
        <w:rPr>
          <w:rFonts w:ascii="Times New Roman" w:eastAsia="等线" w:hAnsi="Times New Roman" w:cs="Times New Roman"/>
          <w:i/>
          <w:sz w:val="24"/>
          <w:szCs w:val="24"/>
          <w:lang w:val="en-GB"/>
        </w:rPr>
        <w:t>Nat. Commun.</w:t>
      </w:r>
      <w:r>
        <w:rPr>
          <w:rFonts w:ascii="Times New Roman" w:eastAsia="等线" w:hAnsi="Times New Roman" w:cs="Times New Roman"/>
          <w:sz w:val="24"/>
          <w:szCs w:val="24"/>
          <w:lang w:val="en-GB"/>
        </w:rPr>
        <w:t xml:space="preserve"> 12, 3610 (2021).</w:t>
      </w:r>
    </w:p>
    <w:p w14:paraId="162110FD"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42.</w:t>
      </w:r>
      <w:r>
        <w:rPr>
          <w:rFonts w:ascii="Times New Roman" w:eastAsia="等线" w:hAnsi="Times New Roman" w:cs="Times New Roman"/>
          <w:sz w:val="24"/>
          <w:szCs w:val="24"/>
          <w:lang w:val="en-GB"/>
        </w:rPr>
        <w:tab/>
      </w:r>
      <w:proofErr w:type="spellStart"/>
      <w:r>
        <w:rPr>
          <w:rFonts w:ascii="Times New Roman" w:eastAsia="等线" w:hAnsi="Times New Roman" w:cs="Times New Roman"/>
          <w:sz w:val="24"/>
          <w:szCs w:val="24"/>
          <w:lang w:val="en-GB"/>
        </w:rPr>
        <w:t>Soorani</w:t>
      </w:r>
      <w:proofErr w:type="spellEnd"/>
      <w:r>
        <w:rPr>
          <w:rFonts w:ascii="Times New Roman" w:eastAsia="等线" w:hAnsi="Times New Roman" w:cs="Times New Roman"/>
          <w:sz w:val="24"/>
          <w:szCs w:val="24"/>
          <w:lang w:val="en-GB"/>
        </w:rPr>
        <w:t xml:space="preserve">, M., Anjani, Q. K., </w:t>
      </w:r>
      <w:proofErr w:type="spellStart"/>
      <w:r>
        <w:rPr>
          <w:rFonts w:ascii="Times New Roman" w:eastAsia="等线" w:hAnsi="Times New Roman" w:cs="Times New Roman"/>
          <w:sz w:val="24"/>
          <w:szCs w:val="24"/>
          <w:lang w:val="en-GB"/>
        </w:rPr>
        <w:t>Larrañeta</w:t>
      </w:r>
      <w:proofErr w:type="spellEnd"/>
      <w:r>
        <w:rPr>
          <w:rFonts w:ascii="Times New Roman" w:eastAsia="等线" w:hAnsi="Times New Roman" w:cs="Times New Roman"/>
          <w:sz w:val="24"/>
          <w:szCs w:val="24"/>
          <w:lang w:val="en-GB"/>
        </w:rPr>
        <w:t xml:space="preserve">, E., Donnelly, R. F. &amp; Das, D. B. Modelling insertion behaviour of PVP (Polyvinylpyrrolidone) and PVA (Polyvinyl Alcohol) microneedles. </w:t>
      </w:r>
      <w:r>
        <w:rPr>
          <w:rFonts w:ascii="Times New Roman" w:eastAsia="等线" w:hAnsi="Times New Roman" w:cs="Times New Roman"/>
          <w:i/>
          <w:sz w:val="24"/>
          <w:szCs w:val="24"/>
          <w:lang w:val="en-GB"/>
        </w:rPr>
        <w:t>Int. J. Pharm.</w:t>
      </w:r>
      <w:r>
        <w:rPr>
          <w:rFonts w:ascii="Times New Roman" w:eastAsia="等线" w:hAnsi="Times New Roman" w:cs="Times New Roman"/>
          <w:sz w:val="24"/>
          <w:szCs w:val="24"/>
          <w:lang w:val="en-GB"/>
        </w:rPr>
        <w:t xml:space="preserve"> 664, 124620 (2024).</w:t>
      </w:r>
    </w:p>
    <w:p w14:paraId="0D957435"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43.</w:t>
      </w:r>
      <w:r>
        <w:rPr>
          <w:rFonts w:ascii="Times New Roman" w:eastAsia="等线" w:hAnsi="Times New Roman" w:cs="Times New Roman"/>
          <w:sz w:val="24"/>
          <w:szCs w:val="24"/>
          <w:lang w:val="en-GB"/>
        </w:rPr>
        <w:tab/>
        <w:t xml:space="preserve">Li, X. &amp; Gong, J. P. Design principles for strong and tough hydrogels. </w:t>
      </w:r>
      <w:r>
        <w:rPr>
          <w:rFonts w:ascii="Times New Roman" w:eastAsia="等线" w:hAnsi="Times New Roman" w:cs="Times New Roman"/>
          <w:i/>
          <w:sz w:val="24"/>
          <w:szCs w:val="24"/>
          <w:lang w:val="en-GB"/>
        </w:rPr>
        <w:t>Nat. Rev. Mater.</w:t>
      </w:r>
      <w:r>
        <w:rPr>
          <w:rFonts w:ascii="Times New Roman" w:eastAsia="等线" w:hAnsi="Times New Roman" w:cs="Times New Roman"/>
          <w:sz w:val="24"/>
          <w:szCs w:val="24"/>
          <w:lang w:val="en-GB"/>
        </w:rPr>
        <w:t xml:space="preserve"> 9, 380–398 (2024).</w:t>
      </w:r>
    </w:p>
    <w:p w14:paraId="3997D4DE"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44.</w:t>
      </w:r>
      <w:r>
        <w:rPr>
          <w:rFonts w:ascii="Times New Roman" w:eastAsia="等线" w:hAnsi="Times New Roman" w:cs="Times New Roman"/>
          <w:sz w:val="24"/>
          <w:szCs w:val="24"/>
          <w:lang w:val="en-GB"/>
        </w:rPr>
        <w:tab/>
        <w:t xml:space="preserve">Fang, A. et al. </w:t>
      </w:r>
      <w:proofErr w:type="gramStart"/>
      <w:r>
        <w:rPr>
          <w:rFonts w:ascii="Times New Roman" w:eastAsia="等线" w:hAnsi="Times New Roman" w:cs="Times New Roman"/>
          <w:sz w:val="24"/>
          <w:szCs w:val="24"/>
          <w:lang w:val="en-GB"/>
        </w:rPr>
        <w:t>Porous</w:t>
      </w:r>
      <w:proofErr w:type="gramEnd"/>
      <w:r>
        <w:rPr>
          <w:rFonts w:ascii="Times New Roman" w:eastAsia="等线" w:hAnsi="Times New Roman" w:cs="Times New Roman"/>
          <w:sz w:val="24"/>
          <w:szCs w:val="24"/>
          <w:lang w:val="en-GB"/>
        </w:rPr>
        <w:t xml:space="preserve"> microneedle patch with sustained delivery of extracellular vesicles mitigates severe spinal cord injury. </w:t>
      </w:r>
      <w:r>
        <w:rPr>
          <w:rFonts w:ascii="Times New Roman" w:eastAsia="等线" w:hAnsi="Times New Roman" w:cs="Times New Roman"/>
          <w:i/>
          <w:sz w:val="24"/>
          <w:szCs w:val="24"/>
          <w:lang w:val="en-GB"/>
        </w:rPr>
        <w:t>Nat. Commun.</w:t>
      </w:r>
      <w:r>
        <w:rPr>
          <w:rFonts w:ascii="Times New Roman" w:eastAsia="等线" w:hAnsi="Times New Roman" w:cs="Times New Roman"/>
          <w:sz w:val="24"/>
          <w:szCs w:val="24"/>
          <w:lang w:val="en-GB"/>
        </w:rPr>
        <w:t xml:space="preserve"> 14, 4011 (2023).</w:t>
      </w:r>
    </w:p>
    <w:p w14:paraId="10CE2AA8"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lastRenderedPageBreak/>
        <w:t>45.</w:t>
      </w:r>
      <w:r>
        <w:rPr>
          <w:rFonts w:ascii="Times New Roman" w:eastAsia="等线" w:hAnsi="Times New Roman" w:cs="Times New Roman"/>
          <w:sz w:val="24"/>
          <w:szCs w:val="24"/>
          <w:lang w:val="en-GB"/>
        </w:rPr>
        <w:tab/>
        <w:t xml:space="preserve">Yang, B. et al. Recapitulating hypoxic metabolism in cartilaginous organoids via adaptive cell-matrix interactions enhances histone </w:t>
      </w:r>
      <w:proofErr w:type="spellStart"/>
      <w:r>
        <w:rPr>
          <w:rFonts w:ascii="Times New Roman" w:eastAsia="等线" w:hAnsi="Times New Roman" w:cs="Times New Roman"/>
          <w:sz w:val="24"/>
          <w:szCs w:val="24"/>
          <w:lang w:val="en-GB"/>
        </w:rPr>
        <w:t>lactylation</w:t>
      </w:r>
      <w:proofErr w:type="spellEnd"/>
      <w:r>
        <w:rPr>
          <w:rFonts w:ascii="Times New Roman" w:eastAsia="等线" w:hAnsi="Times New Roman" w:cs="Times New Roman"/>
          <w:sz w:val="24"/>
          <w:szCs w:val="24"/>
          <w:lang w:val="en-GB"/>
        </w:rPr>
        <w:t xml:space="preserve"> and cartilage regeneration. </w:t>
      </w:r>
      <w:r>
        <w:rPr>
          <w:rFonts w:ascii="Times New Roman" w:eastAsia="等线" w:hAnsi="Times New Roman" w:cs="Times New Roman"/>
          <w:i/>
          <w:sz w:val="24"/>
          <w:szCs w:val="24"/>
          <w:lang w:val="en-GB"/>
        </w:rPr>
        <w:t>Nat. Commun.</w:t>
      </w:r>
      <w:r>
        <w:rPr>
          <w:rFonts w:ascii="Times New Roman" w:eastAsia="等线" w:hAnsi="Times New Roman" w:cs="Times New Roman"/>
          <w:sz w:val="24"/>
          <w:szCs w:val="24"/>
          <w:lang w:val="en-GB"/>
        </w:rPr>
        <w:t xml:space="preserve"> 16, 2711 (2025).</w:t>
      </w:r>
    </w:p>
    <w:p w14:paraId="504738FC"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46.</w:t>
      </w:r>
      <w:r>
        <w:rPr>
          <w:rFonts w:ascii="Times New Roman" w:eastAsia="等线" w:hAnsi="Times New Roman" w:cs="Times New Roman"/>
          <w:sz w:val="24"/>
          <w:szCs w:val="24"/>
          <w:lang w:val="en-GB"/>
        </w:rPr>
        <w:tab/>
        <w:t xml:space="preserve">Huan, Z. et al. Injectable self-healing hydrogels loaded with islet-integrated microfiber scaffolds for islet transplantation in diabetes mellitus. </w:t>
      </w:r>
      <w:r>
        <w:rPr>
          <w:rFonts w:ascii="Times New Roman" w:eastAsia="等线" w:hAnsi="Times New Roman" w:cs="Times New Roman"/>
          <w:i/>
          <w:sz w:val="24"/>
          <w:szCs w:val="24"/>
          <w:lang w:val="en-GB"/>
        </w:rPr>
        <w:t>Sci. Bull.</w:t>
      </w:r>
      <w:r>
        <w:rPr>
          <w:rFonts w:ascii="Times New Roman" w:eastAsia="等线" w:hAnsi="Times New Roman" w:cs="Times New Roman"/>
          <w:sz w:val="24"/>
          <w:szCs w:val="24"/>
          <w:lang w:val="en-GB"/>
        </w:rPr>
        <w:t xml:space="preserve"> https://doi.org/10.1016/j.scib.2025.06.016 (2025).</w:t>
      </w:r>
    </w:p>
    <w:p w14:paraId="57620019"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47.</w:t>
      </w:r>
      <w:r>
        <w:rPr>
          <w:rFonts w:ascii="Times New Roman" w:eastAsia="等线" w:hAnsi="Times New Roman" w:cs="Times New Roman"/>
          <w:sz w:val="24"/>
          <w:szCs w:val="24"/>
          <w:lang w:val="en-GB"/>
        </w:rPr>
        <w:tab/>
        <w:t xml:space="preserve">Gupta, D., Zickler, A. M. &amp; El </w:t>
      </w:r>
      <w:proofErr w:type="spellStart"/>
      <w:r>
        <w:rPr>
          <w:rFonts w:ascii="Times New Roman" w:eastAsia="等线" w:hAnsi="Times New Roman" w:cs="Times New Roman"/>
          <w:sz w:val="24"/>
          <w:szCs w:val="24"/>
          <w:lang w:val="en-GB"/>
        </w:rPr>
        <w:t>Andaloussi</w:t>
      </w:r>
      <w:proofErr w:type="spellEnd"/>
      <w:r>
        <w:rPr>
          <w:rFonts w:ascii="Times New Roman" w:eastAsia="等线" w:hAnsi="Times New Roman" w:cs="Times New Roman"/>
          <w:sz w:val="24"/>
          <w:szCs w:val="24"/>
          <w:lang w:val="en-GB"/>
        </w:rPr>
        <w:t xml:space="preserve">, S. Dosing extracellular vesicles. </w:t>
      </w:r>
      <w:r>
        <w:rPr>
          <w:rFonts w:ascii="Times New Roman" w:eastAsia="等线" w:hAnsi="Times New Roman" w:cs="Times New Roman"/>
          <w:i/>
          <w:sz w:val="24"/>
          <w:szCs w:val="24"/>
          <w:lang w:val="en-GB"/>
        </w:rPr>
        <w:t>Adv. Drug Deliv. Rev.</w:t>
      </w:r>
      <w:r>
        <w:rPr>
          <w:rFonts w:ascii="Times New Roman" w:eastAsia="等线" w:hAnsi="Times New Roman" w:cs="Times New Roman"/>
          <w:sz w:val="24"/>
          <w:szCs w:val="24"/>
          <w:lang w:val="en-GB"/>
        </w:rPr>
        <w:t xml:space="preserve"> 178, 113961 (2021).</w:t>
      </w:r>
    </w:p>
    <w:p w14:paraId="65AAB624"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48.</w:t>
      </w:r>
      <w:r>
        <w:rPr>
          <w:rFonts w:ascii="Times New Roman" w:eastAsia="等线" w:hAnsi="Times New Roman" w:cs="Times New Roman"/>
          <w:sz w:val="24"/>
          <w:szCs w:val="24"/>
          <w:lang w:val="en-GB"/>
        </w:rPr>
        <w:tab/>
        <w:t xml:space="preserve">Wang, J. et al. Exosome-hydrogel system in bone tissue engineering: a promising therapeutic strategy. </w:t>
      </w:r>
      <w:proofErr w:type="spellStart"/>
      <w:r>
        <w:rPr>
          <w:rFonts w:ascii="Times New Roman" w:eastAsia="等线" w:hAnsi="Times New Roman" w:cs="Times New Roman"/>
          <w:i/>
          <w:sz w:val="24"/>
          <w:szCs w:val="24"/>
          <w:lang w:val="en-GB"/>
        </w:rPr>
        <w:t>Macromol</w:t>
      </w:r>
      <w:proofErr w:type="spellEnd"/>
      <w:r>
        <w:rPr>
          <w:rFonts w:ascii="Times New Roman" w:eastAsia="等线" w:hAnsi="Times New Roman" w:cs="Times New Roman"/>
          <w:i/>
          <w:sz w:val="24"/>
          <w:szCs w:val="24"/>
          <w:lang w:val="en-GB"/>
        </w:rPr>
        <w:t xml:space="preserve">. </w:t>
      </w:r>
      <w:proofErr w:type="spellStart"/>
      <w:r>
        <w:rPr>
          <w:rFonts w:ascii="Times New Roman" w:eastAsia="等线" w:hAnsi="Times New Roman" w:cs="Times New Roman"/>
          <w:i/>
          <w:sz w:val="24"/>
          <w:szCs w:val="24"/>
          <w:lang w:val="en-GB"/>
        </w:rPr>
        <w:t>Biosci</w:t>
      </w:r>
      <w:proofErr w:type="spellEnd"/>
      <w:r>
        <w:rPr>
          <w:rFonts w:ascii="Times New Roman" w:eastAsia="等线" w:hAnsi="Times New Roman" w:cs="Times New Roman"/>
          <w:i/>
          <w:sz w:val="24"/>
          <w:szCs w:val="24"/>
          <w:lang w:val="en-GB"/>
        </w:rPr>
        <w:t>.</w:t>
      </w:r>
      <w:r>
        <w:rPr>
          <w:rFonts w:ascii="Times New Roman" w:eastAsia="等线" w:hAnsi="Times New Roman" w:cs="Times New Roman"/>
          <w:sz w:val="24"/>
          <w:szCs w:val="24"/>
          <w:lang w:val="en-GB"/>
        </w:rPr>
        <w:t xml:space="preserve"> 23, e2200496 (2023).</w:t>
      </w:r>
    </w:p>
    <w:p w14:paraId="611A74F8"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49.</w:t>
      </w:r>
      <w:r>
        <w:rPr>
          <w:rFonts w:ascii="Times New Roman" w:eastAsia="等线" w:hAnsi="Times New Roman" w:cs="Times New Roman"/>
          <w:sz w:val="24"/>
          <w:szCs w:val="24"/>
          <w:lang w:val="en-GB"/>
        </w:rPr>
        <w:tab/>
        <w:t xml:space="preserve">Fan, M. H. et al. Hydrogel-exosome system in tissue engineering: a promising therapeutic strategy. </w:t>
      </w:r>
      <w:proofErr w:type="spellStart"/>
      <w:r>
        <w:rPr>
          <w:rFonts w:ascii="Times New Roman" w:eastAsia="等线" w:hAnsi="Times New Roman" w:cs="Times New Roman"/>
          <w:i/>
          <w:sz w:val="24"/>
          <w:szCs w:val="24"/>
          <w:lang w:val="en-GB"/>
        </w:rPr>
        <w:t>Bioact</w:t>
      </w:r>
      <w:proofErr w:type="spellEnd"/>
      <w:r>
        <w:rPr>
          <w:rFonts w:ascii="Times New Roman" w:eastAsia="等线" w:hAnsi="Times New Roman" w:cs="Times New Roman"/>
          <w:i/>
          <w:sz w:val="24"/>
          <w:szCs w:val="24"/>
          <w:lang w:val="en-GB"/>
        </w:rPr>
        <w:t>. Mater.</w:t>
      </w:r>
      <w:r>
        <w:rPr>
          <w:rFonts w:ascii="Times New Roman" w:eastAsia="等线" w:hAnsi="Times New Roman" w:cs="Times New Roman"/>
          <w:sz w:val="24"/>
          <w:szCs w:val="24"/>
          <w:lang w:val="en-GB"/>
        </w:rPr>
        <w:t xml:space="preserve"> 38, 1–30 (2024).</w:t>
      </w:r>
    </w:p>
    <w:p w14:paraId="4F062B87"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50.</w:t>
      </w:r>
      <w:r>
        <w:rPr>
          <w:rFonts w:ascii="Times New Roman" w:eastAsia="等线" w:hAnsi="Times New Roman" w:cs="Times New Roman"/>
          <w:sz w:val="24"/>
          <w:szCs w:val="24"/>
          <w:lang w:val="en-GB"/>
        </w:rPr>
        <w:tab/>
        <w:t xml:space="preserve">Pan, S. et al. Multifunctional injectable hydrogel microparticles loaded with miR-29a abundant BMSCs derived exosomes enhanced bone regeneration by regulating osteogenesis and angiogenesis. </w:t>
      </w:r>
      <w:r>
        <w:rPr>
          <w:rFonts w:ascii="Times New Roman" w:eastAsia="等线" w:hAnsi="Times New Roman" w:cs="Times New Roman"/>
          <w:i/>
          <w:sz w:val="24"/>
          <w:szCs w:val="24"/>
          <w:lang w:val="en-GB"/>
        </w:rPr>
        <w:t>Small.</w:t>
      </w:r>
      <w:r>
        <w:rPr>
          <w:rFonts w:ascii="Times New Roman" w:eastAsia="等线" w:hAnsi="Times New Roman" w:cs="Times New Roman"/>
          <w:sz w:val="24"/>
          <w:szCs w:val="24"/>
          <w:lang w:val="en-GB"/>
        </w:rPr>
        <w:t xml:space="preserve"> 20, 2306721 (2024).</w:t>
      </w:r>
    </w:p>
    <w:p w14:paraId="3AC0C74A"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51.</w:t>
      </w:r>
      <w:r>
        <w:rPr>
          <w:rFonts w:ascii="Times New Roman" w:eastAsia="等线" w:hAnsi="Times New Roman" w:cs="Times New Roman"/>
          <w:sz w:val="24"/>
          <w:szCs w:val="24"/>
          <w:lang w:val="en-GB"/>
        </w:rPr>
        <w:tab/>
        <w:t xml:space="preserve">Huang, J., Rauscher, S., Nawrocki, G., Ran, T., &amp; Mackerell, A. D. Charmm36m: an improved force field for folded and intrinsically disordered proteins. </w:t>
      </w:r>
      <w:proofErr w:type="spellStart"/>
      <w:r>
        <w:rPr>
          <w:rFonts w:ascii="Times New Roman" w:eastAsia="等线" w:hAnsi="Times New Roman" w:cs="Times New Roman"/>
          <w:i/>
          <w:iCs/>
          <w:sz w:val="24"/>
          <w:szCs w:val="24"/>
          <w:lang w:val="en-GB"/>
        </w:rPr>
        <w:t>Biophys</w:t>
      </w:r>
      <w:proofErr w:type="spellEnd"/>
      <w:r>
        <w:rPr>
          <w:rFonts w:ascii="Times New Roman" w:eastAsia="等线" w:hAnsi="Times New Roman" w:cs="Times New Roman"/>
          <w:i/>
          <w:iCs/>
          <w:sz w:val="24"/>
          <w:szCs w:val="24"/>
          <w:lang w:val="en-GB"/>
        </w:rPr>
        <w:t>. J.</w:t>
      </w:r>
      <w:r>
        <w:rPr>
          <w:rFonts w:ascii="Times New Roman" w:eastAsia="等线" w:hAnsi="Times New Roman" w:cs="Times New Roman"/>
          <w:sz w:val="24"/>
          <w:szCs w:val="24"/>
          <w:lang w:val="en-GB"/>
        </w:rPr>
        <w:t xml:space="preserve"> 112, 175–176 (2017).</w:t>
      </w:r>
    </w:p>
    <w:p w14:paraId="10AA3548"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52.</w:t>
      </w:r>
      <w:r>
        <w:rPr>
          <w:rFonts w:ascii="Times New Roman" w:eastAsia="等线" w:hAnsi="Times New Roman" w:cs="Times New Roman"/>
          <w:sz w:val="24"/>
          <w:szCs w:val="24"/>
          <w:lang w:val="en-GB"/>
        </w:rPr>
        <w:tab/>
        <w:t xml:space="preserve">Humphrey, W., Dalke, A., &amp; Schulten, K. </w:t>
      </w:r>
      <w:proofErr w:type="spellStart"/>
      <w:r>
        <w:rPr>
          <w:rFonts w:ascii="Times New Roman" w:eastAsia="等线" w:hAnsi="Times New Roman" w:cs="Times New Roman"/>
          <w:sz w:val="24"/>
          <w:szCs w:val="24"/>
          <w:lang w:val="en-GB"/>
        </w:rPr>
        <w:t>Vmd</w:t>
      </w:r>
      <w:proofErr w:type="spellEnd"/>
      <w:r>
        <w:rPr>
          <w:rFonts w:ascii="Times New Roman" w:eastAsia="等线" w:hAnsi="Times New Roman" w:cs="Times New Roman"/>
          <w:sz w:val="24"/>
          <w:szCs w:val="24"/>
          <w:lang w:val="en-GB"/>
        </w:rPr>
        <w:t xml:space="preserve">: visual molecular dynamics. </w:t>
      </w:r>
      <w:r>
        <w:rPr>
          <w:rFonts w:ascii="Times New Roman" w:eastAsia="等线" w:hAnsi="Times New Roman" w:cs="Times New Roman"/>
          <w:i/>
          <w:iCs/>
          <w:sz w:val="24"/>
          <w:szCs w:val="24"/>
          <w:lang w:val="en-GB"/>
        </w:rPr>
        <w:t>J. mol. graph.</w:t>
      </w:r>
      <w:r>
        <w:rPr>
          <w:rFonts w:ascii="Times New Roman" w:eastAsia="等线" w:hAnsi="Times New Roman" w:cs="Times New Roman"/>
          <w:sz w:val="24"/>
          <w:szCs w:val="24"/>
          <w:lang w:val="en-GB"/>
        </w:rPr>
        <w:t xml:space="preserve"> 14, 33–38 (1996).</w:t>
      </w:r>
    </w:p>
    <w:p w14:paraId="6CCAC500"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53.</w:t>
      </w:r>
      <w:r>
        <w:rPr>
          <w:rFonts w:ascii="Times New Roman" w:eastAsia="等线" w:hAnsi="Times New Roman" w:cs="Times New Roman"/>
          <w:sz w:val="24"/>
          <w:szCs w:val="24"/>
          <w:lang w:val="en-GB"/>
        </w:rPr>
        <w:tab/>
        <w:t xml:space="preserve">Abraham, M. J. et. al. GROMACS: High performance molecular simulations through multi-level parallelism from laptops to supercomputers. </w:t>
      </w:r>
      <w:proofErr w:type="spellStart"/>
      <w:r>
        <w:rPr>
          <w:rFonts w:ascii="Times New Roman" w:eastAsia="等线" w:hAnsi="Times New Roman" w:cs="Times New Roman"/>
          <w:i/>
          <w:iCs/>
          <w:sz w:val="24"/>
          <w:szCs w:val="24"/>
          <w:lang w:val="en-GB"/>
        </w:rPr>
        <w:t>SoftwareX</w:t>
      </w:r>
      <w:proofErr w:type="spellEnd"/>
      <w:r>
        <w:rPr>
          <w:rFonts w:ascii="Times New Roman" w:eastAsia="等线" w:hAnsi="Times New Roman" w:cs="Times New Roman"/>
          <w:i/>
          <w:iCs/>
          <w:sz w:val="24"/>
          <w:szCs w:val="24"/>
          <w:lang w:val="en-GB"/>
        </w:rPr>
        <w:t>.</w:t>
      </w:r>
      <w:r>
        <w:rPr>
          <w:rFonts w:ascii="Times New Roman" w:eastAsia="等线" w:hAnsi="Times New Roman" w:cs="Times New Roman"/>
          <w:sz w:val="24"/>
          <w:szCs w:val="24"/>
          <w:lang w:val="en-GB"/>
        </w:rPr>
        <w:t xml:space="preserve"> 1–</w:t>
      </w:r>
      <w:r>
        <w:rPr>
          <w:rFonts w:ascii="Times New Roman" w:eastAsia="等线" w:hAnsi="Times New Roman" w:cs="Times New Roman"/>
          <w:sz w:val="24"/>
          <w:szCs w:val="24"/>
          <w:lang w:val="en-GB"/>
        </w:rPr>
        <w:lastRenderedPageBreak/>
        <w:t>2, 19–25 (2015).</w:t>
      </w:r>
    </w:p>
    <w:p w14:paraId="39F47388"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54.</w:t>
      </w:r>
      <w:r>
        <w:rPr>
          <w:rFonts w:ascii="Times New Roman" w:eastAsia="等线" w:hAnsi="Times New Roman" w:cs="Times New Roman"/>
          <w:sz w:val="24"/>
          <w:szCs w:val="24"/>
          <w:lang w:val="en-GB"/>
        </w:rPr>
        <w:tab/>
      </w:r>
      <w:proofErr w:type="spellStart"/>
      <w:r>
        <w:rPr>
          <w:rFonts w:ascii="Times New Roman" w:eastAsia="等线" w:hAnsi="Times New Roman" w:cs="Times New Roman"/>
          <w:sz w:val="24"/>
          <w:szCs w:val="24"/>
          <w:lang w:val="en-GB"/>
        </w:rPr>
        <w:t>Canongia</w:t>
      </w:r>
      <w:proofErr w:type="spellEnd"/>
      <w:r>
        <w:rPr>
          <w:rFonts w:ascii="Times New Roman" w:eastAsia="等线" w:hAnsi="Times New Roman" w:cs="Times New Roman"/>
          <w:sz w:val="24"/>
          <w:szCs w:val="24"/>
          <w:lang w:val="en-GB"/>
        </w:rPr>
        <w:t xml:space="preserve"> Lopes, J.N., &amp; Pádua, A.A.H. CL&amp;P: A generic and systematic force field for ionic liquids </w:t>
      </w:r>
      <w:proofErr w:type="spellStart"/>
      <w:r>
        <w:rPr>
          <w:rFonts w:ascii="Times New Roman" w:eastAsia="等线" w:hAnsi="Times New Roman" w:cs="Times New Roman"/>
          <w:sz w:val="24"/>
          <w:szCs w:val="24"/>
          <w:lang w:val="en-GB"/>
        </w:rPr>
        <w:t>modeling</w:t>
      </w:r>
      <w:proofErr w:type="spellEnd"/>
      <w:r>
        <w:rPr>
          <w:rFonts w:ascii="Times New Roman" w:eastAsia="等线" w:hAnsi="Times New Roman" w:cs="Times New Roman"/>
          <w:sz w:val="24"/>
          <w:szCs w:val="24"/>
          <w:lang w:val="en-GB"/>
        </w:rPr>
        <w:t xml:space="preserve">. </w:t>
      </w:r>
      <w:r>
        <w:rPr>
          <w:rFonts w:ascii="Times New Roman" w:eastAsia="等线" w:hAnsi="Times New Roman" w:cs="Times New Roman"/>
          <w:i/>
          <w:iCs/>
          <w:sz w:val="24"/>
          <w:szCs w:val="24"/>
          <w:lang w:val="en-GB"/>
        </w:rPr>
        <w:t>Theor. Chem. Acc.</w:t>
      </w:r>
      <w:r>
        <w:rPr>
          <w:rFonts w:ascii="Times New Roman" w:eastAsia="等线" w:hAnsi="Times New Roman" w:cs="Times New Roman"/>
          <w:sz w:val="24"/>
          <w:szCs w:val="24"/>
          <w:lang w:val="en-GB"/>
        </w:rPr>
        <w:t xml:space="preserve"> 131, 1129 (2012).</w:t>
      </w:r>
    </w:p>
    <w:p w14:paraId="7200FCD9"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55.</w:t>
      </w:r>
      <w:r>
        <w:rPr>
          <w:rFonts w:ascii="Times New Roman" w:eastAsia="等线" w:hAnsi="Times New Roman" w:cs="Times New Roman"/>
          <w:sz w:val="24"/>
          <w:szCs w:val="24"/>
          <w:lang w:val="en-GB"/>
        </w:rPr>
        <w:tab/>
        <w:t xml:space="preserve">Izadi S, &amp; </w:t>
      </w:r>
      <w:proofErr w:type="spellStart"/>
      <w:r>
        <w:rPr>
          <w:rFonts w:ascii="Times New Roman" w:eastAsia="等线" w:hAnsi="Times New Roman" w:cs="Times New Roman"/>
          <w:sz w:val="24"/>
          <w:szCs w:val="24"/>
          <w:lang w:val="en-GB"/>
        </w:rPr>
        <w:t>Onufriev</w:t>
      </w:r>
      <w:proofErr w:type="spellEnd"/>
      <w:r>
        <w:rPr>
          <w:rFonts w:ascii="Times New Roman" w:eastAsia="等线" w:hAnsi="Times New Roman" w:cs="Times New Roman"/>
          <w:sz w:val="24"/>
          <w:szCs w:val="24"/>
          <w:lang w:val="en-GB"/>
        </w:rPr>
        <w:t xml:space="preserve"> A. V. Accuracy limit of rigid 3-point water models. </w:t>
      </w:r>
      <w:r>
        <w:rPr>
          <w:rFonts w:ascii="Times New Roman" w:eastAsia="等线" w:hAnsi="Times New Roman" w:cs="Times New Roman"/>
          <w:i/>
          <w:iCs/>
          <w:sz w:val="24"/>
          <w:szCs w:val="24"/>
          <w:lang w:val="en-GB"/>
        </w:rPr>
        <w:t>J. Chem. Phys.</w:t>
      </w:r>
      <w:r>
        <w:rPr>
          <w:rFonts w:ascii="Times New Roman" w:eastAsia="等线" w:hAnsi="Times New Roman" w:cs="Times New Roman"/>
          <w:sz w:val="24"/>
          <w:szCs w:val="24"/>
          <w:lang w:val="en-GB"/>
        </w:rPr>
        <w:t xml:space="preserve"> 145, 074501 (2016).</w:t>
      </w:r>
    </w:p>
    <w:p w14:paraId="2AF105DF"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56.</w:t>
      </w:r>
      <w:r>
        <w:rPr>
          <w:rFonts w:ascii="Times New Roman" w:eastAsia="等线" w:hAnsi="Times New Roman" w:cs="Times New Roman"/>
          <w:sz w:val="24"/>
          <w:szCs w:val="24"/>
          <w:lang w:val="en-GB"/>
        </w:rPr>
        <w:tab/>
        <w:t xml:space="preserve">Bussi, G., Donadio, D., &amp; Parrinello, M. Canonical sampling through velocity rescaling. </w:t>
      </w:r>
      <w:r>
        <w:rPr>
          <w:rFonts w:ascii="Times New Roman" w:eastAsia="等线" w:hAnsi="Times New Roman" w:cs="Times New Roman"/>
          <w:i/>
          <w:iCs/>
          <w:sz w:val="24"/>
          <w:szCs w:val="24"/>
          <w:lang w:val="en-GB"/>
        </w:rPr>
        <w:t>J. Chem. Phys.</w:t>
      </w:r>
      <w:r>
        <w:rPr>
          <w:rFonts w:ascii="Times New Roman" w:eastAsia="等线" w:hAnsi="Times New Roman" w:cs="Times New Roman"/>
          <w:sz w:val="24"/>
          <w:szCs w:val="24"/>
          <w:lang w:val="en-GB"/>
        </w:rPr>
        <w:t xml:space="preserve"> 1, 014101 (2007).</w:t>
      </w:r>
    </w:p>
    <w:p w14:paraId="7B7B0B5C"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57.</w:t>
      </w:r>
      <w:r>
        <w:rPr>
          <w:rFonts w:ascii="Times New Roman" w:eastAsia="等线" w:hAnsi="Times New Roman" w:cs="Times New Roman"/>
          <w:sz w:val="24"/>
          <w:szCs w:val="24"/>
          <w:lang w:val="en-GB"/>
        </w:rPr>
        <w:tab/>
        <w:t xml:space="preserve">Berendsen, H. J. C. P., Postma, J. P. M. V., Gunsteren, W. F. V., Dinola, A. D., &amp; Haak, J. R. Molecular-dynamics with coupling to an external bath. </w:t>
      </w:r>
      <w:r>
        <w:rPr>
          <w:rFonts w:ascii="Times New Roman" w:eastAsia="等线" w:hAnsi="Times New Roman" w:cs="Times New Roman"/>
          <w:i/>
          <w:iCs/>
          <w:sz w:val="24"/>
          <w:szCs w:val="24"/>
          <w:lang w:val="en-GB"/>
        </w:rPr>
        <w:t>J Chem Phys.</w:t>
      </w:r>
      <w:r>
        <w:rPr>
          <w:rFonts w:ascii="Times New Roman" w:eastAsia="等线" w:hAnsi="Times New Roman" w:cs="Times New Roman"/>
          <w:sz w:val="24"/>
          <w:szCs w:val="24"/>
          <w:lang w:val="en-GB"/>
        </w:rPr>
        <w:t xml:space="preserve"> 81, 3684 (1984).</w:t>
      </w:r>
    </w:p>
    <w:p w14:paraId="3A6FAFF9"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58.</w:t>
      </w:r>
      <w:r>
        <w:rPr>
          <w:rFonts w:ascii="Times New Roman" w:eastAsia="等线" w:hAnsi="Times New Roman" w:cs="Times New Roman"/>
          <w:sz w:val="24"/>
          <w:szCs w:val="24"/>
          <w:lang w:val="en-GB"/>
        </w:rPr>
        <w:tab/>
        <w:t xml:space="preserve">Darden, T., York, D., &amp; Pedersen, L. Particle mesh Ewald: An </w:t>
      </w:r>
      <w:proofErr w:type="spellStart"/>
      <w:r>
        <w:rPr>
          <w:rFonts w:ascii="Times New Roman" w:eastAsia="等线" w:hAnsi="Times New Roman" w:cs="Times New Roman"/>
          <w:sz w:val="24"/>
          <w:szCs w:val="24"/>
          <w:lang w:val="en-GB"/>
        </w:rPr>
        <w:t>Nlog</w:t>
      </w:r>
      <w:proofErr w:type="spellEnd"/>
      <w:r>
        <w:rPr>
          <w:rFonts w:ascii="Times New Roman" w:eastAsia="等线" w:hAnsi="Times New Roman" w:cs="Times New Roman"/>
          <w:sz w:val="24"/>
          <w:szCs w:val="24"/>
          <w:lang w:val="en-GB"/>
        </w:rPr>
        <w:t xml:space="preserve">(N) method for Ewald sums in large systems. </w:t>
      </w:r>
      <w:r>
        <w:rPr>
          <w:rFonts w:ascii="Times New Roman" w:eastAsia="等线" w:hAnsi="Times New Roman" w:cs="Times New Roman"/>
          <w:i/>
          <w:iCs/>
          <w:sz w:val="24"/>
          <w:szCs w:val="24"/>
          <w:lang w:val="en-GB"/>
        </w:rPr>
        <w:t>J. Chem. Phys.</w:t>
      </w:r>
      <w:r>
        <w:rPr>
          <w:rFonts w:ascii="Times New Roman" w:eastAsia="等线" w:hAnsi="Times New Roman" w:cs="Times New Roman"/>
          <w:sz w:val="24"/>
          <w:szCs w:val="24"/>
          <w:lang w:val="en-GB"/>
        </w:rPr>
        <w:t xml:space="preserve"> 12, 10089–10092 (1993).</w:t>
      </w:r>
    </w:p>
    <w:p w14:paraId="69BEBE7E" w14:textId="77777777" w:rsidR="00155631" w:rsidRDefault="00000000" w:rsidP="005E6F8D">
      <w:pPr>
        <w:spacing w:line="480" w:lineRule="auto"/>
        <w:ind w:left="720" w:hanging="720"/>
        <w:contextualSpacing/>
        <w:rPr>
          <w:rFonts w:ascii="Times New Roman" w:eastAsia="等线" w:hAnsi="Times New Roman" w:cs="Times New Roman"/>
          <w:sz w:val="24"/>
          <w:szCs w:val="24"/>
          <w:lang w:val="en-GB"/>
        </w:rPr>
      </w:pPr>
      <w:r>
        <w:rPr>
          <w:rFonts w:ascii="Times New Roman" w:eastAsia="等线" w:hAnsi="Times New Roman" w:cs="Times New Roman"/>
          <w:sz w:val="24"/>
          <w:szCs w:val="24"/>
          <w:lang w:val="en-GB"/>
        </w:rPr>
        <w:t>59.</w:t>
      </w:r>
      <w:r>
        <w:rPr>
          <w:rFonts w:ascii="Times New Roman" w:eastAsia="等线" w:hAnsi="Times New Roman" w:cs="Times New Roman"/>
          <w:sz w:val="24"/>
          <w:szCs w:val="24"/>
          <w:lang w:val="en-GB"/>
        </w:rPr>
        <w:tab/>
        <w:t xml:space="preserve">Chen, J. et al. Mesenchymal stem cell-derived exosomes protect beta cells against hypoxia-induced apoptosis via miR-21 by alleviating ER stress and inhibiting p38 MAPK phosphorylation. </w:t>
      </w:r>
      <w:r>
        <w:rPr>
          <w:rFonts w:ascii="Times New Roman" w:eastAsia="等线" w:hAnsi="Times New Roman" w:cs="Times New Roman"/>
          <w:i/>
          <w:iCs/>
          <w:sz w:val="24"/>
          <w:szCs w:val="24"/>
          <w:lang w:val="en-GB"/>
        </w:rPr>
        <w:t>Stem Cell Res &amp; Ther.</w:t>
      </w:r>
      <w:r>
        <w:rPr>
          <w:rFonts w:ascii="Times New Roman" w:eastAsia="等线" w:hAnsi="Times New Roman" w:cs="Times New Roman"/>
          <w:sz w:val="24"/>
          <w:szCs w:val="24"/>
          <w:lang w:val="en-GB"/>
        </w:rPr>
        <w:t xml:space="preserve"> 11, 97 (2020).</w:t>
      </w:r>
    </w:p>
    <w:p w14:paraId="559EDC36" w14:textId="77777777" w:rsidR="00155631" w:rsidRDefault="00000000" w:rsidP="005E6F8D">
      <w:pPr>
        <w:widowControl/>
        <w:rPr>
          <w:rFonts w:ascii="Times New Roman" w:eastAsia="宋体" w:hAnsi="Times New Roman" w:cs="Times New Roman"/>
          <w:szCs w:val="21"/>
        </w:rPr>
      </w:pPr>
      <w:r>
        <w:rPr>
          <w:rFonts w:ascii="Times New Roman" w:eastAsia="宋体" w:hAnsi="Times New Roman" w:cs="Times New Roman"/>
          <w:szCs w:val="21"/>
        </w:rPr>
        <w:br w:type="page"/>
      </w:r>
    </w:p>
    <w:p w14:paraId="4A72E7CC" w14:textId="2E852686" w:rsidR="00155631" w:rsidRDefault="00000000" w:rsidP="005E6F8D">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 xml:space="preserve">Supplementary </w:t>
      </w:r>
      <w:r w:rsidR="0077603E">
        <w:rPr>
          <w:rFonts w:ascii="Times New Roman" w:eastAsia="宋体" w:hAnsi="Times New Roman" w:cs="Times New Roman" w:hint="eastAsia"/>
          <w:b/>
          <w:bCs/>
          <w:sz w:val="24"/>
          <w:szCs w:val="24"/>
        </w:rPr>
        <w:t>Video</w:t>
      </w:r>
      <w:r>
        <w:rPr>
          <w:rFonts w:ascii="Times New Roman" w:eastAsia="宋体" w:hAnsi="Times New Roman" w:cs="Times New Roman"/>
          <w:b/>
          <w:bCs/>
          <w:sz w:val="24"/>
          <w:szCs w:val="24"/>
        </w:rPr>
        <w:t>s</w:t>
      </w:r>
    </w:p>
    <w:p w14:paraId="35335154" w14:textId="77777777"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1.</w:t>
      </w:r>
      <w:r>
        <w:rPr>
          <w:rFonts w:ascii="Times New Roman" w:eastAsia="宋体" w:hAnsi="Times New Roman" w:cs="Times New Roman"/>
          <w:sz w:val="24"/>
          <w:szCs w:val="24"/>
        </w:rPr>
        <w:t xml:space="preserve"> The tensile properties (ultra-high strain stretching) of PSM with</w:t>
      </w:r>
      <w:r>
        <w:rPr>
          <w:rFonts w:ascii="Times New Roman" w:hAnsi="Times New Roman" w:cs="Times New Roman"/>
          <w:sz w:val="24"/>
          <w:szCs w:val="24"/>
        </w:rPr>
        <w:t xml:space="preserve"> </w:t>
      </w:r>
      <w:r>
        <w:rPr>
          <w:rFonts w:ascii="Times New Roman" w:eastAsia="宋体" w:hAnsi="Times New Roman" w:cs="Times New Roman"/>
          <w:sz w:val="24"/>
          <w:szCs w:val="24"/>
        </w:rPr>
        <w:t>concentration regulation</w:t>
      </w:r>
      <w:r>
        <w:rPr>
          <w:rFonts w:ascii="Times New Roman" w:eastAsia="宋体" w:hAnsi="Times New Roman" w:cs="Times New Roman"/>
          <w:sz w:val="24"/>
          <w:szCs w:val="24"/>
        </w:rPr>
        <w:t>（</w:t>
      </w:r>
      <w:r>
        <w:rPr>
          <w:rFonts w:ascii="Times New Roman" w:eastAsia="宋体" w:hAnsi="Times New Roman" w:cs="Times New Roman"/>
          <w:sz w:val="24"/>
          <w:szCs w:val="24"/>
        </w:rPr>
        <w:t>6M → 2M</w:t>
      </w:r>
      <w:r>
        <w:rPr>
          <w:rFonts w:ascii="Times New Roman" w:eastAsia="宋体" w:hAnsi="Times New Roman" w:cs="Times New Roman"/>
          <w:sz w:val="24"/>
          <w:szCs w:val="24"/>
        </w:rPr>
        <w:t>）</w:t>
      </w:r>
    </w:p>
    <w:p w14:paraId="0CC3E3A7" w14:textId="77777777"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2.</w:t>
      </w:r>
      <w:r>
        <w:rPr>
          <w:rFonts w:ascii="Times New Roman" w:eastAsia="宋体" w:hAnsi="Times New Roman" w:cs="Times New Roman"/>
          <w:sz w:val="24"/>
          <w:szCs w:val="24"/>
        </w:rPr>
        <w:t xml:space="preserve"> The tensile properties (reversible stretching) of PSM with</w:t>
      </w:r>
      <w:r>
        <w:rPr>
          <w:rFonts w:ascii="Times New Roman" w:hAnsi="Times New Roman" w:cs="Times New Roman"/>
          <w:sz w:val="24"/>
          <w:szCs w:val="24"/>
        </w:rPr>
        <w:t xml:space="preserve"> </w:t>
      </w:r>
      <w:r>
        <w:rPr>
          <w:rFonts w:ascii="Times New Roman" w:eastAsia="宋体" w:hAnsi="Times New Roman" w:cs="Times New Roman"/>
          <w:sz w:val="24"/>
          <w:szCs w:val="24"/>
        </w:rPr>
        <w:t>concentration regulation</w:t>
      </w:r>
      <w:r>
        <w:rPr>
          <w:rFonts w:ascii="Times New Roman" w:eastAsia="宋体" w:hAnsi="Times New Roman" w:cs="Times New Roman"/>
          <w:sz w:val="24"/>
          <w:szCs w:val="24"/>
        </w:rPr>
        <w:t>（</w:t>
      </w:r>
      <w:r>
        <w:rPr>
          <w:rFonts w:ascii="Times New Roman" w:eastAsia="宋体" w:hAnsi="Times New Roman" w:cs="Times New Roman"/>
          <w:sz w:val="24"/>
          <w:szCs w:val="24"/>
        </w:rPr>
        <w:t>6M → 2M → 6M</w:t>
      </w:r>
      <w:r>
        <w:rPr>
          <w:rFonts w:ascii="Times New Roman" w:eastAsia="宋体" w:hAnsi="Times New Roman" w:cs="Times New Roman"/>
          <w:sz w:val="24"/>
          <w:szCs w:val="24"/>
        </w:rPr>
        <w:t>）</w:t>
      </w:r>
    </w:p>
    <w:p w14:paraId="520132DE" w14:textId="77777777"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3.</w:t>
      </w:r>
      <w:r>
        <w:rPr>
          <w:rFonts w:ascii="Times New Roman" w:eastAsia="宋体" w:hAnsi="Times New Roman" w:cs="Times New Roman"/>
          <w:sz w:val="24"/>
          <w:szCs w:val="24"/>
        </w:rPr>
        <w:t xml:space="preserve"> Molecular dynamics simulation of directional stretching (PSM</w:t>
      </w:r>
      <w:r>
        <w:rPr>
          <w:rFonts w:ascii="Times New Roman" w:eastAsia="宋体" w:hAnsi="Times New Roman" w:cs="Times New Roman"/>
          <w:sz w:val="24"/>
          <w:szCs w:val="24"/>
          <w:vertAlign w:val="subscript"/>
        </w:rPr>
        <w:t>2M</w:t>
      </w:r>
      <w:r>
        <w:rPr>
          <w:rFonts w:ascii="Times New Roman" w:eastAsia="宋体" w:hAnsi="Times New Roman" w:cs="Times New Roman"/>
          <w:sz w:val="24"/>
          <w:szCs w:val="24"/>
        </w:rPr>
        <w:t>)</w:t>
      </w:r>
    </w:p>
    <w:p w14:paraId="13094724" w14:textId="77777777" w:rsidR="00155631" w:rsidRDefault="00000000" w:rsidP="005E6F8D">
      <w:pPr>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rPr>
        <w:t>4.</w:t>
      </w:r>
      <w:r>
        <w:rPr>
          <w:rFonts w:ascii="Times New Roman" w:eastAsia="宋体" w:hAnsi="Times New Roman" w:cs="Times New Roman"/>
          <w:sz w:val="24"/>
          <w:szCs w:val="24"/>
        </w:rPr>
        <w:t xml:space="preserve"> Molecular dynamics simulation of directional stretching (PSM</w:t>
      </w:r>
      <w:r>
        <w:rPr>
          <w:rFonts w:ascii="Times New Roman" w:eastAsia="宋体" w:hAnsi="Times New Roman" w:cs="Times New Roman"/>
          <w:sz w:val="24"/>
          <w:szCs w:val="24"/>
          <w:vertAlign w:val="subscript"/>
        </w:rPr>
        <w:t>6M</w:t>
      </w:r>
      <w:r>
        <w:rPr>
          <w:rFonts w:ascii="Times New Roman" w:eastAsia="宋体" w:hAnsi="Times New Roman" w:cs="Times New Roman"/>
          <w:sz w:val="24"/>
          <w:szCs w:val="24"/>
        </w:rPr>
        <w:t>)</w:t>
      </w:r>
    </w:p>
    <w:sectPr w:rsidR="0015563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DCB6D6" w14:textId="77777777" w:rsidR="00E20C39" w:rsidRDefault="00E20C39" w:rsidP="0008705C">
      <w:pPr>
        <w:rPr>
          <w:rFonts w:hint="eastAsia"/>
        </w:rPr>
      </w:pPr>
      <w:r>
        <w:separator/>
      </w:r>
    </w:p>
  </w:endnote>
  <w:endnote w:type="continuationSeparator" w:id="0">
    <w:p w14:paraId="28759C85" w14:textId="77777777" w:rsidR="00E20C39" w:rsidRDefault="00E20C39" w:rsidP="0008705C">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PingFang SC">
    <w:altName w:val="Segoe Print"/>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905150" w14:textId="77777777" w:rsidR="00E20C39" w:rsidRDefault="00E20C39" w:rsidP="0008705C">
      <w:pPr>
        <w:rPr>
          <w:rFonts w:hint="eastAsia"/>
        </w:rPr>
      </w:pPr>
      <w:r>
        <w:separator/>
      </w:r>
    </w:p>
  </w:footnote>
  <w:footnote w:type="continuationSeparator" w:id="0">
    <w:p w14:paraId="3C868F96" w14:textId="77777777" w:rsidR="00E20C39" w:rsidRDefault="00E20C39" w:rsidP="0008705C">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7"/>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3D08"/>
    <w:rsid w:val="00002977"/>
    <w:rsid w:val="000034B7"/>
    <w:rsid w:val="00011503"/>
    <w:rsid w:val="00015A0A"/>
    <w:rsid w:val="00017B26"/>
    <w:rsid w:val="000207A8"/>
    <w:rsid w:val="0002775B"/>
    <w:rsid w:val="0002788B"/>
    <w:rsid w:val="00034051"/>
    <w:rsid w:val="00053836"/>
    <w:rsid w:val="00055E4F"/>
    <w:rsid w:val="000569CD"/>
    <w:rsid w:val="00064EC7"/>
    <w:rsid w:val="00067139"/>
    <w:rsid w:val="00076AEB"/>
    <w:rsid w:val="000817DC"/>
    <w:rsid w:val="00084390"/>
    <w:rsid w:val="0008501F"/>
    <w:rsid w:val="000858DD"/>
    <w:rsid w:val="0008705C"/>
    <w:rsid w:val="00092C44"/>
    <w:rsid w:val="00095FD6"/>
    <w:rsid w:val="00097F17"/>
    <w:rsid w:val="000A204E"/>
    <w:rsid w:val="000A35FE"/>
    <w:rsid w:val="000B0983"/>
    <w:rsid w:val="000B283D"/>
    <w:rsid w:val="000C1FF0"/>
    <w:rsid w:val="000C2EE8"/>
    <w:rsid w:val="000C5BD3"/>
    <w:rsid w:val="000D7739"/>
    <w:rsid w:val="000E215E"/>
    <w:rsid w:val="000F5E5A"/>
    <w:rsid w:val="00112A8B"/>
    <w:rsid w:val="00115D9D"/>
    <w:rsid w:val="00123762"/>
    <w:rsid w:val="00124CD9"/>
    <w:rsid w:val="0012564C"/>
    <w:rsid w:val="00127454"/>
    <w:rsid w:val="00133643"/>
    <w:rsid w:val="001416D9"/>
    <w:rsid w:val="00145ACD"/>
    <w:rsid w:val="00147ADA"/>
    <w:rsid w:val="00155631"/>
    <w:rsid w:val="0016095B"/>
    <w:rsid w:val="001728C1"/>
    <w:rsid w:val="00184F75"/>
    <w:rsid w:val="00187EA8"/>
    <w:rsid w:val="00194E91"/>
    <w:rsid w:val="00197C72"/>
    <w:rsid w:val="001A6878"/>
    <w:rsid w:val="001C497F"/>
    <w:rsid w:val="001C4E0C"/>
    <w:rsid w:val="001C5A98"/>
    <w:rsid w:val="001D4280"/>
    <w:rsid w:val="001D6FE3"/>
    <w:rsid w:val="001E1E8A"/>
    <w:rsid w:val="001E7F52"/>
    <w:rsid w:val="001F2731"/>
    <w:rsid w:val="001F4285"/>
    <w:rsid w:val="00207903"/>
    <w:rsid w:val="002171F8"/>
    <w:rsid w:val="002201E5"/>
    <w:rsid w:val="002208D5"/>
    <w:rsid w:val="002227CA"/>
    <w:rsid w:val="00222E9B"/>
    <w:rsid w:val="002239ED"/>
    <w:rsid w:val="00230369"/>
    <w:rsid w:val="00236464"/>
    <w:rsid w:val="00236CB6"/>
    <w:rsid w:val="00241B68"/>
    <w:rsid w:val="0024332D"/>
    <w:rsid w:val="00243CA8"/>
    <w:rsid w:val="002459AB"/>
    <w:rsid w:val="00250BFF"/>
    <w:rsid w:val="00251D7C"/>
    <w:rsid w:val="00254648"/>
    <w:rsid w:val="00266D3A"/>
    <w:rsid w:val="00266E5C"/>
    <w:rsid w:val="00271AE8"/>
    <w:rsid w:val="002779BA"/>
    <w:rsid w:val="00283349"/>
    <w:rsid w:val="0028706D"/>
    <w:rsid w:val="00295029"/>
    <w:rsid w:val="00296F1F"/>
    <w:rsid w:val="002A5196"/>
    <w:rsid w:val="002A62A5"/>
    <w:rsid w:val="002B1B3D"/>
    <w:rsid w:val="002B4F17"/>
    <w:rsid w:val="002B66F2"/>
    <w:rsid w:val="002C40F2"/>
    <w:rsid w:val="002D287C"/>
    <w:rsid w:val="002D3901"/>
    <w:rsid w:val="002D6B45"/>
    <w:rsid w:val="0031284D"/>
    <w:rsid w:val="003175E9"/>
    <w:rsid w:val="00337C14"/>
    <w:rsid w:val="00341D72"/>
    <w:rsid w:val="00352A69"/>
    <w:rsid w:val="00353063"/>
    <w:rsid w:val="003555EF"/>
    <w:rsid w:val="0036434E"/>
    <w:rsid w:val="00370BB7"/>
    <w:rsid w:val="0038087E"/>
    <w:rsid w:val="003839F1"/>
    <w:rsid w:val="003A4D4D"/>
    <w:rsid w:val="003B78C4"/>
    <w:rsid w:val="003C0364"/>
    <w:rsid w:val="003D11D3"/>
    <w:rsid w:val="003D6DBD"/>
    <w:rsid w:val="003E5EE5"/>
    <w:rsid w:val="003E6557"/>
    <w:rsid w:val="003F6DB6"/>
    <w:rsid w:val="00401822"/>
    <w:rsid w:val="00402F84"/>
    <w:rsid w:val="00407A58"/>
    <w:rsid w:val="00410B42"/>
    <w:rsid w:val="0041227D"/>
    <w:rsid w:val="00414E8C"/>
    <w:rsid w:val="0041512F"/>
    <w:rsid w:val="004208EA"/>
    <w:rsid w:val="00421A5F"/>
    <w:rsid w:val="00435DC3"/>
    <w:rsid w:val="00447DDC"/>
    <w:rsid w:val="0046127A"/>
    <w:rsid w:val="00482049"/>
    <w:rsid w:val="0049218F"/>
    <w:rsid w:val="00493584"/>
    <w:rsid w:val="004959DB"/>
    <w:rsid w:val="0049621A"/>
    <w:rsid w:val="004A09AE"/>
    <w:rsid w:val="004A5367"/>
    <w:rsid w:val="004C13A4"/>
    <w:rsid w:val="004C4C4A"/>
    <w:rsid w:val="004C6F69"/>
    <w:rsid w:val="0050338C"/>
    <w:rsid w:val="0050732A"/>
    <w:rsid w:val="00507F72"/>
    <w:rsid w:val="005135C1"/>
    <w:rsid w:val="00513F57"/>
    <w:rsid w:val="00530279"/>
    <w:rsid w:val="00531702"/>
    <w:rsid w:val="00532EC9"/>
    <w:rsid w:val="00534F2C"/>
    <w:rsid w:val="00537382"/>
    <w:rsid w:val="00540492"/>
    <w:rsid w:val="005666A3"/>
    <w:rsid w:val="00577C2A"/>
    <w:rsid w:val="005900ED"/>
    <w:rsid w:val="00591CF1"/>
    <w:rsid w:val="0059483F"/>
    <w:rsid w:val="005948F8"/>
    <w:rsid w:val="005A31B4"/>
    <w:rsid w:val="005A616C"/>
    <w:rsid w:val="005A7AAD"/>
    <w:rsid w:val="005B0FA2"/>
    <w:rsid w:val="005B28DD"/>
    <w:rsid w:val="005B673B"/>
    <w:rsid w:val="005B758B"/>
    <w:rsid w:val="005B7BDA"/>
    <w:rsid w:val="005C0721"/>
    <w:rsid w:val="005D02F8"/>
    <w:rsid w:val="005D153B"/>
    <w:rsid w:val="005D2EF2"/>
    <w:rsid w:val="005D6271"/>
    <w:rsid w:val="005E32CD"/>
    <w:rsid w:val="005E5856"/>
    <w:rsid w:val="005E6F8D"/>
    <w:rsid w:val="0061259F"/>
    <w:rsid w:val="00620A47"/>
    <w:rsid w:val="00621FB3"/>
    <w:rsid w:val="00622D92"/>
    <w:rsid w:val="006267B7"/>
    <w:rsid w:val="00634A33"/>
    <w:rsid w:val="00635E40"/>
    <w:rsid w:val="006513E2"/>
    <w:rsid w:val="006526CE"/>
    <w:rsid w:val="00662EA0"/>
    <w:rsid w:val="00675B6D"/>
    <w:rsid w:val="00680F54"/>
    <w:rsid w:val="00684BC1"/>
    <w:rsid w:val="00690A95"/>
    <w:rsid w:val="00692090"/>
    <w:rsid w:val="00692434"/>
    <w:rsid w:val="00693E76"/>
    <w:rsid w:val="006A5389"/>
    <w:rsid w:val="006B5DF6"/>
    <w:rsid w:val="006C2DA0"/>
    <w:rsid w:val="006C4422"/>
    <w:rsid w:val="006D13F2"/>
    <w:rsid w:val="006D193F"/>
    <w:rsid w:val="006D255F"/>
    <w:rsid w:val="006D5303"/>
    <w:rsid w:val="006E1B15"/>
    <w:rsid w:val="006E6E85"/>
    <w:rsid w:val="006F3134"/>
    <w:rsid w:val="006F43B6"/>
    <w:rsid w:val="00710312"/>
    <w:rsid w:val="00711EF0"/>
    <w:rsid w:val="00717A5C"/>
    <w:rsid w:val="007210D1"/>
    <w:rsid w:val="00724A3D"/>
    <w:rsid w:val="0073372A"/>
    <w:rsid w:val="0074053C"/>
    <w:rsid w:val="0074139F"/>
    <w:rsid w:val="00742E28"/>
    <w:rsid w:val="00747CF9"/>
    <w:rsid w:val="00764B83"/>
    <w:rsid w:val="00765A7F"/>
    <w:rsid w:val="0077603E"/>
    <w:rsid w:val="00780024"/>
    <w:rsid w:val="0078332C"/>
    <w:rsid w:val="00790D9B"/>
    <w:rsid w:val="0079737B"/>
    <w:rsid w:val="007A4C02"/>
    <w:rsid w:val="007A7703"/>
    <w:rsid w:val="007B0771"/>
    <w:rsid w:val="007B3186"/>
    <w:rsid w:val="007B56F6"/>
    <w:rsid w:val="007C2FFD"/>
    <w:rsid w:val="007C6B06"/>
    <w:rsid w:val="007D10B6"/>
    <w:rsid w:val="007D5A87"/>
    <w:rsid w:val="007E0357"/>
    <w:rsid w:val="007E4BD4"/>
    <w:rsid w:val="007E4E7B"/>
    <w:rsid w:val="007F4AD8"/>
    <w:rsid w:val="0082335C"/>
    <w:rsid w:val="0082761A"/>
    <w:rsid w:val="008300E9"/>
    <w:rsid w:val="00830C3C"/>
    <w:rsid w:val="0083172F"/>
    <w:rsid w:val="0084773E"/>
    <w:rsid w:val="00853D85"/>
    <w:rsid w:val="008574F2"/>
    <w:rsid w:val="00862E07"/>
    <w:rsid w:val="00866DEA"/>
    <w:rsid w:val="008877BF"/>
    <w:rsid w:val="00894563"/>
    <w:rsid w:val="008957AC"/>
    <w:rsid w:val="008A2A22"/>
    <w:rsid w:val="008A5D5E"/>
    <w:rsid w:val="008A674A"/>
    <w:rsid w:val="008B3D08"/>
    <w:rsid w:val="008B7EF5"/>
    <w:rsid w:val="008C5332"/>
    <w:rsid w:val="008D1464"/>
    <w:rsid w:val="008E406C"/>
    <w:rsid w:val="008E4271"/>
    <w:rsid w:val="008F0830"/>
    <w:rsid w:val="008F0D95"/>
    <w:rsid w:val="008F5B35"/>
    <w:rsid w:val="008F6A1A"/>
    <w:rsid w:val="00900219"/>
    <w:rsid w:val="00900224"/>
    <w:rsid w:val="009062F5"/>
    <w:rsid w:val="0091034D"/>
    <w:rsid w:val="00915D6A"/>
    <w:rsid w:val="00917BFF"/>
    <w:rsid w:val="00920F91"/>
    <w:rsid w:val="00934CF0"/>
    <w:rsid w:val="0093638D"/>
    <w:rsid w:val="00940D1D"/>
    <w:rsid w:val="00946D4E"/>
    <w:rsid w:val="00952BB2"/>
    <w:rsid w:val="009603EB"/>
    <w:rsid w:val="00961677"/>
    <w:rsid w:val="009616E1"/>
    <w:rsid w:val="00966C4B"/>
    <w:rsid w:val="00967128"/>
    <w:rsid w:val="0097129D"/>
    <w:rsid w:val="00981677"/>
    <w:rsid w:val="009850E0"/>
    <w:rsid w:val="0099464E"/>
    <w:rsid w:val="00997447"/>
    <w:rsid w:val="009B7251"/>
    <w:rsid w:val="009D1560"/>
    <w:rsid w:val="009D25DF"/>
    <w:rsid w:val="009D4C0A"/>
    <w:rsid w:val="009D5F92"/>
    <w:rsid w:val="009D7BD7"/>
    <w:rsid w:val="009E3E01"/>
    <w:rsid w:val="009E69C8"/>
    <w:rsid w:val="009E7E5C"/>
    <w:rsid w:val="00A0370D"/>
    <w:rsid w:val="00A03B22"/>
    <w:rsid w:val="00A13F5C"/>
    <w:rsid w:val="00A177B4"/>
    <w:rsid w:val="00A30E6A"/>
    <w:rsid w:val="00A45F98"/>
    <w:rsid w:val="00A61AB0"/>
    <w:rsid w:val="00A64053"/>
    <w:rsid w:val="00A80849"/>
    <w:rsid w:val="00A82A0E"/>
    <w:rsid w:val="00A82A3C"/>
    <w:rsid w:val="00A91908"/>
    <w:rsid w:val="00A97DA6"/>
    <w:rsid w:val="00AA045F"/>
    <w:rsid w:val="00AC06FA"/>
    <w:rsid w:val="00AC1A01"/>
    <w:rsid w:val="00B04534"/>
    <w:rsid w:val="00B17B12"/>
    <w:rsid w:val="00B221F7"/>
    <w:rsid w:val="00B27156"/>
    <w:rsid w:val="00B33330"/>
    <w:rsid w:val="00B3553A"/>
    <w:rsid w:val="00B37D28"/>
    <w:rsid w:val="00B4214E"/>
    <w:rsid w:val="00B4790F"/>
    <w:rsid w:val="00B51640"/>
    <w:rsid w:val="00B8208C"/>
    <w:rsid w:val="00B85534"/>
    <w:rsid w:val="00BA2607"/>
    <w:rsid w:val="00BA6957"/>
    <w:rsid w:val="00BA7D95"/>
    <w:rsid w:val="00BC6D81"/>
    <w:rsid w:val="00BE4D6C"/>
    <w:rsid w:val="00BE7AA6"/>
    <w:rsid w:val="00BF0E96"/>
    <w:rsid w:val="00BF239B"/>
    <w:rsid w:val="00BF3E1E"/>
    <w:rsid w:val="00BF4B12"/>
    <w:rsid w:val="00C03BF7"/>
    <w:rsid w:val="00C04187"/>
    <w:rsid w:val="00C26DC0"/>
    <w:rsid w:val="00C30FA9"/>
    <w:rsid w:val="00C36076"/>
    <w:rsid w:val="00C43B3E"/>
    <w:rsid w:val="00C454E3"/>
    <w:rsid w:val="00C50261"/>
    <w:rsid w:val="00C50E25"/>
    <w:rsid w:val="00C50FEB"/>
    <w:rsid w:val="00C51A01"/>
    <w:rsid w:val="00C53350"/>
    <w:rsid w:val="00C540BB"/>
    <w:rsid w:val="00C55F43"/>
    <w:rsid w:val="00C601A0"/>
    <w:rsid w:val="00C64D17"/>
    <w:rsid w:val="00C6668F"/>
    <w:rsid w:val="00C72232"/>
    <w:rsid w:val="00C77674"/>
    <w:rsid w:val="00C82037"/>
    <w:rsid w:val="00C961F5"/>
    <w:rsid w:val="00CA4FA3"/>
    <w:rsid w:val="00CA5D65"/>
    <w:rsid w:val="00CC0EB1"/>
    <w:rsid w:val="00CC7F32"/>
    <w:rsid w:val="00CD1D1D"/>
    <w:rsid w:val="00CD3BA8"/>
    <w:rsid w:val="00CD5C88"/>
    <w:rsid w:val="00CD7FA9"/>
    <w:rsid w:val="00CE26E2"/>
    <w:rsid w:val="00CE4183"/>
    <w:rsid w:val="00CE7099"/>
    <w:rsid w:val="00CF4F0F"/>
    <w:rsid w:val="00D024B4"/>
    <w:rsid w:val="00D0252F"/>
    <w:rsid w:val="00D036F7"/>
    <w:rsid w:val="00D03B04"/>
    <w:rsid w:val="00D053D1"/>
    <w:rsid w:val="00D0644F"/>
    <w:rsid w:val="00D074BF"/>
    <w:rsid w:val="00D110AA"/>
    <w:rsid w:val="00D11A57"/>
    <w:rsid w:val="00D12D98"/>
    <w:rsid w:val="00D22BCC"/>
    <w:rsid w:val="00D3170D"/>
    <w:rsid w:val="00D41F00"/>
    <w:rsid w:val="00D45620"/>
    <w:rsid w:val="00D46CAE"/>
    <w:rsid w:val="00D520AF"/>
    <w:rsid w:val="00D550AE"/>
    <w:rsid w:val="00D609B7"/>
    <w:rsid w:val="00D62B31"/>
    <w:rsid w:val="00D630CF"/>
    <w:rsid w:val="00D6317B"/>
    <w:rsid w:val="00D76812"/>
    <w:rsid w:val="00D80C0A"/>
    <w:rsid w:val="00D83160"/>
    <w:rsid w:val="00D85B35"/>
    <w:rsid w:val="00D87EF6"/>
    <w:rsid w:val="00D87FBE"/>
    <w:rsid w:val="00D91B08"/>
    <w:rsid w:val="00DA0DE8"/>
    <w:rsid w:val="00DA1AEE"/>
    <w:rsid w:val="00DA79D0"/>
    <w:rsid w:val="00DB6565"/>
    <w:rsid w:val="00DC2728"/>
    <w:rsid w:val="00DC2FF9"/>
    <w:rsid w:val="00DD44F0"/>
    <w:rsid w:val="00DE2288"/>
    <w:rsid w:val="00DE6ADE"/>
    <w:rsid w:val="00DF1459"/>
    <w:rsid w:val="00E10095"/>
    <w:rsid w:val="00E15175"/>
    <w:rsid w:val="00E17C08"/>
    <w:rsid w:val="00E20C39"/>
    <w:rsid w:val="00E27494"/>
    <w:rsid w:val="00E3268F"/>
    <w:rsid w:val="00E36F2A"/>
    <w:rsid w:val="00E4124C"/>
    <w:rsid w:val="00E57B3C"/>
    <w:rsid w:val="00E77A07"/>
    <w:rsid w:val="00E810FA"/>
    <w:rsid w:val="00E828A6"/>
    <w:rsid w:val="00E83DC7"/>
    <w:rsid w:val="00E9282C"/>
    <w:rsid w:val="00E9344B"/>
    <w:rsid w:val="00E934FF"/>
    <w:rsid w:val="00E95C9C"/>
    <w:rsid w:val="00E97FEB"/>
    <w:rsid w:val="00EA5B0E"/>
    <w:rsid w:val="00EB0669"/>
    <w:rsid w:val="00EB1D50"/>
    <w:rsid w:val="00EC4C2B"/>
    <w:rsid w:val="00ED02A1"/>
    <w:rsid w:val="00ED266B"/>
    <w:rsid w:val="00F052E2"/>
    <w:rsid w:val="00F05FF7"/>
    <w:rsid w:val="00F26E46"/>
    <w:rsid w:val="00F30F8E"/>
    <w:rsid w:val="00F32E85"/>
    <w:rsid w:val="00F368C2"/>
    <w:rsid w:val="00F4493F"/>
    <w:rsid w:val="00F46215"/>
    <w:rsid w:val="00F53F45"/>
    <w:rsid w:val="00F56A5E"/>
    <w:rsid w:val="00F62D1F"/>
    <w:rsid w:val="00F7016C"/>
    <w:rsid w:val="00F72C26"/>
    <w:rsid w:val="00F75F0B"/>
    <w:rsid w:val="00F76EA8"/>
    <w:rsid w:val="00F839EF"/>
    <w:rsid w:val="00F920CF"/>
    <w:rsid w:val="00FA6DB5"/>
    <w:rsid w:val="00FB60E2"/>
    <w:rsid w:val="00FC3C01"/>
    <w:rsid w:val="00FD342D"/>
    <w:rsid w:val="00FD4330"/>
    <w:rsid w:val="00FD6FA1"/>
    <w:rsid w:val="00FF0197"/>
    <w:rsid w:val="00FF5887"/>
    <w:rsid w:val="00FF7B36"/>
    <w:rsid w:val="00FF7C71"/>
    <w:rsid w:val="0B6C2ADB"/>
    <w:rsid w:val="231113CB"/>
    <w:rsid w:val="3088065D"/>
    <w:rsid w:val="45AE360B"/>
    <w:rsid w:val="54E00A4E"/>
    <w:rsid w:val="7E1C616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08AD13C"/>
  <w14:defaultImageDpi w14:val="32767"/>
  <w15:docId w15:val="{751C2298-88EC-4094-8202-94298893B8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0"/>
    <w:uiPriority w:val="9"/>
    <w:qFormat/>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jc w:val="left"/>
    </w:pPr>
    <w:rPr>
      <w:sz w:val="18"/>
      <w:szCs w:val="18"/>
    </w:rPr>
  </w:style>
  <w:style w:type="paragraph" w:styleId="a5">
    <w:name w:val="header"/>
    <w:basedOn w:val="a"/>
    <w:link w:val="a6"/>
    <w:uiPriority w:val="99"/>
    <w:unhideWhenUsed/>
    <w:qFormat/>
    <w:pPr>
      <w:tabs>
        <w:tab w:val="center" w:pos="4153"/>
        <w:tab w:val="right" w:pos="8306"/>
      </w:tabs>
      <w:snapToGrid w:val="0"/>
      <w:jc w:val="center"/>
    </w:pPr>
    <w:rPr>
      <w:sz w:val="18"/>
      <w:szCs w:val="18"/>
    </w:rPr>
  </w:style>
  <w:style w:type="paragraph" w:styleId="a7">
    <w:name w:val="Subtitle"/>
    <w:basedOn w:val="a"/>
    <w:next w:val="a"/>
    <w:link w:val="a8"/>
    <w:uiPriority w:val="11"/>
    <w:qFormat/>
    <w:pPr>
      <w:spacing w:after="160"/>
      <w:jc w:val="center"/>
    </w:pPr>
    <w:rPr>
      <w:rFonts w:asciiTheme="majorHAnsi" w:eastAsiaTheme="majorEastAsia" w:hAnsiTheme="majorHAnsi" w:cstheme="majorBidi"/>
      <w:color w:val="595959" w:themeColor="text1" w:themeTint="A6"/>
      <w:spacing w:val="15"/>
      <w:sz w:val="28"/>
      <w:szCs w:val="28"/>
    </w:rPr>
  </w:style>
  <w:style w:type="paragraph" w:styleId="a9">
    <w:name w:val="Title"/>
    <w:basedOn w:val="a"/>
    <w:next w:val="a"/>
    <w:link w:val="aa"/>
    <w:uiPriority w:val="10"/>
    <w:qFormat/>
    <w:pPr>
      <w:spacing w:after="80"/>
      <w:contextualSpacing/>
      <w:jc w:val="center"/>
    </w:pPr>
    <w:rPr>
      <w:rFonts w:asciiTheme="majorHAnsi" w:eastAsiaTheme="majorEastAsia" w:hAnsiTheme="majorHAnsi" w:cstheme="majorBidi"/>
      <w:spacing w:val="-10"/>
      <w:kern w:val="28"/>
      <w:sz w:val="56"/>
      <w:szCs w:val="56"/>
    </w:rPr>
  </w:style>
  <w:style w:type="table" w:styleId="ab">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Emphasis"/>
    <w:basedOn w:val="a0"/>
    <w:uiPriority w:val="20"/>
    <w:qFormat/>
    <w:rPr>
      <w:i/>
    </w:rPr>
  </w:style>
  <w:style w:type="character" w:styleId="ad">
    <w:name w:val="Hyperlink"/>
    <w:basedOn w:val="a0"/>
    <w:uiPriority w:val="99"/>
    <w:unhideWhenUsed/>
    <w:qFormat/>
    <w:rPr>
      <w:color w:val="467886" w:themeColor="hyperlink"/>
      <w:u w:val="single"/>
    </w:rPr>
  </w:style>
  <w:style w:type="character" w:customStyle="1" w:styleId="10">
    <w:name w:val="标题 1 字符"/>
    <w:basedOn w:val="a0"/>
    <w:link w:val="1"/>
    <w:uiPriority w:val="9"/>
    <w:qFormat/>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qFormat/>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qFormat/>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qFormat/>
    <w:rPr>
      <w:rFonts w:cstheme="majorBidi"/>
      <w:color w:val="0F4761" w:themeColor="accent1" w:themeShade="BF"/>
      <w:sz w:val="28"/>
      <w:szCs w:val="28"/>
    </w:rPr>
  </w:style>
  <w:style w:type="character" w:customStyle="1" w:styleId="50">
    <w:name w:val="标题 5 字符"/>
    <w:basedOn w:val="a0"/>
    <w:link w:val="5"/>
    <w:uiPriority w:val="9"/>
    <w:semiHidden/>
    <w:qFormat/>
    <w:rPr>
      <w:rFonts w:cstheme="majorBidi"/>
      <w:color w:val="0F4761" w:themeColor="accent1" w:themeShade="BF"/>
      <w:sz w:val="24"/>
      <w:szCs w:val="24"/>
    </w:rPr>
  </w:style>
  <w:style w:type="character" w:customStyle="1" w:styleId="60">
    <w:name w:val="标题 6 字符"/>
    <w:basedOn w:val="a0"/>
    <w:link w:val="6"/>
    <w:uiPriority w:val="9"/>
    <w:semiHidden/>
    <w:qFormat/>
    <w:rPr>
      <w:rFonts w:cstheme="majorBidi"/>
      <w:b/>
      <w:bCs/>
      <w:color w:val="0F4761" w:themeColor="accent1" w:themeShade="BF"/>
    </w:rPr>
  </w:style>
  <w:style w:type="character" w:customStyle="1" w:styleId="70">
    <w:name w:val="标题 7 字符"/>
    <w:basedOn w:val="a0"/>
    <w:link w:val="7"/>
    <w:uiPriority w:val="9"/>
    <w:semiHidden/>
    <w:qFormat/>
    <w:rPr>
      <w:rFonts w:cstheme="majorBidi"/>
      <w:b/>
      <w:bCs/>
      <w:color w:val="595959" w:themeColor="text1" w:themeTint="A6"/>
    </w:rPr>
  </w:style>
  <w:style w:type="character" w:customStyle="1" w:styleId="80">
    <w:name w:val="标题 8 字符"/>
    <w:basedOn w:val="a0"/>
    <w:link w:val="8"/>
    <w:uiPriority w:val="9"/>
    <w:semiHidden/>
    <w:qFormat/>
    <w:rPr>
      <w:rFonts w:cstheme="majorBidi"/>
      <w:color w:val="595959" w:themeColor="text1" w:themeTint="A6"/>
    </w:rPr>
  </w:style>
  <w:style w:type="character" w:customStyle="1" w:styleId="90">
    <w:name w:val="标题 9 字符"/>
    <w:basedOn w:val="a0"/>
    <w:link w:val="9"/>
    <w:uiPriority w:val="9"/>
    <w:semiHidden/>
    <w:qFormat/>
    <w:rPr>
      <w:rFonts w:eastAsiaTheme="majorEastAsia" w:cstheme="majorBidi"/>
      <w:color w:val="595959" w:themeColor="text1" w:themeTint="A6"/>
    </w:rPr>
  </w:style>
  <w:style w:type="character" w:customStyle="1" w:styleId="aa">
    <w:name w:val="标题 字符"/>
    <w:basedOn w:val="a0"/>
    <w:link w:val="a9"/>
    <w:uiPriority w:val="10"/>
    <w:qFormat/>
    <w:rPr>
      <w:rFonts w:asciiTheme="majorHAnsi" w:eastAsiaTheme="majorEastAsia" w:hAnsiTheme="majorHAnsi" w:cstheme="majorBidi"/>
      <w:spacing w:val="-10"/>
      <w:kern w:val="28"/>
      <w:sz w:val="56"/>
      <w:szCs w:val="56"/>
    </w:rPr>
  </w:style>
  <w:style w:type="character" w:customStyle="1" w:styleId="a8">
    <w:name w:val="副标题 字符"/>
    <w:basedOn w:val="a0"/>
    <w:link w:val="a7"/>
    <w:uiPriority w:val="11"/>
    <w:qFormat/>
    <w:rPr>
      <w:rFonts w:asciiTheme="majorHAnsi" w:eastAsiaTheme="majorEastAsia" w:hAnsiTheme="majorHAnsi" w:cstheme="majorBidi"/>
      <w:color w:val="595959" w:themeColor="text1" w:themeTint="A6"/>
      <w:spacing w:val="15"/>
      <w:sz w:val="28"/>
      <w:szCs w:val="28"/>
    </w:rPr>
  </w:style>
  <w:style w:type="paragraph" w:styleId="ae">
    <w:name w:val="Quote"/>
    <w:basedOn w:val="a"/>
    <w:next w:val="a"/>
    <w:link w:val="af"/>
    <w:uiPriority w:val="29"/>
    <w:qFormat/>
    <w:pPr>
      <w:spacing w:before="160" w:after="160"/>
      <w:jc w:val="center"/>
    </w:pPr>
    <w:rPr>
      <w:i/>
      <w:iCs/>
      <w:color w:val="404040" w:themeColor="text1" w:themeTint="BF"/>
    </w:rPr>
  </w:style>
  <w:style w:type="character" w:customStyle="1" w:styleId="af">
    <w:name w:val="引用 字符"/>
    <w:basedOn w:val="a0"/>
    <w:link w:val="ae"/>
    <w:uiPriority w:val="29"/>
    <w:qFormat/>
    <w:rPr>
      <w:i/>
      <w:iCs/>
      <w:color w:val="404040" w:themeColor="text1" w:themeTint="BF"/>
    </w:rPr>
  </w:style>
  <w:style w:type="paragraph" w:styleId="af0">
    <w:name w:val="List Paragraph"/>
    <w:basedOn w:val="a"/>
    <w:uiPriority w:val="34"/>
    <w:qFormat/>
    <w:pPr>
      <w:ind w:left="720"/>
      <w:contextualSpacing/>
    </w:pPr>
  </w:style>
  <w:style w:type="character" w:customStyle="1" w:styleId="11">
    <w:name w:val="明显强调1"/>
    <w:basedOn w:val="a0"/>
    <w:uiPriority w:val="21"/>
    <w:qFormat/>
    <w:rPr>
      <w:i/>
      <w:iCs/>
      <w:color w:val="0F4761" w:themeColor="accent1" w:themeShade="BF"/>
    </w:rPr>
  </w:style>
  <w:style w:type="paragraph" w:styleId="af1">
    <w:name w:val="Intense Quote"/>
    <w:basedOn w:val="a"/>
    <w:next w:val="a"/>
    <w:link w:val="af2"/>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f2">
    <w:name w:val="明显引用 字符"/>
    <w:basedOn w:val="a0"/>
    <w:link w:val="af1"/>
    <w:uiPriority w:val="30"/>
    <w:qFormat/>
    <w:rPr>
      <w:i/>
      <w:iCs/>
      <w:color w:val="0F4761" w:themeColor="accent1" w:themeShade="BF"/>
    </w:rPr>
  </w:style>
  <w:style w:type="character" w:customStyle="1" w:styleId="12">
    <w:name w:val="明显参考1"/>
    <w:basedOn w:val="a0"/>
    <w:uiPriority w:val="32"/>
    <w:qFormat/>
    <w:rPr>
      <w:b/>
      <w:bCs/>
      <w:smallCaps/>
      <w:color w:val="0F4761" w:themeColor="accent1" w:themeShade="BF"/>
      <w:spacing w:val="5"/>
    </w:rPr>
  </w:style>
  <w:style w:type="character" w:customStyle="1" w:styleId="a6">
    <w:name w:val="页眉 字符"/>
    <w:basedOn w:val="a0"/>
    <w:link w:val="a5"/>
    <w:uiPriority w:val="99"/>
    <w:qFormat/>
    <w:rPr>
      <w:sz w:val="18"/>
      <w:szCs w:val="18"/>
    </w:rPr>
  </w:style>
  <w:style w:type="character" w:customStyle="1" w:styleId="a4">
    <w:name w:val="页脚 字符"/>
    <w:basedOn w:val="a0"/>
    <w:link w:val="a3"/>
    <w:uiPriority w:val="99"/>
    <w:qFormat/>
    <w:rPr>
      <w:sz w:val="18"/>
      <w:szCs w:val="18"/>
    </w:rPr>
  </w:style>
  <w:style w:type="character" w:customStyle="1" w:styleId="13">
    <w:name w:val="未处理的提及1"/>
    <w:basedOn w:val="a0"/>
    <w:uiPriority w:val="99"/>
    <w:semiHidden/>
    <w:unhideWhenUsed/>
    <w:qFormat/>
    <w:rPr>
      <w:color w:val="605E5C"/>
      <w:shd w:val="clear" w:color="auto" w:fill="E1DFDD"/>
    </w:rPr>
  </w:style>
  <w:style w:type="paragraph" w:customStyle="1" w:styleId="MTDisplayEquation">
    <w:name w:val="MTDisplayEquation"/>
    <w:basedOn w:val="a"/>
    <w:next w:val="a"/>
    <w:link w:val="MTDisplayEquation0"/>
    <w:qFormat/>
    <w:pPr>
      <w:widowControl/>
      <w:tabs>
        <w:tab w:val="center" w:pos="4160"/>
        <w:tab w:val="right" w:pos="8300"/>
      </w:tabs>
      <w:spacing w:line="400" w:lineRule="exact"/>
      <w:ind w:firstLineChars="100" w:firstLine="240"/>
      <w:jc w:val="left"/>
    </w:pPr>
    <w:rPr>
      <w:rFonts w:ascii="Times New Roman" w:hAnsi="Times New Roman" w:cs="Times New Roman"/>
      <w:sz w:val="24"/>
      <w:szCs w:val="24"/>
    </w:rPr>
  </w:style>
  <w:style w:type="character" w:customStyle="1" w:styleId="MTDisplayEquation0">
    <w:name w:val="MTDisplayEquation 字符"/>
    <w:basedOn w:val="a0"/>
    <w:link w:val="MTDisplayEquation"/>
    <w:qFormat/>
    <w:rPr>
      <w:rFonts w:ascii="Times New Roman" w:hAnsi="Times New Roman" w:cs="Times New Roman"/>
      <w:sz w:val="24"/>
      <w:szCs w:val="24"/>
    </w:rPr>
  </w:style>
  <w:style w:type="paragraph" w:customStyle="1" w:styleId="14">
    <w:name w:val="修订1"/>
    <w:hidden/>
    <w:uiPriority w:val="99"/>
    <w:unhideWhenUsed/>
    <w:rPr>
      <w:rFonts w:asciiTheme="minorHAnsi" w:eastAsiaTheme="minorEastAsia" w:hAnsiTheme="minorHAnsi" w:cstheme="minorBidi"/>
      <w:kern w:val="2"/>
      <w:sz w:val="21"/>
      <w:szCs w:val="22"/>
    </w:rPr>
  </w:style>
  <w:style w:type="character" w:customStyle="1" w:styleId="21">
    <w:name w:val="未处理的提及2"/>
    <w:basedOn w:val="a0"/>
    <w:uiPriority w:val="99"/>
    <w:semiHidden/>
    <w:unhideWhenUsed/>
    <w:rPr>
      <w:color w:val="605E5C"/>
      <w:shd w:val="clear" w:color="auto" w:fill="E1DFDD"/>
    </w:rPr>
  </w:style>
  <w:style w:type="paragraph" w:styleId="af3">
    <w:name w:val="Revision"/>
    <w:hidden/>
    <w:uiPriority w:val="99"/>
    <w:unhideWhenUsed/>
    <w:rsid w:val="0008705C"/>
    <w:rPr>
      <w:rFonts w:asciiTheme="minorHAnsi" w:eastAsiaTheme="minorEastAsia" w:hAnsiTheme="minorHAnsi" w:cstheme="minorBidi"/>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tiff"/><Relationship Id="rId42" Type="http://schemas.openxmlformats.org/officeDocument/2006/relationships/image" Target="media/image36.tiff"/><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tiff"/><Relationship Id="rId84" Type="http://schemas.openxmlformats.org/officeDocument/2006/relationships/image" Target="media/image78.tiff"/><Relationship Id="rId89" Type="http://schemas.openxmlformats.org/officeDocument/2006/relationships/fontTable" Target="fontTable.xml"/><Relationship Id="rId16" Type="http://schemas.openxmlformats.org/officeDocument/2006/relationships/image" Target="media/image10.tiff"/><Relationship Id="rId11" Type="http://schemas.openxmlformats.org/officeDocument/2006/relationships/image" Target="media/image5.png"/><Relationship Id="rId32" Type="http://schemas.openxmlformats.org/officeDocument/2006/relationships/image" Target="media/image26.svg"/><Relationship Id="rId37" Type="http://schemas.openxmlformats.org/officeDocument/2006/relationships/image" Target="media/image31.tiff"/><Relationship Id="rId53" Type="http://schemas.openxmlformats.org/officeDocument/2006/relationships/image" Target="media/image47.tiff"/><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90" Type="http://schemas.openxmlformats.org/officeDocument/2006/relationships/theme" Target="theme/theme1.xml"/><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svg"/><Relationship Id="rId30" Type="http://schemas.openxmlformats.org/officeDocument/2006/relationships/image" Target="media/image24.svg"/><Relationship Id="rId35" Type="http://schemas.openxmlformats.org/officeDocument/2006/relationships/image" Target="media/image29.tiff"/><Relationship Id="rId43" Type="http://schemas.openxmlformats.org/officeDocument/2006/relationships/image" Target="media/image37.tiff"/><Relationship Id="rId48" Type="http://schemas.openxmlformats.org/officeDocument/2006/relationships/image" Target="media/image42.sv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tiff"/><Relationship Id="rId77" Type="http://schemas.openxmlformats.org/officeDocument/2006/relationships/image" Target="media/image71.tiff"/><Relationship Id="rId8" Type="http://schemas.openxmlformats.org/officeDocument/2006/relationships/image" Target="media/image2.svg"/><Relationship Id="rId51" Type="http://schemas.openxmlformats.org/officeDocument/2006/relationships/image" Target="media/image45.tiff"/><Relationship Id="rId72" Type="http://schemas.openxmlformats.org/officeDocument/2006/relationships/image" Target="media/image66.png"/><Relationship Id="rId80" Type="http://schemas.openxmlformats.org/officeDocument/2006/relationships/image" Target="media/image74.svg"/><Relationship Id="rId85" Type="http://schemas.openxmlformats.org/officeDocument/2006/relationships/image" Target="media/image79.tiff"/><Relationship Id="rId3" Type="http://schemas.openxmlformats.org/officeDocument/2006/relationships/settings" Target="settings.xml"/><Relationship Id="rId12" Type="http://schemas.openxmlformats.org/officeDocument/2006/relationships/image" Target="media/image6.svg"/><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image" Target="media/image27.tiff"/><Relationship Id="rId38" Type="http://schemas.openxmlformats.org/officeDocument/2006/relationships/image" Target="media/image32.tiff"/><Relationship Id="rId46" Type="http://schemas.openxmlformats.org/officeDocument/2006/relationships/image" Target="media/image40.tiff"/><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tiff"/><Relationship Id="rId41" Type="http://schemas.openxmlformats.org/officeDocument/2006/relationships/image" Target="media/image35.tiff"/><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tiff"/><Relationship Id="rId75" Type="http://schemas.openxmlformats.org/officeDocument/2006/relationships/image" Target="media/image69.jpeg"/><Relationship Id="rId83" Type="http://schemas.openxmlformats.org/officeDocument/2006/relationships/image" Target="media/image77.tiff"/><Relationship Id="rId88" Type="http://schemas.openxmlformats.org/officeDocument/2006/relationships/image" Target="media/image82.tiff"/><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tiff"/><Relationship Id="rId36" Type="http://schemas.openxmlformats.org/officeDocument/2006/relationships/image" Target="media/image30.tiff"/><Relationship Id="rId49" Type="http://schemas.openxmlformats.org/officeDocument/2006/relationships/image" Target="media/image43.tiff"/><Relationship Id="rId57" Type="http://schemas.openxmlformats.org/officeDocument/2006/relationships/image" Target="media/image51.svg"/><Relationship Id="rId10" Type="http://schemas.openxmlformats.org/officeDocument/2006/relationships/image" Target="media/image4.svg"/><Relationship Id="rId31" Type="http://schemas.openxmlformats.org/officeDocument/2006/relationships/image" Target="media/image25.png"/><Relationship Id="rId44" Type="http://schemas.openxmlformats.org/officeDocument/2006/relationships/image" Target="media/image38.tiff"/><Relationship Id="rId52" Type="http://schemas.openxmlformats.org/officeDocument/2006/relationships/image" Target="media/image46.tiff"/><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svg"/><Relationship Id="rId78" Type="http://schemas.openxmlformats.org/officeDocument/2006/relationships/image" Target="media/image72.tiff"/><Relationship Id="rId81" Type="http://schemas.openxmlformats.org/officeDocument/2006/relationships/image" Target="media/image75.tiff"/><Relationship Id="rId86" Type="http://schemas.openxmlformats.org/officeDocument/2006/relationships/image" Target="media/image80.tiff"/><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tiff"/><Relationship Id="rId18" Type="http://schemas.openxmlformats.org/officeDocument/2006/relationships/image" Target="media/image12.tiff"/><Relationship Id="rId39" Type="http://schemas.openxmlformats.org/officeDocument/2006/relationships/image" Target="media/image33.tiff"/><Relationship Id="rId34" Type="http://schemas.openxmlformats.org/officeDocument/2006/relationships/image" Target="media/image28.tiff"/><Relationship Id="rId50" Type="http://schemas.openxmlformats.org/officeDocument/2006/relationships/image" Target="media/image44.tiff"/><Relationship Id="rId55" Type="http://schemas.openxmlformats.org/officeDocument/2006/relationships/image" Target="media/image49.svg"/><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emf"/><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tiff"/><Relationship Id="rId40" Type="http://schemas.openxmlformats.org/officeDocument/2006/relationships/image" Target="media/image34.tiff"/><Relationship Id="rId45" Type="http://schemas.openxmlformats.org/officeDocument/2006/relationships/image" Target="media/image39.tiff"/><Relationship Id="rId66" Type="http://schemas.openxmlformats.org/officeDocument/2006/relationships/image" Target="media/image60.png"/><Relationship Id="rId87" Type="http://schemas.openxmlformats.org/officeDocument/2006/relationships/image" Target="media/image81.tiff"/><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1BFB46-8454-42D8-9BB4-1D3CAE1214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142</TotalTime>
  <Pages>79</Pages>
  <Words>12669</Words>
  <Characters>76775</Characters>
  <Application>Microsoft Office Word</Application>
  <DocSecurity>0</DocSecurity>
  <Lines>1218</Lines>
  <Paragraphs>195</Paragraphs>
  <ScaleCrop>false</ScaleCrop>
  <Company/>
  <LinksUpToDate>false</LinksUpToDate>
  <CharactersWithSpaces>89249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嘉威 卢</dc:creator>
  <cp:lastModifiedBy>嘉威 卢</cp:lastModifiedBy>
  <cp:revision>15</cp:revision>
  <dcterms:created xsi:type="dcterms:W3CDTF">2025-09-08T01:50:00Z</dcterms:created>
  <dcterms:modified xsi:type="dcterms:W3CDTF">2025-11-24T04:46:00Z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eyJoZGlkIjoiYTBkZGU5OWFmYjI2NDk3YmEzMjUzMjZmZjViOThhMzEiLCJ1c2VySWQiOiIyMjgyNjA2MjEifQ==</vt:lpwstr>
  </property>
  <property fmtid="{D5CDD505-2E9C-101B-9397-08002B2CF9AE}" pid="3" name="KSOProductBuildVer">
    <vt:lpwstr>2052-12.1.0.22529</vt:lpwstr>
  </property>
  <property fmtid="{D5CDD505-2E9C-101B-9397-08002B2CF9AE}" pid="4" name="ICV">
    <vt:lpwstr>2109C72A349C4FC3AB043D6B38D535EA_13</vt:lpwstr>
  </property>
</Properties>
</file>