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81CFD" w14:textId="77777777" w:rsidR="00BF73DF" w:rsidRPr="00D62AE3" w:rsidRDefault="00BF73DF" w:rsidP="00BF73DF">
      <w:pPr>
        <w:jc w:val="center"/>
        <w:rPr>
          <w:rFonts w:ascii="Arial" w:hAnsi="Arial" w:cs="Arial"/>
          <w:b/>
          <w:bCs/>
        </w:rPr>
      </w:pPr>
      <w:r w:rsidRPr="00D62AE3">
        <w:rPr>
          <w:rFonts w:ascii="Arial" w:hAnsi="Arial" w:cs="Arial"/>
          <w:b/>
          <w:bCs/>
        </w:rPr>
        <w:t>Supplementary Table 1. Challenges to use digital health technology</w:t>
      </w:r>
    </w:p>
    <w:tbl>
      <w:tblPr>
        <w:tblStyle w:val="TableGrid"/>
        <w:tblW w:w="15309" w:type="dxa"/>
        <w:tblInd w:w="-572" w:type="dxa"/>
        <w:tblLook w:val="04A0" w:firstRow="1" w:lastRow="0" w:firstColumn="1" w:lastColumn="0" w:noHBand="0" w:noVBand="1"/>
      </w:tblPr>
      <w:tblGrid>
        <w:gridCol w:w="2410"/>
        <w:gridCol w:w="12899"/>
      </w:tblGrid>
      <w:tr w:rsidR="00BF73DF" w:rsidRPr="00DB58B7" w14:paraId="44E249D2" w14:textId="77777777" w:rsidTr="003601DE">
        <w:tc>
          <w:tcPr>
            <w:tcW w:w="2410" w:type="dxa"/>
          </w:tcPr>
          <w:p w14:paraId="16DD0BA0" w14:textId="77777777" w:rsidR="00BF73DF" w:rsidRPr="00C3114D" w:rsidRDefault="00BF73DF" w:rsidP="003601DE">
            <w:pPr>
              <w:jc w:val="center"/>
              <w:rPr>
                <w:rFonts w:ascii="Arial" w:hAnsi="Arial" w:cs="Arial"/>
                <w:b/>
                <w:bCs/>
              </w:rPr>
            </w:pPr>
            <w:r w:rsidRPr="00C3114D">
              <w:rPr>
                <w:rFonts w:ascii="Arial" w:hAnsi="Arial" w:cs="Arial"/>
                <w:b/>
                <w:bCs/>
              </w:rPr>
              <w:t>Areas</w:t>
            </w:r>
          </w:p>
        </w:tc>
        <w:tc>
          <w:tcPr>
            <w:tcW w:w="12899" w:type="dxa"/>
          </w:tcPr>
          <w:p w14:paraId="3913BA63" w14:textId="77777777" w:rsidR="00BF73DF" w:rsidRPr="00C3114D" w:rsidRDefault="00BF73DF" w:rsidP="003601DE">
            <w:pPr>
              <w:jc w:val="center"/>
              <w:rPr>
                <w:rFonts w:ascii="Arial" w:hAnsi="Arial" w:cs="Arial"/>
                <w:b/>
                <w:bCs/>
              </w:rPr>
            </w:pPr>
            <w:r w:rsidRPr="00C3114D">
              <w:rPr>
                <w:rFonts w:ascii="Arial" w:hAnsi="Arial" w:cs="Arial"/>
                <w:b/>
                <w:bCs/>
              </w:rPr>
              <w:t>Quotes</w:t>
            </w:r>
          </w:p>
        </w:tc>
      </w:tr>
      <w:tr w:rsidR="00BF73DF" w:rsidRPr="00DB58B7" w14:paraId="37B0FA52" w14:textId="77777777" w:rsidTr="003601DE">
        <w:tc>
          <w:tcPr>
            <w:tcW w:w="2410" w:type="dxa"/>
            <w:shd w:val="clear" w:color="auto" w:fill="F2F2F2" w:themeFill="background1" w:themeFillShade="F2"/>
          </w:tcPr>
          <w:p w14:paraId="3836DFAC" w14:textId="77777777" w:rsidR="00BF73DF" w:rsidRPr="00C3114D" w:rsidRDefault="00BF73DF" w:rsidP="003601DE">
            <w:pPr>
              <w:rPr>
                <w:rFonts w:ascii="Arial" w:hAnsi="Arial" w:cs="Arial"/>
              </w:rPr>
            </w:pPr>
            <w:r w:rsidRPr="00C3114D">
              <w:rPr>
                <w:rFonts w:ascii="Arial" w:hAnsi="Arial" w:cs="Arial"/>
              </w:rPr>
              <w:t xml:space="preserve">Technology related  challenges </w:t>
            </w:r>
          </w:p>
        </w:tc>
        <w:tc>
          <w:tcPr>
            <w:tcW w:w="12899" w:type="dxa"/>
          </w:tcPr>
          <w:p w14:paraId="2C2F8FEB" w14:textId="77777777" w:rsidR="00BF73DF" w:rsidRPr="00C3114D" w:rsidRDefault="00BF73DF" w:rsidP="003601DE">
            <w:pPr>
              <w:rPr>
                <w:rFonts w:ascii="Arial" w:hAnsi="Arial" w:cs="Arial"/>
              </w:rPr>
            </w:pPr>
          </w:p>
        </w:tc>
      </w:tr>
      <w:tr w:rsidR="00BF73DF" w:rsidRPr="00DB58B7" w14:paraId="1ED3622D" w14:textId="77777777" w:rsidTr="003601DE">
        <w:tc>
          <w:tcPr>
            <w:tcW w:w="2410" w:type="dxa"/>
          </w:tcPr>
          <w:p w14:paraId="1B7FEE5D" w14:textId="77777777" w:rsidR="00BF73DF" w:rsidRPr="00C3114D" w:rsidRDefault="00BF73DF" w:rsidP="003601DE">
            <w:pPr>
              <w:rPr>
                <w:rFonts w:ascii="Arial" w:hAnsi="Arial" w:cs="Arial"/>
              </w:rPr>
            </w:pPr>
            <w:r w:rsidRPr="00C3114D">
              <w:rPr>
                <w:rFonts w:ascii="Arial" w:hAnsi="Arial" w:cs="Arial"/>
              </w:rPr>
              <w:t xml:space="preserve">Digital infrastructure </w:t>
            </w:r>
          </w:p>
        </w:tc>
        <w:tc>
          <w:tcPr>
            <w:tcW w:w="12899" w:type="dxa"/>
          </w:tcPr>
          <w:p w14:paraId="15E81FB5" w14:textId="77777777" w:rsidR="00BF73DF" w:rsidRPr="00C3114D" w:rsidRDefault="00BF73DF" w:rsidP="003601DE">
            <w:pPr>
              <w:rPr>
                <w:rFonts w:ascii="Arial" w:hAnsi="Arial" w:cs="Arial"/>
                <w:i/>
                <w:iCs/>
              </w:rPr>
            </w:pPr>
            <w:r w:rsidRPr="00C3114D">
              <w:rPr>
                <w:rFonts w:ascii="Arial" w:hAnsi="Arial" w:cs="Arial"/>
                <w:i/>
                <w:iCs/>
              </w:rPr>
              <w:t>“A lot of remote health outstations still have basically a free Telstra phone booth. I don't know if you've ever seen them. They're phone booths where the phone number is known and if you know it you can ring it." (participant 1, GP)</w:t>
            </w:r>
          </w:p>
          <w:p w14:paraId="051525E5" w14:textId="77777777" w:rsidR="00BF73DF" w:rsidRPr="00C3114D" w:rsidRDefault="00BF73DF" w:rsidP="003601DE">
            <w:pPr>
              <w:rPr>
                <w:rFonts w:ascii="Arial" w:hAnsi="Arial" w:cs="Arial"/>
                <w:i/>
                <w:iCs/>
              </w:rPr>
            </w:pPr>
          </w:p>
          <w:p w14:paraId="175B6C14" w14:textId="77777777" w:rsidR="00BF73DF" w:rsidRPr="00C3114D" w:rsidRDefault="00BF73DF" w:rsidP="003601DE">
            <w:pPr>
              <w:rPr>
                <w:rFonts w:ascii="Arial" w:hAnsi="Arial" w:cs="Arial"/>
                <w:i/>
                <w:iCs/>
              </w:rPr>
            </w:pPr>
            <w:r w:rsidRPr="00C3114D">
              <w:rPr>
                <w:rFonts w:ascii="Arial" w:hAnsi="Arial" w:cs="Arial"/>
                <w:i/>
                <w:iCs/>
              </w:rPr>
              <w:t>“Small videos, YouTube, things that can easily be dropped into community Facebook pages, this sort of content would be great, but the current set up that we have with NT Health, we're really stuck in a model of the very old system. So, we're leading the way in clinical service provision from a digital perspective, but we are really lagging behind in this health promotion area.” (participant 10, allied health professional)</w:t>
            </w:r>
          </w:p>
          <w:p w14:paraId="294E0359" w14:textId="77777777" w:rsidR="00BF73DF" w:rsidRPr="00C3114D" w:rsidRDefault="00BF73DF" w:rsidP="003601DE">
            <w:pPr>
              <w:rPr>
                <w:rFonts w:ascii="Arial" w:hAnsi="Arial" w:cs="Arial"/>
                <w:i/>
                <w:iCs/>
              </w:rPr>
            </w:pPr>
          </w:p>
          <w:p w14:paraId="30E33D22" w14:textId="77777777" w:rsidR="00BF73DF" w:rsidRPr="00C3114D" w:rsidRDefault="00BF73DF" w:rsidP="003601DE">
            <w:pPr>
              <w:rPr>
                <w:rFonts w:ascii="Arial" w:hAnsi="Arial" w:cs="Arial"/>
                <w:i/>
                <w:iCs/>
              </w:rPr>
            </w:pPr>
            <w:bookmarkStart w:id="0" w:name="_Hlk201745054"/>
            <w:r w:rsidRPr="00C3114D">
              <w:rPr>
                <w:rFonts w:ascii="Arial" w:hAnsi="Arial" w:cs="Arial"/>
                <w:i/>
                <w:iCs/>
              </w:rPr>
              <w:t>“But mostly, the barriers with a lot of our earlier forays into particular video conferencing have been the instability of the platforms, the bandwidth available in remote communities, mostly on satellite and terrible connections feeds. So sometimes you're unable to get a video picture, but you can talk on the phone.” (participant 11, GP and senior manager)</w:t>
            </w:r>
          </w:p>
          <w:bookmarkEnd w:id="0"/>
          <w:p w14:paraId="18AD05FD" w14:textId="77777777" w:rsidR="00BF73DF" w:rsidRPr="00C3114D" w:rsidRDefault="00BF73DF" w:rsidP="003601DE">
            <w:pPr>
              <w:rPr>
                <w:rFonts w:ascii="Arial" w:hAnsi="Arial" w:cs="Arial"/>
                <w:i/>
                <w:iCs/>
              </w:rPr>
            </w:pPr>
          </w:p>
          <w:p w14:paraId="40CB7D12" w14:textId="77777777" w:rsidR="00BF73DF" w:rsidRPr="00C3114D" w:rsidRDefault="00BF73DF" w:rsidP="003601DE">
            <w:pPr>
              <w:rPr>
                <w:rFonts w:ascii="Arial" w:hAnsi="Arial" w:cs="Arial"/>
                <w:i/>
                <w:iCs/>
              </w:rPr>
            </w:pPr>
            <w:r w:rsidRPr="00C3114D">
              <w:rPr>
                <w:rFonts w:ascii="Arial" w:hAnsi="Arial" w:cs="Arial"/>
                <w:i/>
                <w:iCs/>
              </w:rPr>
              <w:t>“..So, we have the NT Health internet page with, for example, I use a lot the nutrition resources page and it's very old-school, it's very clunky. It's not designed with a user in mind. So, I think we have a lot of resources housed there that are health promotion, prevention, really, really useful stuff that not many people look at or access.” (participant 10, allied health professional)</w:t>
            </w:r>
          </w:p>
          <w:p w14:paraId="598A044A" w14:textId="77777777" w:rsidR="00BF73DF" w:rsidRPr="00C3114D" w:rsidRDefault="00BF73DF" w:rsidP="003601DE">
            <w:pPr>
              <w:rPr>
                <w:rFonts w:ascii="Arial" w:hAnsi="Arial" w:cs="Arial"/>
              </w:rPr>
            </w:pPr>
          </w:p>
        </w:tc>
      </w:tr>
      <w:tr w:rsidR="00BF73DF" w:rsidRPr="00DB58B7" w14:paraId="22C79046" w14:textId="77777777" w:rsidTr="003601DE">
        <w:tc>
          <w:tcPr>
            <w:tcW w:w="2410" w:type="dxa"/>
          </w:tcPr>
          <w:p w14:paraId="2E6A2347" w14:textId="77777777" w:rsidR="00BF73DF" w:rsidRPr="00C3114D" w:rsidRDefault="00BF73DF" w:rsidP="003601DE">
            <w:pPr>
              <w:rPr>
                <w:rFonts w:ascii="Arial" w:hAnsi="Arial" w:cs="Arial"/>
              </w:rPr>
            </w:pPr>
            <w:r w:rsidRPr="00C3114D">
              <w:rPr>
                <w:rFonts w:ascii="Arial" w:hAnsi="Arial" w:cs="Arial"/>
              </w:rPr>
              <w:t>Data structure and heterogeneity (interoperability)</w:t>
            </w:r>
          </w:p>
        </w:tc>
        <w:tc>
          <w:tcPr>
            <w:tcW w:w="12899" w:type="dxa"/>
          </w:tcPr>
          <w:p w14:paraId="38D826D9" w14:textId="77777777" w:rsidR="00BF73DF" w:rsidRPr="00C3114D" w:rsidRDefault="00BF73DF" w:rsidP="003601DE">
            <w:pPr>
              <w:rPr>
                <w:rFonts w:ascii="Arial" w:hAnsi="Arial" w:cs="Arial"/>
                <w:i/>
                <w:iCs/>
              </w:rPr>
            </w:pPr>
            <w:bookmarkStart w:id="1" w:name="_Hlk201745214"/>
            <w:r w:rsidRPr="00C3114D">
              <w:rPr>
                <w:rFonts w:ascii="Arial" w:hAnsi="Arial" w:cs="Arial"/>
                <w:i/>
                <w:iCs/>
              </w:rPr>
              <w:t>“.. So older versions of telemedicine equipment had complicated ways to log in and get through the firewall of NTG, even within the network. And that's exacerbated when you're working in a community-controlled setting, trying to get through the NTG firewall to connect and talk to a specialist colleague who works for the Northern Territory government.”  (participant 11, GP and senior manager)</w:t>
            </w:r>
          </w:p>
          <w:bookmarkEnd w:id="1"/>
          <w:p w14:paraId="57571451" w14:textId="77777777" w:rsidR="00BF73DF" w:rsidRPr="00C3114D" w:rsidRDefault="00BF73DF" w:rsidP="003601DE">
            <w:pPr>
              <w:rPr>
                <w:rFonts w:ascii="Arial" w:hAnsi="Arial" w:cs="Arial"/>
                <w:i/>
                <w:iCs/>
              </w:rPr>
            </w:pPr>
          </w:p>
          <w:p w14:paraId="42B35E30" w14:textId="77777777" w:rsidR="00BF73DF" w:rsidRPr="00C3114D" w:rsidRDefault="00BF73DF" w:rsidP="003601DE">
            <w:pPr>
              <w:rPr>
                <w:rFonts w:ascii="Arial" w:hAnsi="Arial" w:cs="Arial"/>
                <w:i/>
                <w:iCs/>
              </w:rPr>
            </w:pPr>
            <w:r w:rsidRPr="00C3114D">
              <w:rPr>
                <w:rFonts w:ascii="Arial" w:hAnsi="Arial" w:cs="Arial"/>
                <w:i/>
                <w:iCs/>
              </w:rPr>
              <w:t xml:space="preserve">“So one of my referrals, he was in the Alice Springs Corrections and I actually got the staff to assist me do that one, once they worked out how they could. Because they work the NT system which I don’t have access to at all, so she </w:t>
            </w:r>
            <w:r w:rsidRPr="00C3114D">
              <w:rPr>
                <w:rFonts w:ascii="Arial" w:hAnsi="Arial" w:cs="Arial"/>
                <w:i/>
                <w:iCs/>
              </w:rPr>
              <w:lastRenderedPageBreak/>
              <w:t>actually had to go through her personal email account and get the Zoom on for me, but we did work it out, and that worked really well actually.” (participant 3, nurse educator)</w:t>
            </w:r>
          </w:p>
          <w:p w14:paraId="76312D74" w14:textId="77777777" w:rsidR="00BF73DF" w:rsidRPr="00C3114D" w:rsidRDefault="00BF73DF" w:rsidP="003601DE">
            <w:pPr>
              <w:rPr>
                <w:rFonts w:ascii="Arial" w:hAnsi="Arial" w:cs="Arial"/>
                <w:i/>
                <w:iCs/>
              </w:rPr>
            </w:pPr>
          </w:p>
          <w:p w14:paraId="57A9A90F" w14:textId="77777777" w:rsidR="00BF73DF" w:rsidRPr="00C3114D" w:rsidRDefault="00BF73DF" w:rsidP="003601DE">
            <w:pPr>
              <w:rPr>
                <w:rFonts w:ascii="Arial" w:hAnsi="Arial" w:cs="Arial"/>
              </w:rPr>
            </w:pPr>
            <w:r w:rsidRPr="00C3114D">
              <w:rPr>
                <w:rFonts w:ascii="Arial" w:hAnsi="Arial" w:cs="Arial"/>
                <w:i/>
                <w:iCs/>
              </w:rPr>
              <w:t>“There is so many frustrations with the hospital about communications and I'm looking at, which is not relevant but maybe vaguely. On discharge summaries and specialist letters and they just don't get sent either at all or timely. And it's just they feel like they're in a world of their own and nothing exists outside the hospital and they call the shots and stuff.” (participant 6, public health nurse, coordinator)</w:t>
            </w:r>
          </w:p>
        </w:tc>
      </w:tr>
      <w:tr w:rsidR="00BF73DF" w:rsidRPr="00DB58B7" w14:paraId="0545B3B7" w14:textId="77777777" w:rsidTr="003601DE">
        <w:tc>
          <w:tcPr>
            <w:tcW w:w="2410" w:type="dxa"/>
            <w:shd w:val="clear" w:color="auto" w:fill="F2F2F2" w:themeFill="background1" w:themeFillShade="F2"/>
          </w:tcPr>
          <w:p w14:paraId="5CF68F84" w14:textId="77777777" w:rsidR="00BF73DF" w:rsidRPr="00C3114D" w:rsidRDefault="00BF73DF" w:rsidP="003601DE">
            <w:pPr>
              <w:rPr>
                <w:rFonts w:ascii="Arial" w:hAnsi="Arial" w:cs="Arial"/>
              </w:rPr>
            </w:pPr>
            <w:r w:rsidRPr="00C3114D">
              <w:rPr>
                <w:rFonts w:ascii="Arial" w:hAnsi="Arial" w:cs="Arial"/>
              </w:rPr>
              <w:lastRenderedPageBreak/>
              <w:t>Non-technological challenges</w:t>
            </w:r>
          </w:p>
        </w:tc>
        <w:tc>
          <w:tcPr>
            <w:tcW w:w="12899" w:type="dxa"/>
          </w:tcPr>
          <w:p w14:paraId="79EC9CBB" w14:textId="77777777" w:rsidR="00BF73DF" w:rsidRPr="00C3114D" w:rsidRDefault="00BF73DF" w:rsidP="003601DE">
            <w:pPr>
              <w:rPr>
                <w:rFonts w:ascii="Arial" w:hAnsi="Arial" w:cs="Arial"/>
              </w:rPr>
            </w:pPr>
          </w:p>
        </w:tc>
      </w:tr>
      <w:tr w:rsidR="00BF73DF" w:rsidRPr="00DB58B7" w14:paraId="37F72E31" w14:textId="77777777" w:rsidTr="003601DE">
        <w:tc>
          <w:tcPr>
            <w:tcW w:w="2410" w:type="dxa"/>
          </w:tcPr>
          <w:p w14:paraId="5E0C17AB" w14:textId="77777777" w:rsidR="00BF73DF" w:rsidRPr="00C3114D" w:rsidRDefault="00BF73DF" w:rsidP="003601DE">
            <w:pPr>
              <w:rPr>
                <w:rFonts w:ascii="Arial" w:hAnsi="Arial" w:cs="Arial"/>
              </w:rPr>
            </w:pPr>
            <w:r w:rsidRPr="00C3114D">
              <w:rPr>
                <w:rFonts w:ascii="Arial" w:hAnsi="Arial" w:cs="Arial"/>
              </w:rPr>
              <w:t xml:space="preserve">Patient factors </w:t>
            </w:r>
          </w:p>
          <w:p w14:paraId="10F4F110" w14:textId="77777777" w:rsidR="00BF73DF" w:rsidRPr="00C3114D" w:rsidRDefault="00BF73DF" w:rsidP="003601DE">
            <w:pPr>
              <w:rPr>
                <w:rFonts w:ascii="Arial" w:hAnsi="Arial" w:cs="Arial"/>
              </w:rPr>
            </w:pPr>
            <w:r w:rsidRPr="00C3114D">
              <w:rPr>
                <w:rFonts w:ascii="Arial" w:hAnsi="Arial" w:cs="Arial"/>
              </w:rPr>
              <w:t>(digital device ownership, digital literacy, engagement)</w:t>
            </w:r>
          </w:p>
        </w:tc>
        <w:tc>
          <w:tcPr>
            <w:tcW w:w="12899" w:type="dxa"/>
          </w:tcPr>
          <w:p w14:paraId="1FD0A28B" w14:textId="77777777" w:rsidR="00BF73DF" w:rsidRPr="00C3114D" w:rsidRDefault="00BF73DF" w:rsidP="003601DE">
            <w:pPr>
              <w:rPr>
                <w:rFonts w:ascii="Arial" w:hAnsi="Arial" w:cs="Arial"/>
                <w:i/>
                <w:iCs/>
              </w:rPr>
            </w:pPr>
            <w:bookmarkStart w:id="2" w:name="_Hlk201745507"/>
            <w:r w:rsidRPr="00C3114D">
              <w:rPr>
                <w:rFonts w:ascii="Arial" w:hAnsi="Arial" w:cs="Arial"/>
                <w:i/>
                <w:iCs/>
              </w:rPr>
              <w:t>“I think a lot of the time the deficiency is in the remote outstations and you're lucky if you've got a phone.</w:t>
            </w:r>
            <w:bookmarkEnd w:id="2"/>
            <w:r w:rsidRPr="00C3114D">
              <w:rPr>
                <w:rFonts w:ascii="Arial" w:hAnsi="Arial" w:cs="Arial"/>
                <w:i/>
                <w:iCs/>
              </w:rPr>
              <w:t xml:space="preserve">” </w:t>
            </w:r>
            <w:bookmarkStart w:id="3" w:name="_Hlk201745515"/>
            <w:r w:rsidRPr="00C3114D">
              <w:rPr>
                <w:rFonts w:ascii="Arial" w:hAnsi="Arial" w:cs="Arial"/>
                <w:i/>
                <w:iCs/>
              </w:rPr>
              <w:t>(participant 1, GP)</w:t>
            </w:r>
          </w:p>
          <w:bookmarkEnd w:id="3"/>
          <w:p w14:paraId="21F87D06" w14:textId="77777777" w:rsidR="00BF73DF" w:rsidRPr="00C3114D" w:rsidRDefault="00BF73DF" w:rsidP="003601DE">
            <w:pPr>
              <w:rPr>
                <w:rFonts w:ascii="Arial" w:hAnsi="Arial" w:cs="Arial"/>
              </w:rPr>
            </w:pPr>
          </w:p>
          <w:p w14:paraId="54E11071" w14:textId="77777777" w:rsidR="00BF73DF" w:rsidRPr="00C3114D" w:rsidRDefault="00BF73DF" w:rsidP="003601DE">
            <w:pPr>
              <w:rPr>
                <w:rFonts w:ascii="Arial" w:hAnsi="Arial" w:cs="Arial"/>
                <w:i/>
                <w:iCs/>
              </w:rPr>
            </w:pPr>
            <w:bookmarkStart w:id="4" w:name="_Hlk201745791"/>
            <w:r w:rsidRPr="00C3114D">
              <w:rPr>
                <w:rFonts w:ascii="Arial" w:hAnsi="Arial" w:cs="Arial"/>
                <w:i/>
                <w:iCs/>
              </w:rPr>
              <w:t>“And then there's digital literacy. So very familiar with Aboriginal friends that I've known and very vulnerable to all sorts of digital literacy issues, whether that be scams or viruses, or content that's not appropriate. So there's lots of challenges in terms of navigating that space. As you know, it's very overwhelming.” (participant 11, GP and senior manager)</w:t>
            </w:r>
          </w:p>
          <w:bookmarkEnd w:id="4"/>
          <w:p w14:paraId="5940A0E8" w14:textId="77777777" w:rsidR="00BF73DF" w:rsidRPr="00C3114D" w:rsidRDefault="00BF73DF" w:rsidP="003601DE">
            <w:pPr>
              <w:rPr>
                <w:rFonts w:ascii="Arial" w:hAnsi="Arial" w:cs="Arial"/>
              </w:rPr>
            </w:pPr>
          </w:p>
          <w:p w14:paraId="1F69C6AA" w14:textId="77777777" w:rsidR="00BF73DF" w:rsidRPr="00C3114D" w:rsidRDefault="00BF73DF" w:rsidP="003601DE">
            <w:pPr>
              <w:rPr>
                <w:rFonts w:ascii="Arial" w:hAnsi="Arial" w:cs="Arial"/>
                <w:i/>
                <w:iCs/>
              </w:rPr>
            </w:pPr>
            <w:r w:rsidRPr="00C3114D">
              <w:rPr>
                <w:rFonts w:ascii="Arial" w:hAnsi="Arial" w:cs="Arial"/>
                <w:i/>
                <w:iCs/>
              </w:rPr>
              <w:t>“So, there’s still that divide around health services that’s favouring people who are already doing okay, and lesser for people who are struggling, and I think we see that out bush already as well, the digital infrastructure, people’s literacy around Digital Health and digital and IT services that reduce, and that’s helping to reduce the take-up of potentially helpful technologies.” (participant 11, GP and senior manager)</w:t>
            </w:r>
          </w:p>
        </w:tc>
      </w:tr>
      <w:tr w:rsidR="00BF73DF" w:rsidRPr="00DB58B7" w14:paraId="4EB2A067" w14:textId="77777777" w:rsidTr="003601DE">
        <w:trPr>
          <w:trHeight w:val="651"/>
        </w:trPr>
        <w:tc>
          <w:tcPr>
            <w:tcW w:w="2410" w:type="dxa"/>
          </w:tcPr>
          <w:p w14:paraId="20B3DDC0" w14:textId="77777777" w:rsidR="00BF73DF" w:rsidRPr="00C3114D" w:rsidRDefault="00BF73DF" w:rsidP="003601DE">
            <w:pPr>
              <w:rPr>
                <w:rFonts w:ascii="Arial" w:hAnsi="Arial" w:cs="Arial"/>
              </w:rPr>
            </w:pPr>
            <w:r w:rsidRPr="00C3114D">
              <w:rPr>
                <w:rFonts w:ascii="Arial" w:hAnsi="Arial" w:cs="Arial"/>
              </w:rPr>
              <w:t>Health services and health workers factors (staff availability to support telehealth, wait time, lack of flexibility)</w:t>
            </w:r>
          </w:p>
        </w:tc>
        <w:tc>
          <w:tcPr>
            <w:tcW w:w="12899" w:type="dxa"/>
          </w:tcPr>
          <w:p w14:paraId="2F4EE153" w14:textId="77777777" w:rsidR="00BF73DF" w:rsidRPr="00C3114D" w:rsidRDefault="00BF73DF" w:rsidP="003601DE">
            <w:pPr>
              <w:rPr>
                <w:rFonts w:ascii="Arial" w:hAnsi="Arial" w:cs="Arial"/>
                <w:i/>
                <w:iCs/>
              </w:rPr>
            </w:pPr>
            <w:bookmarkStart w:id="5" w:name="_Hlk201745976"/>
            <w:r w:rsidRPr="00C3114D">
              <w:rPr>
                <w:rFonts w:ascii="Arial" w:hAnsi="Arial" w:cs="Arial"/>
                <w:i/>
                <w:iCs/>
              </w:rPr>
              <w:t>“They [the PHC clinic staff] know a particular process [to attend telehealth] is terrible. They don't like it, but they don't have capacity to just stop for half an hour and say, "This process is rubbish. Well, how are we going to change it?" That's what people who are overwhelmed do. They don't have time to stop and say, "Let's fix this." (participant 5, manager)</w:t>
            </w:r>
          </w:p>
          <w:bookmarkEnd w:id="5"/>
          <w:p w14:paraId="0026E713" w14:textId="77777777" w:rsidR="00BF73DF" w:rsidRPr="00C3114D" w:rsidRDefault="00BF73DF" w:rsidP="003601DE">
            <w:pPr>
              <w:rPr>
                <w:rFonts w:ascii="Arial" w:hAnsi="Arial" w:cs="Arial"/>
              </w:rPr>
            </w:pPr>
          </w:p>
          <w:p w14:paraId="6F7B8709" w14:textId="77777777" w:rsidR="00BF73DF" w:rsidRPr="00C3114D" w:rsidRDefault="00BF73DF" w:rsidP="003601DE">
            <w:pPr>
              <w:rPr>
                <w:rFonts w:ascii="Arial" w:hAnsi="Arial" w:cs="Arial"/>
                <w:i/>
                <w:iCs/>
              </w:rPr>
            </w:pPr>
            <w:r w:rsidRPr="00C3114D">
              <w:rPr>
                <w:rFonts w:ascii="Arial" w:hAnsi="Arial" w:cs="Arial"/>
                <w:i/>
                <w:iCs/>
              </w:rPr>
              <w:t>“there's limited staff here, you know. It's, and as well it's medical, you couldn't just have somebody with no medical background sitting in, you know, because we need to take notes and write on the notes and stuff.” (participant 12, RAN)</w:t>
            </w:r>
          </w:p>
          <w:p w14:paraId="70F85AE1" w14:textId="77777777" w:rsidR="00BF73DF" w:rsidRPr="00C3114D" w:rsidRDefault="00BF73DF" w:rsidP="003601DE">
            <w:pPr>
              <w:rPr>
                <w:rFonts w:ascii="Arial" w:hAnsi="Arial" w:cs="Arial"/>
              </w:rPr>
            </w:pPr>
          </w:p>
          <w:p w14:paraId="02C366A6" w14:textId="77777777" w:rsidR="00BF73DF" w:rsidRPr="00C3114D" w:rsidRDefault="00BF73DF" w:rsidP="003601DE">
            <w:pPr>
              <w:rPr>
                <w:rFonts w:ascii="Arial" w:hAnsi="Arial" w:cs="Arial"/>
                <w:i/>
                <w:iCs/>
              </w:rPr>
            </w:pPr>
            <w:r w:rsidRPr="00C3114D">
              <w:rPr>
                <w:rFonts w:ascii="Arial" w:hAnsi="Arial" w:cs="Arial"/>
                <w:i/>
                <w:iCs/>
              </w:rPr>
              <w:lastRenderedPageBreak/>
              <w:t>“But you were also talking about a system where they can tell us, "There's five in front of you," so we're going to be late. So we can say to the patient, "Look, sorry, they're running behind."  Yeah, that's probably the biggest one, I reckon, the wait time. But you know, it's not a whole lot you can do about that, if the consult’s meant to be 15 minutes and it turns out to be a complicated consult and it’s half an hour, you know? That's just life.” (participant 13, RAN)</w:t>
            </w:r>
          </w:p>
          <w:p w14:paraId="1D4599FE" w14:textId="77777777" w:rsidR="00BF73DF" w:rsidRPr="00C3114D" w:rsidRDefault="00BF73DF" w:rsidP="003601DE">
            <w:pPr>
              <w:rPr>
                <w:rFonts w:ascii="Arial" w:hAnsi="Arial" w:cs="Arial"/>
              </w:rPr>
            </w:pPr>
          </w:p>
          <w:p w14:paraId="123154C9" w14:textId="77777777" w:rsidR="00BF73DF" w:rsidRPr="00C3114D" w:rsidRDefault="00BF73DF" w:rsidP="003601DE">
            <w:pPr>
              <w:rPr>
                <w:rFonts w:ascii="Arial" w:hAnsi="Arial" w:cs="Arial"/>
                <w:i/>
                <w:iCs/>
              </w:rPr>
            </w:pPr>
            <w:r w:rsidRPr="00C3114D">
              <w:rPr>
                <w:rFonts w:ascii="Arial" w:hAnsi="Arial" w:cs="Arial"/>
                <w:i/>
                <w:iCs/>
              </w:rPr>
              <w:t>“Well, like in [a very remote community in Central Australia], we did do a few tele things there, but we just take it on board. You just know that nurse is doing a telehealth, just wipe them out for probably an hour. So be it. People are going to have to wait. But if you're face-to-face in a clinic, if they're running late, you just have to wait. It's no different, really.” (participant 13, RAN)</w:t>
            </w:r>
          </w:p>
          <w:p w14:paraId="098E4D48" w14:textId="77777777" w:rsidR="00BF73DF" w:rsidRPr="00C3114D" w:rsidRDefault="00BF73DF" w:rsidP="003601DE">
            <w:pPr>
              <w:rPr>
                <w:rFonts w:ascii="Arial" w:hAnsi="Arial" w:cs="Arial"/>
              </w:rPr>
            </w:pPr>
          </w:p>
          <w:p w14:paraId="333787B7" w14:textId="77777777" w:rsidR="00BF73DF" w:rsidRPr="00C3114D" w:rsidRDefault="00BF73DF" w:rsidP="003601DE">
            <w:pPr>
              <w:rPr>
                <w:rFonts w:ascii="Arial" w:hAnsi="Arial" w:cs="Arial"/>
                <w:i/>
                <w:iCs/>
              </w:rPr>
            </w:pPr>
            <w:r w:rsidRPr="00C3114D">
              <w:rPr>
                <w:rFonts w:ascii="Arial" w:hAnsi="Arial" w:cs="Arial"/>
                <w:i/>
                <w:iCs/>
              </w:rPr>
              <w:t>“So that model of care is continually disrupted, and that's also disrupted by specialist outreach by telehealth. Because telehealth doesn't involve consumers participating from the comfort of their own home, it often involves staff being diverted from routine primary healthcare activities to actually chaperone a telehealth consultation.” (participant 11, GP and senior manager)</w:t>
            </w:r>
          </w:p>
          <w:p w14:paraId="745E5909" w14:textId="77777777" w:rsidR="00BF73DF" w:rsidRPr="00C3114D" w:rsidRDefault="00BF73DF" w:rsidP="003601DE">
            <w:pPr>
              <w:rPr>
                <w:rFonts w:ascii="Arial" w:hAnsi="Arial" w:cs="Arial"/>
              </w:rPr>
            </w:pPr>
          </w:p>
          <w:p w14:paraId="628A9B23" w14:textId="77777777" w:rsidR="00BF73DF" w:rsidRPr="00C3114D" w:rsidRDefault="00BF73DF" w:rsidP="003601DE">
            <w:pPr>
              <w:rPr>
                <w:rFonts w:ascii="Arial" w:hAnsi="Arial" w:cs="Arial"/>
                <w:i/>
                <w:iCs/>
              </w:rPr>
            </w:pPr>
            <w:r w:rsidRPr="00C3114D">
              <w:rPr>
                <w:rFonts w:ascii="Arial" w:hAnsi="Arial" w:cs="Arial"/>
                <w:i/>
                <w:iCs/>
              </w:rPr>
              <w:t>“they were trying get some specialist telehealth happening and both the specialists and [PHC clinic] were frustrated because it was the hospital saying, "Oh, this is when you are doing telehealth". So there's no flexibility about timing.” (participant 6, public health nurse, coordinator)</w:t>
            </w:r>
          </w:p>
          <w:p w14:paraId="7A6E8B11" w14:textId="77777777" w:rsidR="00BF73DF" w:rsidRPr="00C3114D" w:rsidRDefault="00BF73DF" w:rsidP="003601DE">
            <w:pPr>
              <w:rPr>
                <w:rFonts w:ascii="Arial" w:hAnsi="Arial" w:cs="Arial"/>
              </w:rPr>
            </w:pPr>
          </w:p>
          <w:p w14:paraId="7DDA06F4" w14:textId="77777777" w:rsidR="00BF73DF" w:rsidRPr="00C3114D" w:rsidRDefault="00BF73DF" w:rsidP="003601DE">
            <w:pPr>
              <w:rPr>
                <w:rFonts w:ascii="Arial" w:hAnsi="Arial" w:cs="Arial"/>
                <w:i/>
                <w:iCs/>
              </w:rPr>
            </w:pPr>
            <w:r w:rsidRPr="00C3114D">
              <w:rPr>
                <w:rFonts w:ascii="Arial" w:hAnsi="Arial" w:cs="Arial"/>
                <w:i/>
                <w:iCs/>
              </w:rPr>
              <w:t>“So key challenges, obviously would be around, are they going to scheduled appointments or are they going to be you just rock up and you see the doctor? Because that's also another way that community work. They come out to the doctor and they wait for their turn. If it was a planned and scheduled session, I suppose it would be very important to have someone coordinating that on the ground, … someone actually organising and just supporting the person to log in and get on [to teleconsultation] and those kind of things would be essential for it [telehealth] to work. Otherwise, you may have the GP sitting there and talking to nobody, would be the risk.” (participant 15, aboriginal health practitioner, RAN, coordinator)</w:t>
            </w:r>
          </w:p>
          <w:p w14:paraId="3049C18B" w14:textId="77777777" w:rsidR="00BF73DF" w:rsidRPr="00C3114D" w:rsidRDefault="00BF73DF" w:rsidP="003601DE">
            <w:pPr>
              <w:rPr>
                <w:rFonts w:ascii="Arial" w:hAnsi="Arial" w:cs="Arial"/>
              </w:rPr>
            </w:pPr>
          </w:p>
          <w:p w14:paraId="1892B190" w14:textId="77777777" w:rsidR="00BF73DF" w:rsidRPr="00C3114D" w:rsidRDefault="00BF73DF" w:rsidP="003601DE">
            <w:pPr>
              <w:rPr>
                <w:rFonts w:ascii="Arial" w:hAnsi="Arial" w:cs="Arial"/>
              </w:rPr>
            </w:pPr>
            <w:r w:rsidRPr="00C3114D">
              <w:rPr>
                <w:rFonts w:ascii="Arial" w:hAnsi="Arial" w:cs="Arial"/>
                <w:i/>
                <w:iCs/>
              </w:rPr>
              <w:t xml:space="preserve">“So that model of care is continually disrupted, and that's also disrupted by specialist outreach, by telehealth. Because telehealth doesn't involve consumers participating from the comfort of their own home, it often involves staff being diverted from routine primary healthcare activities to actually chaperone a telehealth consultation. So we're, again, displacing core primary healthcare activity. So instead of doing immunisations or baby ways or, well, person health </w:t>
            </w:r>
            <w:r w:rsidRPr="00C3114D">
              <w:rPr>
                <w:rFonts w:ascii="Arial" w:hAnsi="Arial" w:cs="Arial"/>
                <w:i/>
                <w:iCs/>
              </w:rPr>
              <w:lastRenderedPageBreak/>
              <w:t>checks, we're facilitating a specialist conversation between a patient and their specialist consultation [via telehealth].” (participant 11, GP and senior manager)</w:t>
            </w:r>
          </w:p>
        </w:tc>
      </w:tr>
      <w:tr w:rsidR="00BF73DF" w:rsidRPr="00DB58B7" w14:paraId="3EAFC7A8" w14:textId="77777777" w:rsidTr="003601DE">
        <w:tc>
          <w:tcPr>
            <w:tcW w:w="2410" w:type="dxa"/>
          </w:tcPr>
          <w:p w14:paraId="35C06703" w14:textId="77777777" w:rsidR="00BF73DF" w:rsidRPr="00C3114D" w:rsidRDefault="00BF73DF" w:rsidP="003601DE">
            <w:pPr>
              <w:rPr>
                <w:rFonts w:ascii="Arial" w:hAnsi="Arial" w:cs="Arial"/>
              </w:rPr>
            </w:pPr>
            <w:r w:rsidRPr="00C3114D">
              <w:rPr>
                <w:rFonts w:ascii="Arial" w:hAnsi="Arial" w:cs="Arial"/>
              </w:rPr>
              <w:lastRenderedPageBreak/>
              <w:t>Public/societal factors</w:t>
            </w:r>
          </w:p>
          <w:p w14:paraId="313C9E88" w14:textId="77777777" w:rsidR="00BF73DF" w:rsidRPr="00C3114D" w:rsidRDefault="00BF73DF" w:rsidP="003601DE">
            <w:pPr>
              <w:rPr>
                <w:rFonts w:ascii="Arial" w:hAnsi="Arial" w:cs="Arial"/>
              </w:rPr>
            </w:pPr>
            <w:r w:rsidRPr="00C3114D">
              <w:rPr>
                <w:rFonts w:ascii="Arial" w:hAnsi="Arial" w:cs="Arial"/>
              </w:rPr>
              <w:t xml:space="preserve"> (ethics, acceptance, public education)</w:t>
            </w:r>
          </w:p>
        </w:tc>
        <w:tc>
          <w:tcPr>
            <w:tcW w:w="12899" w:type="dxa"/>
          </w:tcPr>
          <w:p w14:paraId="7D9A82F9" w14:textId="77777777" w:rsidR="00BF73DF" w:rsidRPr="00C3114D" w:rsidRDefault="00BF73DF" w:rsidP="003601DE">
            <w:pPr>
              <w:rPr>
                <w:rFonts w:ascii="Arial" w:hAnsi="Arial" w:cs="Arial"/>
                <w:i/>
                <w:iCs/>
              </w:rPr>
            </w:pPr>
            <w:r w:rsidRPr="00C3114D">
              <w:rPr>
                <w:rFonts w:ascii="Arial" w:hAnsi="Arial" w:cs="Arial"/>
                <w:i/>
                <w:iCs/>
              </w:rPr>
              <w:t>“And then as I was alluding to before, I guess, about assurances around the messages being understood about what was communicated. And so I think that's a major risk in terms of, and the way we currently manage that risk is to have a senior clinician like myself in the room with the patient as they have a telemedicine consult, but that's not sustainable.” (participant 11, GP and senior manager)</w:t>
            </w:r>
          </w:p>
          <w:p w14:paraId="2B9F73CF" w14:textId="77777777" w:rsidR="00BF73DF" w:rsidRPr="00C3114D" w:rsidRDefault="00BF73DF" w:rsidP="003601DE">
            <w:pPr>
              <w:rPr>
                <w:rFonts w:ascii="Arial" w:hAnsi="Arial" w:cs="Arial"/>
              </w:rPr>
            </w:pPr>
          </w:p>
          <w:p w14:paraId="1F2A8EAA" w14:textId="77777777" w:rsidR="00BF73DF" w:rsidRPr="00C3114D" w:rsidRDefault="00BF73DF" w:rsidP="003601DE">
            <w:pPr>
              <w:rPr>
                <w:rFonts w:ascii="Arial" w:hAnsi="Arial" w:cs="Arial"/>
                <w:i/>
                <w:iCs/>
              </w:rPr>
            </w:pPr>
            <w:r w:rsidRPr="00C3114D">
              <w:rPr>
                <w:rFonts w:ascii="Arial" w:hAnsi="Arial" w:cs="Arial"/>
                <w:i/>
                <w:iCs/>
              </w:rPr>
              <w:t>“I mean they [telehealth consultations] are good, they can replace some face-to-face services, some face-to-face visits to Darwin, but in some cases they can't. But there is an underlying problem with just telehealth, is that in the end it's got some of the same problems [people not turning up for appointment] as a face-to-face interaction.” (participant 2, allied health professional)</w:t>
            </w:r>
          </w:p>
        </w:tc>
      </w:tr>
      <w:tr w:rsidR="00BF73DF" w:rsidRPr="00DB58B7" w14:paraId="42378FCA" w14:textId="77777777" w:rsidTr="003601DE">
        <w:tc>
          <w:tcPr>
            <w:tcW w:w="2410" w:type="dxa"/>
          </w:tcPr>
          <w:p w14:paraId="788B3ED6" w14:textId="77777777" w:rsidR="00BF73DF" w:rsidRPr="00C3114D" w:rsidRDefault="00BF73DF" w:rsidP="003601DE">
            <w:pPr>
              <w:rPr>
                <w:rFonts w:ascii="Arial" w:hAnsi="Arial" w:cs="Arial"/>
              </w:rPr>
            </w:pPr>
            <w:r w:rsidRPr="00C3114D">
              <w:rPr>
                <w:rFonts w:ascii="Arial" w:hAnsi="Arial" w:cs="Arial"/>
              </w:rPr>
              <w:t xml:space="preserve">Policy factors (financial, regulatory) </w:t>
            </w:r>
          </w:p>
        </w:tc>
        <w:tc>
          <w:tcPr>
            <w:tcW w:w="12899" w:type="dxa"/>
          </w:tcPr>
          <w:p w14:paraId="10F68A89" w14:textId="77777777" w:rsidR="00BF73DF" w:rsidRPr="00C3114D" w:rsidRDefault="00BF73DF" w:rsidP="003601DE">
            <w:pPr>
              <w:rPr>
                <w:rFonts w:ascii="Arial" w:hAnsi="Arial" w:cs="Arial"/>
                <w:i/>
                <w:iCs/>
              </w:rPr>
            </w:pPr>
            <w:r w:rsidRPr="00C3114D">
              <w:rPr>
                <w:rFonts w:ascii="Arial" w:hAnsi="Arial" w:cs="Arial"/>
                <w:i/>
                <w:iCs/>
              </w:rPr>
              <w:t>“But a lot of these technologies that say or have proven that they save money. Point Of Care testing, telehealth. But all the work and the money is not [placed on ]....on the primary healthcare service. And so they [PHC clinics] don't benefit from any of the cost savings that happen. But point-of-care say, it's supposed to save one in every two or three dollars. So they're not seeing that, they're not seeing any of those savings. And so that's really frustrating.” (participant 6, public health nurse, coordinator)</w:t>
            </w:r>
          </w:p>
          <w:p w14:paraId="5D2D67BC" w14:textId="77777777" w:rsidR="00BF73DF" w:rsidRPr="00C3114D" w:rsidRDefault="00BF73DF" w:rsidP="003601DE">
            <w:pPr>
              <w:rPr>
                <w:rFonts w:ascii="Arial" w:hAnsi="Arial" w:cs="Arial"/>
              </w:rPr>
            </w:pPr>
          </w:p>
          <w:p w14:paraId="31F17974" w14:textId="77777777" w:rsidR="00BF73DF" w:rsidRPr="00C3114D" w:rsidRDefault="00BF73DF" w:rsidP="003601DE">
            <w:pPr>
              <w:rPr>
                <w:rFonts w:ascii="Arial" w:hAnsi="Arial" w:cs="Arial"/>
                <w:i/>
                <w:iCs/>
              </w:rPr>
            </w:pPr>
            <w:r w:rsidRPr="00C3114D">
              <w:rPr>
                <w:rFonts w:ascii="Arial" w:hAnsi="Arial" w:cs="Arial"/>
                <w:i/>
                <w:iCs/>
              </w:rPr>
              <w:t>“Then managing what is doable and what is good for the community is hard. I think outreach clinics are better off in those aspects where we do get to do beyond scheduled clinic visits, and do some work around health promotion in the community. They have different funding scheme which I think works better than Medicare fundings.” (participant 16, allied health professional)</w:t>
            </w:r>
          </w:p>
          <w:p w14:paraId="17CD2F09" w14:textId="77777777" w:rsidR="00BF73DF" w:rsidRPr="00C3114D" w:rsidRDefault="00BF73DF" w:rsidP="003601DE">
            <w:pPr>
              <w:rPr>
                <w:rFonts w:ascii="Arial" w:hAnsi="Arial" w:cs="Arial"/>
              </w:rPr>
            </w:pPr>
          </w:p>
          <w:p w14:paraId="35922238" w14:textId="77777777" w:rsidR="00BF73DF" w:rsidRPr="00C3114D" w:rsidRDefault="00BF73DF" w:rsidP="003601DE">
            <w:pPr>
              <w:rPr>
                <w:rFonts w:ascii="Arial" w:hAnsi="Arial" w:cs="Arial"/>
                <w:i/>
                <w:iCs/>
              </w:rPr>
            </w:pPr>
            <w:r w:rsidRPr="00C3114D">
              <w:rPr>
                <w:rFonts w:ascii="Arial" w:hAnsi="Arial" w:cs="Arial"/>
                <w:i/>
                <w:iCs/>
              </w:rPr>
              <w:t>“So the Medicare changes in COVID made me really angry because it just increased the inequity of healthcare really, to Aboriginal and Torres Strait Islander people because that recognition of needing to have a health worker with the patient doing the...  It wasn't recognised. So the human resources…it won't work well if there isn't a local health provider to support clients.” (participant 6, public health nurse, coordinator)</w:t>
            </w:r>
          </w:p>
        </w:tc>
      </w:tr>
    </w:tbl>
    <w:p w14:paraId="6894233A" w14:textId="77777777" w:rsidR="00BF73DF" w:rsidRPr="00D62AE3" w:rsidRDefault="00BF73DF" w:rsidP="00BF73DF">
      <w:pPr>
        <w:rPr>
          <w:rFonts w:ascii="Arial" w:hAnsi="Arial" w:cs="Arial"/>
        </w:rPr>
      </w:pPr>
    </w:p>
    <w:p w14:paraId="16186906" w14:textId="77777777" w:rsidR="00BF73DF" w:rsidRPr="00C3114D" w:rsidRDefault="00BF73DF" w:rsidP="00BF73DF">
      <w:pPr>
        <w:rPr>
          <w:rFonts w:ascii="Arial" w:hAnsi="Arial" w:cs="Arial"/>
          <w:b/>
          <w:bCs/>
          <w:sz w:val="28"/>
          <w:szCs w:val="28"/>
        </w:rPr>
      </w:pPr>
    </w:p>
    <w:p w14:paraId="7B1D6722" w14:textId="77777777" w:rsidR="00A91650" w:rsidRDefault="00A91650"/>
    <w:sectPr w:rsidR="00A91650" w:rsidSect="00BF73DF">
      <w:headerReference w:type="default" r:id="rId4"/>
      <w:footerReference w:type="default" r:id="rId5"/>
      <w:pgSz w:w="16838" w:h="11906" w:orient="landscape"/>
      <w:pgMar w:top="1440" w:right="992" w:bottom="992"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8309110"/>
      <w:docPartObj>
        <w:docPartGallery w:val="Page Numbers (Bottom of Page)"/>
        <w:docPartUnique/>
      </w:docPartObj>
    </w:sdtPr>
    <w:sdtEndPr>
      <w:rPr>
        <w:rFonts w:ascii="Arial" w:hAnsi="Arial" w:cs="Arial"/>
      </w:rPr>
    </w:sdtEndPr>
    <w:sdtContent>
      <w:p w14:paraId="381A82E0" w14:textId="77777777" w:rsidR="00BF73DF" w:rsidRPr="00720517" w:rsidRDefault="00BF73DF">
        <w:pPr>
          <w:pStyle w:val="Footer"/>
          <w:jc w:val="right"/>
          <w:rPr>
            <w:rFonts w:ascii="Arial" w:hAnsi="Arial" w:cs="Arial"/>
          </w:rPr>
        </w:pPr>
        <w:r w:rsidRPr="00720517">
          <w:rPr>
            <w:rFonts w:ascii="Arial" w:hAnsi="Arial" w:cs="Arial"/>
            <w:noProof/>
          </w:rPr>
          <w:drawing>
            <wp:anchor distT="0" distB="0" distL="114300" distR="114300" simplePos="0" relativeHeight="251659264" behindDoc="1" locked="0" layoutInCell="1" allowOverlap="1" wp14:anchorId="19566294" wp14:editId="22108B6E">
              <wp:simplePos x="0" y="0"/>
              <wp:positionH relativeFrom="margin">
                <wp:posOffset>1433121</wp:posOffset>
              </wp:positionH>
              <wp:positionV relativeFrom="paragraph">
                <wp:posOffset>47625</wp:posOffset>
              </wp:positionV>
              <wp:extent cx="5731510" cy="193675"/>
              <wp:effectExtent l="0" t="0" r="0" b="0"/>
              <wp:wrapTight wrapText="bothSides">
                <wp:wrapPolygon edited="0">
                  <wp:start x="72" y="0"/>
                  <wp:lineTo x="72" y="10623"/>
                  <wp:lineTo x="21466" y="10623"/>
                  <wp:lineTo x="21466" y="0"/>
                  <wp:lineTo x="72" y="0"/>
                </wp:wrapPolygon>
              </wp:wrapTight>
              <wp:docPr id="155341036" name="Picture 4"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41036" name="Picture 13" descr="Background pattern&#10;&#10;Description automatically generated with low confidence"/>
                      <pic:cNvPicPr>
                        <a:picLocks noChangeAspect="1" noChangeArrowheads="1"/>
                      </pic:cNvPicPr>
                    </pic:nvPicPr>
                    <pic:blipFill>
                      <a:blip r:embed="rId1" cstate="print">
                        <a:extLst>
                          <a:ext uri="{28A0092B-C50C-407E-A947-70E740481C1C}">
                            <a14:useLocalDpi xmlns:a14="http://schemas.microsoft.com/office/drawing/2010/main" val="0"/>
                          </a:ext>
                        </a:extLst>
                      </a:blip>
                      <a:srcRect t="73707"/>
                      <a:stretch>
                        <a:fillRect/>
                      </a:stretch>
                    </pic:blipFill>
                    <pic:spPr bwMode="auto">
                      <a:xfrm>
                        <a:off x="0" y="0"/>
                        <a:ext cx="5731510" cy="1936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20517">
          <w:rPr>
            <w:rFonts w:ascii="Arial" w:hAnsi="Arial" w:cs="Arial"/>
          </w:rPr>
          <w:t xml:space="preserve">Page | </w:t>
        </w:r>
        <w:r w:rsidRPr="00720517">
          <w:rPr>
            <w:rFonts w:ascii="Arial" w:hAnsi="Arial" w:cs="Arial"/>
          </w:rPr>
          <w:fldChar w:fldCharType="begin"/>
        </w:r>
        <w:r w:rsidRPr="00720517">
          <w:rPr>
            <w:rFonts w:ascii="Arial" w:hAnsi="Arial" w:cs="Arial"/>
          </w:rPr>
          <w:instrText xml:space="preserve"> PAGE   \* MERGEFORMAT </w:instrText>
        </w:r>
        <w:r w:rsidRPr="00720517">
          <w:rPr>
            <w:rFonts w:ascii="Arial" w:hAnsi="Arial" w:cs="Arial"/>
          </w:rPr>
          <w:fldChar w:fldCharType="separate"/>
        </w:r>
        <w:r w:rsidRPr="00720517">
          <w:rPr>
            <w:rFonts w:ascii="Arial" w:hAnsi="Arial" w:cs="Arial"/>
            <w:noProof/>
          </w:rPr>
          <w:t>2</w:t>
        </w:r>
        <w:r w:rsidRPr="00720517">
          <w:rPr>
            <w:rFonts w:ascii="Arial" w:hAnsi="Arial" w:cs="Arial"/>
            <w:noProof/>
          </w:rPr>
          <w:fldChar w:fldCharType="end"/>
        </w:r>
        <w:r w:rsidRPr="00720517">
          <w:rPr>
            <w:rFonts w:ascii="Arial" w:hAnsi="Arial" w:cs="Arial"/>
          </w:rPr>
          <w:t xml:space="preserve"> </w:t>
        </w:r>
      </w:p>
    </w:sdtContent>
  </w:sdt>
  <w:p w14:paraId="6C1B98A0" w14:textId="77777777" w:rsidR="00BF73DF" w:rsidRPr="009E3132" w:rsidRDefault="00BF73DF" w:rsidP="009E3132">
    <w:pPr>
      <w:pStyle w:val="Footer"/>
      <w:ind w:left="792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1D5CF" w14:textId="77777777" w:rsidR="00BF73DF" w:rsidRDefault="00BF73DF">
    <w:pPr>
      <w:pStyle w:val="Header"/>
    </w:pPr>
    <w:r w:rsidRPr="00DA5F11">
      <w:rPr>
        <w:noProof/>
      </w:rPr>
      <w:drawing>
        <wp:inline distT="0" distB="0" distL="0" distR="0" wp14:anchorId="30CB16FF" wp14:editId="7A3E0388">
          <wp:extent cx="5731510" cy="855345"/>
          <wp:effectExtent l="0" t="0" r="0" b="0"/>
          <wp:docPr id="1049967816" name="Picture 4"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967816" name="Picture 13" descr="Background pattern&#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5731510" cy="85534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3DF"/>
    <w:rsid w:val="000E2EDD"/>
    <w:rsid w:val="006B1173"/>
    <w:rsid w:val="00A91650"/>
    <w:rsid w:val="00BF73DF"/>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94C89"/>
  <w15:chartTrackingRefBased/>
  <w15:docId w15:val="{A8FB9F8C-001A-4A49-9E21-D4363F5B4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73DF"/>
    <w:pPr>
      <w:spacing w:after="0" w:line="240" w:lineRule="auto"/>
    </w:pPr>
    <w:rPr>
      <w:rFonts w:ascii="Times New Roman" w:eastAsia="Times New Roman" w:hAnsi="Times New Roman" w:cs="Times New Roman"/>
      <w:kern w:val="0"/>
      <w:lang w:val="en-AU" w:eastAsia="en-GB"/>
      <w14:ligatures w14:val="none"/>
    </w:rPr>
  </w:style>
  <w:style w:type="paragraph" w:styleId="Heading1">
    <w:name w:val="heading 1"/>
    <w:basedOn w:val="Normal"/>
    <w:next w:val="Normal"/>
    <w:link w:val="Heading1Char"/>
    <w:uiPriority w:val="9"/>
    <w:qFormat/>
    <w:rsid w:val="00BF73D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BF73D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BF73D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BF73DF"/>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BF73DF"/>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BF73DF"/>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BF73DF"/>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BF73DF"/>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BF73DF"/>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73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73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73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73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73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73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73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73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73DF"/>
    <w:rPr>
      <w:rFonts w:eastAsiaTheme="majorEastAsia" w:cstheme="majorBidi"/>
      <w:color w:val="272727" w:themeColor="text1" w:themeTint="D8"/>
    </w:rPr>
  </w:style>
  <w:style w:type="paragraph" w:styleId="Title">
    <w:name w:val="Title"/>
    <w:basedOn w:val="Normal"/>
    <w:next w:val="Normal"/>
    <w:link w:val="TitleChar"/>
    <w:uiPriority w:val="10"/>
    <w:qFormat/>
    <w:rsid w:val="00BF73DF"/>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BF73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73D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BF73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73DF"/>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BF73DF"/>
    <w:rPr>
      <w:i/>
      <w:iCs/>
      <w:color w:val="404040" w:themeColor="text1" w:themeTint="BF"/>
    </w:rPr>
  </w:style>
  <w:style w:type="paragraph" w:styleId="ListParagraph">
    <w:name w:val="List Paragraph"/>
    <w:basedOn w:val="Normal"/>
    <w:uiPriority w:val="34"/>
    <w:qFormat/>
    <w:rsid w:val="00BF73DF"/>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BF73DF"/>
    <w:rPr>
      <w:i/>
      <w:iCs/>
      <w:color w:val="0F4761" w:themeColor="accent1" w:themeShade="BF"/>
    </w:rPr>
  </w:style>
  <w:style w:type="paragraph" w:styleId="IntenseQuote">
    <w:name w:val="Intense Quote"/>
    <w:basedOn w:val="Normal"/>
    <w:next w:val="Normal"/>
    <w:link w:val="IntenseQuoteChar"/>
    <w:uiPriority w:val="30"/>
    <w:qFormat/>
    <w:rsid w:val="00BF73D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BF73DF"/>
    <w:rPr>
      <w:i/>
      <w:iCs/>
      <w:color w:val="0F4761" w:themeColor="accent1" w:themeShade="BF"/>
    </w:rPr>
  </w:style>
  <w:style w:type="character" w:styleId="IntenseReference">
    <w:name w:val="Intense Reference"/>
    <w:basedOn w:val="DefaultParagraphFont"/>
    <w:uiPriority w:val="32"/>
    <w:qFormat/>
    <w:rsid w:val="00BF73DF"/>
    <w:rPr>
      <w:b/>
      <w:bCs/>
      <w:smallCaps/>
      <w:color w:val="0F4761" w:themeColor="accent1" w:themeShade="BF"/>
      <w:spacing w:val="5"/>
    </w:rPr>
  </w:style>
  <w:style w:type="paragraph" w:styleId="Header">
    <w:name w:val="header"/>
    <w:basedOn w:val="Normal"/>
    <w:link w:val="HeaderChar"/>
    <w:uiPriority w:val="99"/>
    <w:unhideWhenUsed/>
    <w:rsid w:val="00BF73DF"/>
    <w:pPr>
      <w:tabs>
        <w:tab w:val="center" w:pos="4513"/>
        <w:tab w:val="right" w:pos="9026"/>
      </w:tabs>
    </w:pPr>
  </w:style>
  <w:style w:type="character" w:customStyle="1" w:styleId="HeaderChar">
    <w:name w:val="Header Char"/>
    <w:basedOn w:val="DefaultParagraphFont"/>
    <w:link w:val="Header"/>
    <w:uiPriority w:val="99"/>
    <w:rsid w:val="00BF73DF"/>
    <w:rPr>
      <w:rFonts w:ascii="Times New Roman" w:eastAsia="Times New Roman" w:hAnsi="Times New Roman" w:cs="Times New Roman"/>
      <w:kern w:val="0"/>
      <w:lang w:val="en-AU" w:eastAsia="en-GB"/>
      <w14:ligatures w14:val="none"/>
    </w:rPr>
  </w:style>
  <w:style w:type="paragraph" w:styleId="Footer">
    <w:name w:val="footer"/>
    <w:basedOn w:val="Normal"/>
    <w:link w:val="FooterChar"/>
    <w:uiPriority w:val="99"/>
    <w:unhideWhenUsed/>
    <w:rsid w:val="00BF73DF"/>
    <w:pPr>
      <w:tabs>
        <w:tab w:val="center" w:pos="4513"/>
        <w:tab w:val="right" w:pos="9026"/>
      </w:tabs>
    </w:pPr>
  </w:style>
  <w:style w:type="character" w:customStyle="1" w:styleId="FooterChar">
    <w:name w:val="Footer Char"/>
    <w:basedOn w:val="DefaultParagraphFont"/>
    <w:link w:val="Footer"/>
    <w:uiPriority w:val="99"/>
    <w:rsid w:val="00BF73DF"/>
    <w:rPr>
      <w:rFonts w:ascii="Times New Roman" w:eastAsia="Times New Roman" w:hAnsi="Times New Roman" w:cs="Times New Roman"/>
      <w:kern w:val="0"/>
      <w:lang w:val="en-AU" w:eastAsia="en-GB"/>
      <w14:ligatures w14:val="none"/>
    </w:rPr>
  </w:style>
  <w:style w:type="table" w:styleId="TableGrid">
    <w:name w:val="Table Grid"/>
    <w:basedOn w:val="TableNormal"/>
    <w:uiPriority w:val="39"/>
    <w:rsid w:val="00BF73DF"/>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1489</Words>
  <Characters>8236</Characters>
  <Application>Microsoft Office Word</Application>
  <DocSecurity>0</DocSecurity>
  <Lines>142</Lines>
  <Paragraphs>44</Paragraphs>
  <ScaleCrop>false</ScaleCrop>
  <Company/>
  <LinksUpToDate>false</LinksUpToDate>
  <CharactersWithSpaces>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2025-11-19T17:28:00Z</dcterms:created>
  <dcterms:modified xsi:type="dcterms:W3CDTF">2025-11-19T17:28:00Z</dcterms:modified>
</cp:coreProperties>
</file>