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Supplementary Information — Figures</w:t>
      </w:r>
    </w:p>
    <w:p>
      <w:r>
        <w:rPr>
          <w:b/>
        </w:rPr>
        <w:t xml:space="preserve">Figure S1. AI adoption vs ln(GHG intensity), 2023 (EU country × NACE section). </w:t>
      </w:r>
    </w:p>
    <w:p>
      <w:r>
        <w:drawing>
          <wp:inline xmlns:a="http://schemas.openxmlformats.org/drawingml/2006/main" xmlns:pic="http://schemas.openxmlformats.org/drawingml/2006/picture">
            <wp:extent cx="5943600" cy="393130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S1_scatter_202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13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Each marker is a country × NACE Level‑1 section. X-axis: AI_ANY_PCT (%). Y-axis: ln(GHG intensity), kg/€ (CLV10).</w:t>
      </w:r>
    </w:p>
    <w:p>
      <w:r>
        <w:rPr>
          <w:b/>
        </w:rPr>
        <w:t>Figure S2a. Residual ln(GHGINT) by AI-adoption quintile — baseline T1 (low).</w:t>
      </w:r>
    </w:p>
    <w:p>
      <w:r>
        <w:drawing>
          <wp:inline xmlns:a="http://schemas.openxmlformats.org/drawingml/2006/main" xmlns:pic="http://schemas.openxmlformats.org/drawingml/2006/picture">
            <wp:extent cx="5943600" cy="393562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S2_T1_box_202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56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Box plots of residual ln(GHG intensity) (two‑way de‑meaned) by AI adoption quintile (2023). Baseline terciles defined from 2021 ln(GHGINT).</w:t>
      </w:r>
    </w:p>
    <w:p>
      <w:r>
        <w:rPr>
          <w:b/>
        </w:rPr>
        <w:t>Figure S2b. Residual ln(GHGINT) by AI-adoption quintile — baseline T2 (mid).</w:t>
      </w:r>
    </w:p>
    <w:p>
      <w:r>
        <w:drawing>
          <wp:inline xmlns:a="http://schemas.openxmlformats.org/drawingml/2006/main" xmlns:pic="http://schemas.openxmlformats.org/drawingml/2006/picture">
            <wp:extent cx="5943600" cy="393562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S2_T2_box_202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56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Box plots of residual ln(GHG intensity) (two‑way de‑meaned) by AI adoption quintile (2023). Baseline terciles defined from 2021 ln(GHGINT).</w:t>
      </w:r>
    </w:p>
    <w:p>
      <w:r>
        <w:rPr>
          <w:b/>
        </w:rPr>
        <w:t>Figure S2c. Residual ln(GHGINT) by AI-adoption quintile — baseline T3 (high).</w:t>
      </w:r>
    </w:p>
    <w:p>
      <w:r>
        <w:drawing>
          <wp:inline xmlns:a="http://schemas.openxmlformats.org/drawingml/2006/main" xmlns:pic="http://schemas.openxmlformats.org/drawingml/2006/picture">
            <wp:extent cx="5943600" cy="393562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gure_S2_T3_box_2023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56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Box plots of residual ln(GHG intensity) (two‑way de‑meaned) by AI adoption quintile (2023). Baseline terciles defined from 2021 ln(GHGINT).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