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BA072">
      <w:pPr>
        <w:ind w:firstLine="0" w:firstLineChars="0"/>
        <w:jc w:val="center"/>
        <w:rPr>
          <w:rFonts w:eastAsia="黑体" w:cs="Times New Roman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lang w:val="en-AU"/>
          <w14:ligatures w14:val="none"/>
        </w:rPr>
        <w:t>Table 1.</w:t>
      </w:r>
      <w:r>
        <w:rPr>
          <w:rFonts w:eastAsia="Times New Roman" w:cs="Times New Roman"/>
          <w:kern w:val="0"/>
          <w:lang w:val="en-AU"/>
          <w14:ligatures w14:val="none"/>
        </w:rPr>
        <w:t xml:space="preserve"> Demographic and clinical characteristics of patients, univariate analysis of hospitalization costs, and yearly hospitalization cost</w:t>
      </w:r>
      <w:r>
        <w:rPr>
          <w:rFonts w:hint="eastAsia" w:cs="Times New Roman"/>
          <w:kern w:val="0"/>
          <w:lang w:val="en-US" w:eastAsia="zh-CN"/>
          <w14:ligatures w14:val="none"/>
        </w:rPr>
        <w:t>s</w:t>
      </w:r>
      <w:r>
        <w:rPr>
          <w:rFonts w:eastAsia="Times New Roman" w:cs="Times New Roman"/>
          <w:kern w:val="0"/>
          <w:lang w:val="en-AU"/>
          <w14:ligatures w14:val="none"/>
        </w:rPr>
        <w:t>(2021–2023).</w:t>
      </w:r>
    </w:p>
    <w:tbl>
      <w:tblPr>
        <w:tblStyle w:val="4"/>
        <w:tblW w:w="4998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6"/>
        <w:gridCol w:w="3030"/>
        <w:gridCol w:w="825"/>
        <w:gridCol w:w="992"/>
        <w:gridCol w:w="1182"/>
        <w:gridCol w:w="1205"/>
        <w:gridCol w:w="1278"/>
        <w:gridCol w:w="1607"/>
        <w:gridCol w:w="1183"/>
      </w:tblGrid>
      <w:tr w14:paraId="05781EB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080" w:type="pct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A35C4A">
            <w:pPr>
              <w:overflowPunct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Factors</w:t>
            </w:r>
          </w:p>
        </w:tc>
        <w:tc>
          <w:tcPr>
            <w:tcW w:w="291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37282A">
            <w:pPr>
              <w:overflowPunct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n</w:t>
            </w:r>
          </w:p>
        </w:tc>
        <w:tc>
          <w:tcPr>
            <w:tcW w:w="350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5F641F">
            <w:pPr>
              <w:overflowPunct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%</w:t>
            </w:r>
          </w:p>
        </w:tc>
        <w:tc>
          <w:tcPr>
            <w:tcW w:w="1293" w:type="pct"/>
            <w:gridSpan w:val="3"/>
            <w:tcBorders>
              <w:bottom w:val="nil"/>
              <w:tl2br w:val="nil"/>
              <w:tr2bl w:val="nil"/>
            </w:tcBorders>
            <w:shd w:val="clear" w:color="auto" w:fill="FFFFFF"/>
            <w:vAlign w:val="center"/>
          </w:tcPr>
          <w:p w14:paraId="00EBBFDF">
            <w:pPr>
              <w:overflowPunct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Hospitalization Costs (USD).</w:t>
            </w:r>
          </w:p>
        </w:tc>
        <w:tc>
          <w:tcPr>
            <w:tcW w:w="567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5A1DBB">
            <w:pPr>
              <w:overflowPunct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U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/</w:t>
            </w: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H</w:t>
            </w:r>
          </w:p>
        </w:tc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F4110C">
            <w:pPr>
              <w:overflowPunct w:val="0"/>
              <w:spacing w:line="240" w:lineRule="auto"/>
              <w:ind w:firstLine="0" w:firstLineChars="0"/>
              <w:jc w:val="center"/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p</w:t>
            </w:r>
          </w:p>
        </w:tc>
      </w:tr>
      <w:tr w14:paraId="6B43DB2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080" w:type="pct"/>
            <w:gridSpan w:val="2"/>
            <w:vMerge w:val="continue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26ECC471">
            <w:pPr>
              <w:overflowPunct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291" w:type="pct"/>
            <w:vMerge w:val="continue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310EE180">
            <w:pPr>
              <w:overflowPunct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350" w:type="pct"/>
            <w:vMerge w:val="continue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258F232F">
            <w:pPr>
              <w:overflowPunct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tcBorders>
              <w:top w:val="nil"/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2442B27E">
            <w:pPr>
              <w:overflowPunct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M</w:t>
            </w:r>
          </w:p>
        </w:tc>
        <w:tc>
          <w:tcPr>
            <w:tcW w:w="876" w:type="pct"/>
            <w:gridSpan w:val="2"/>
            <w:tcBorders>
              <w:top w:val="nil"/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62A0D4D8">
            <w:pPr>
              <w:overflowPunct w:val="0"/>
              <w:spacing w:line="240" w:lineRule="auto"/>
              <w:ind w:firstLine="0" w:firstLineChars="0"/>
              <w:jc w:val="center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P</w:t>
            </w:r>
            <w:r>
              <w:rPr>
                <w:rFonts w:cs="Times New Roman"/>
                <w:snapToGrid w:val="0"/>
                <w:kern w:val="0"/>
                <w:szCs w:val="24"/>
                <w:vertAlign w:val="subscript"/>
                <w14:ligatures w14:val="none"/>
              </w:rPr>
              <w:t>25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 xml:space="preserve">, </w:t>
            </w: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P</w:t>
            </w:r>
            <w:r>
              <w:rPr>
                <w:rFonts w:cs="Times New Roman"/>
                <w:snapToGrid w:val="0"/>
                <w:kern w:val="0"/>
                <w:szCs w:val="24"/>
                <w:vertAlign w:val="subscript"/>
                <w14:ligatures w14:val="none"/>
              </w:rPr>
              <w:t>75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365662F5">
            <w:pPr>
              <w:overflowPunct w:val="0"/>
              <w:spacing w:line="240" w:lineRule="auto"/>
              <w:ind w:firstLine="0" w:firstLineChars="0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525EDD62">
            <w:pPr>
              <w:overflowPunct w:val="0"/>
              <w:spacing w:line="240" w:lineRule="auto"/>
              <w:ind w:firstLine="0" w:firstLineChars="0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47BDDB8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restart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</w:tcPr>
          <w:p w14:paraId="1381CFE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Sex</w:t>
            </w:r>
          </w:p>
        </w:tc>
        <w:tc>
          <w:tcPr>
            <w:tcW w:w="1068" w:type="pct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</w:tcPr>
          <w:p w14:paraId="0B6B19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0" w:right="60"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color w:val="000000"/>
                <w:szCs w:val="24"/>
              </w:rPr>
              <w:t>Female</w:t>
            </w:r>
          </w:p>
        </w:tc>
        <w:tc>
          <w:tcPr>
            <w:tcW w:w="291" w:type="pct"/>
            <w:tcBorders>
              <w:top w:val="single" w:color="000000" w:sz="12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7C5F9B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3740</w:t>
            </w:r>
          </w:p>
        </w:tc>
        <w:tc>
          <w:tcPr>
            <w:tcW w:w="350" w:type="pct"/>
            <w:tcBorders>
              <w:top w:val="single" w:color="000000" w:sz="12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4CA49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eastAsia="宋体 (标题)" w:cs="Times New Roman"/>
                <w:color w:val="000000"/>
                <w:szCs w:val="24"/>
                <w:lang w:bidi="ar"/>
              </w:rPr>
              <w:t>41.7%</w:t>
            </w:r>
          </w:p>
        </w:tc>
        <w:tc>
          <w:tcPr>
            <w:tcW w:w="417" w:type="pct"/>
            <w:tcBorders>
              <w:top w:val="single" w:color="000000" w:sz="12" w:space="0"/>
              <w:tl2br w:val="nil"/>
              <w:tr2bl w:val="nil"/>
            </w:tcBorders>
            <w:shd w:val="clear" w:color="auto" w:fill="FFFFFF" w:themeFill="background1"/>
          </w:tcPr>
          <w:p w14:paraId="733851D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543.71</w:t>
            </w:r>
          </w:p>
        </w:tc>
        <w:tc>
          <w:tcPr>
            <w:tcW w:w="425" w:type="pct"/>
            <w:tcBorders>
              <w:top w:val="single" w:color="000000" w:sz="12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7D98B6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187.59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op w:val="single" w:color="000000" w:sz="12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008F0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hint="eastAsia"/>
              </w:rPr>
              <w:t>1315.71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restart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089CBEB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7921147.50</w:t>
            </w:r>
          </w:p>
        </w:tc>
        <w:tc>
          <w:tcPr>
            <w:tcW w:w="417" w:type="pct"/>
            <w:vMerge w:val="restart"/>
            <w:tcBorders>
              <w:top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 w14:paraId="63000A5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＜0.001</w:t>
            </w:r>
          </w:p>
        </w:tc>
      </w:tr>
      <w:tr w14:paraId="24BA4DA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157CB1F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</w:tcPr>
          <w:p w14:paraId="221391D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0" w:right="60"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color w:val="010205"/>
                <w:kern w:val="0"/>
                <w:szCs w:val="24"/>
                <w14:ligatures w14:val="none"/>
              </w:rPr>
              <w:t>Male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E0BF1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5222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B184F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58.3%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16C0FEE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1066.49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842361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285.86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AB9B33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1476.41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5C7D4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A9FD3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38E641E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restart"/>
            <w:tcBorders>
              <w:tl2br w:val="nil"/>
              <w:tr2bl w:val="nil"/>
            </w:tcBorders>
            <w:shd w:val="clear" w:color="auto" w:fill="FFFFFF"/>
          </w:tcPr>
          <w:p w14:paraId="01BC87E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Race</w:t>
            </w: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7E2A2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Han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7F907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8636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A67D35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96.4%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2806980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953.91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116748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242.19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551FE8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1427.43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581A5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849396.50</w:t>
            </w:r>
          </w:p>
        </w:tc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1D596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＜0.001</w:t>
            </w:r>
          </w:p>
        </w:tc>
      </w:tr>
      <w:tr w14:paraId="18B4CFE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70B9B8D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E6705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zCs w:val="24"/>
              </w:rPr>
              <w:t>others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2A024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326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A9F8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3.6%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34B0C8C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238.94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439B0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136.51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E0B37C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858.21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13E21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80054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22EFD54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restart"/>
            <w:tcBorders>
              <w:tl2br w:val="nil"/>
              <w:tr2bl w:val="nil"/>
            </w:tcBorders>
            <w:shd w:val="clear" w:color="auto" w:fill="FFFFFF"/>
          </w:tcPr>
          <w:p w14:paraId="067AB8F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Age group</w:t>
            </w:r>
            <w:r>
              <w:rPr>
                <w:rFonts w:hint="eastAsia" w:cs="Times New Roman"/>
                <w:snapToGrid w:val="0"/>
                <w:kern w:val="0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(years)</w:t>
            </w: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</w:tcPr>
          <w:p w14:paraId="39BE8C4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0" w:right="60" w:firstLine="0" w:firstLineChars="0"/>
              <w:textAlignment w:val="auto"/>
              <w:rPr>
                <w:rFonts w:cs="Times New Roman"/>
                <w:snapToGrid w:val="0"/>
                <w:color w:val="010205"/>
                <w:kern w:val="0"/>
                <w:szCs w:val="24"/>
                <w14:ligatures w14:val="none"/>
              </w:rPr>
            </w:pPr>
            <w:r>
              <w:rPr>
                <w:rFonts w:cs="Times New Roman"/>
                <w:color w:val="000000"/>
                <w:szCs w:val="24"/>
              </w:rPr>
              <w:t>≤33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91BD69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2279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574C2BC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25.4%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4BE31D0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508.23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F3623B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178.98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4026E9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1171.43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E31C4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346.336</w:t>
            </w:r>
          </w:p>
        </w:tc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551A9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＜0.001</w:t>
            </w:r>
          </w:p>
        </w:tc>
      </w:tr>
      <w:tr w14:paraId="53DBA41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6DFDFB4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</w:tcPr>
          <w:p w14:paraId="46B34DA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0" w:right="60" w:firstLine="0" w:firstLineChars="0"/>
              <w:textAlignment w:val="auto"/>
              <w:rPr>
                <w:rFonts w:cs="Times New Roman"/>
                <w:snapToGrid w:val="0"/>
                <w:color w:val="00000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color w:val="010205"/>
                <w:kern w:val="0"/>
                <w:szCs w:val="24"/>
                <w14:ligatures w14:val="none"/>
              </w:rPr>
              <w:t>3</w:t>
            </w:r>
            <w:r>
              <w:rPr>
                <w:rFonts w:hint="eastAsia" w:cs="Times New Roman"/>
                <w:snapToGrid w:val="0"/>
                <w:color w:val="010205"/>
                <w:kern w:val="0"/>
                <w:szCs w:val="24"/>
                <w14:ligatures w14:val="none"/>
              </w:rPr>
              <w:t>4</w:t>
            </w:r>
            <w:r>
              <w:rPr>
                <w:rFonts w:cs="Times New Roman"/>
                <w:snapToGrid w:val="0"/>
                <w:color w:val="010205"/>
                <w:kern w:val="0"/>
                <w:szCs w:val="24"/>
                <w14:ligatures w14:val="none"/>
              </w:rPr>
              <w:t>-42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855847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2211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64C1EEF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24.7%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32A264A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532.15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07EC05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209.53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044DF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1421.67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B0468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B3DF2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0ADECC9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50255AC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</w:tcPr>
          <w:p w14:paraId="0AE79D2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0" w:right="60" w:firstLine="0" w:firstLineChars="0"/>
              <w:textAlignment w:val="auto"/>
              <w:rPr>
                <w:rFonts w:cs="Times New Roman"/>
                <w:snapToGrid w:val="0"/>
                <w:color w:val="00000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43-53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27ACA5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2408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0A5D7EE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26.9%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3CE39D9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1109.04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BA4C78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271.99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7A5D1C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1474.33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AAB22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81ED3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3156CCF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6FC384C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</w:tcPr>
          <w:p w14:paraId="4D7EC56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0" w:right="60" w:firstLine="0" w:firstLineChars="0"/>
              <w:textAlignment w:val="auto"/>
              <w:rPr>
                <w:rFonts w:cs="Times New Roman"/>
                <w:snapToGrid w:val="0"/>
                <w:color w:val="00000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≥54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19AEA6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2064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3DCCDDA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23.0%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4178BC7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1041.25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5BB83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361.09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73AF90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1499.17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00FFE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E1A5A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54A8190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restart"/>
            <w:tcBorders>
              <w:tl2br w:val="nil"/>
              <w:tr2bl w:val="nil"/>
            </w:tcBorders>
            <w:shd w:val="clear" w:color="auto" w:fill="FFFFFF"/>
          </w:tcPr>
          <w:p w14:paraId="5A60305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t>Diagnostic groups</w:t>
            </w: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A294A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zCs w:val="24"/>
              </w:rPr>
              <w:t>Schizophrenia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1BF96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8729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8B3796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97.4%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7C76A02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953.67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E11793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236.58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67297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1426.00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52C98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149.497</w:t>
            </w:r>
          </w:p>
        </w:tc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8EE01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＜0.001</w:t>
            </w:r>
          </w:p>
        </w:tc>
      </w:tr>
      <w:tr w14:paraId="76B5449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242775B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49158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zCs w:val="24"/>
              </w:rPr>
              <w:t>Paranoid disorder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3420E7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12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740EB7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0.1%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53CDCB5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255.90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A8A48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123.57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8B5A7E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452.42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9C2F0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BC6BA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7B71420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5F832A6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6B9D4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zCs w:val="24"/>
              </w:rPr>
              <w:t>Mental retardation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047C9A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22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0B0052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1275014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346.95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D93CCB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207.51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EDDCDD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646.76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5BF3C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6FCBD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0CF8422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573B139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365A1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zCs w:val="24"/>
              </w:rPr>
              <w:t>Schizoaffective disorder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E98547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34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E8AA6A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48C41E4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166.44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5AAAF3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108.33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8A3B2A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312.10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2D428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A5C1D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55FB653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12A48A6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9D7EE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zCs w:val="24"/>
              </w:rPr>
              <w:t>Psychotic disorder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B60524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43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5337F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0.5%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0AEAA9D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264.81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F754F9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152.41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08BADA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435.27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027A1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28F82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4C82945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61EE62B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21640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Bipolar disorder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1BEEC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122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7656E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1.4%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46F269B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272.24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2C412F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157.09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24A94E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419.94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bottom w:val="nil"/>
              <w:tl2br w:val="nil"/>
              <w:tr2bl w:val="nil"/>
            </w:tcBorders>
            <w:shd w:val="clear" w:color="auto" w:fill="FFFFFF"/>
            <w:vAlign w:val="center"/>
          </w:tcPr>
          <w:p w14:paraId="573C887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CCC7F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0753866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restart"/>
            <w:tcBorders>
              <w:tl2br w:val="nil"/>
              <w:tr2bl w:val="nil"/>
            </w:tcBorders>
            <w:shd w:val="clear" w:color="auto" w:fill="FFFFFF"/>
          </w:tcPr>
          <w:p w14:paraId="66F2E7D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Hospital level</w:t>
            </w: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4AEB8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Non-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graded h</w:t>
            </w: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ospit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al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FE89D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886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2848ADA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9.9%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581838C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1080.93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B06D8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899.40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B3C06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1410.99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restart"/>
            <w:tcBorders>
              <w:top w:val="nil"/>
              <w:tl2br w:val="nil"/>
              <w:tr2bl w:val="nil"/>
            </w:tcBorders>
            <w:shd w:val="clear" w:color="auto" w:fill="FFFFFF"/>
            <w:vAlign w:val="center"/>
          </w:tcPr>
          <w:p w14:paraId="4955657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2825.467</w:t>
            </w:r>
          </w:p>
        </w:tc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D597A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＜0.001</w:t>
            </w:r>
          </w:p>
        </w:tc>
      </w:tr>
      <w:tr w14:paraId="5A41FF0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7C347F3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B11C9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 xml:space="preserve">Primary 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ospit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al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91181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289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73AD236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3.2%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17678CD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175.50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31B3E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122.64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08D039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299.35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7302C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B8868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4EC0415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12B56BB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707E7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 xml:space="preserve">Secondary 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ospit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al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73DB3A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5558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744609C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62.0%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757F777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1266.61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6F659E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592.97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774A0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1559.29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D97EC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C9130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53C06A3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 w14:paraId="7DECEE8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57A8E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 xml:space="preserve">Tertiary 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ospit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al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D9842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2229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0853BC7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24.9%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6433EFC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203.60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8C51F2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131.90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25369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336.25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D29A6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187F3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528BE40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restart"/>
            <w:tcBorders>
              <w:tl2br w:val="nil"/>
              <w:tr2bl w:val="nil"/>
            </w:tcBorders>
            <w:shd w:val="clear" w:color="auto" w:fill="FFFFFF"/>
          </w:tcPr>
          <w:p w14:paraId="207E698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Year of hospitalization</w:t>
            </w: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94ECC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2021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67180C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1352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06945A7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15.1%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4BBF36B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204.57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8BA970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127.66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C8F1F2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357.86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77576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3021.158</w:t>
            </w:r>
          </w:p>
        </w:tc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46BC2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＜0.001</w:t>
            </w:r>
          </w:p>
        </w:tc>
      </w:tr>
      <w:tr w14:paraId="310D985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0DD41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50363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2022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AAA298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1242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343A4B8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13.9%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1A0874E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198.28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6AACD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129.33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DE86C9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338.60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8DA99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8C4B3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4E1E103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1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690AA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106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25A45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2023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7130FD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6368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6034824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71.1%</w:t>
            </w:r>
          </w:p>
        </w:tc>
        <w:tc>
          <w:tcPr>
            <w:tcW w:w="417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250CD5D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1241.16</w:t>
            </w:r>
          </w:p>
        </w:tc>
        <w:tc>
          <w:tcPr>
            <w:tcW w:w="42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A0808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689.00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45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F78DA0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1519.36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C9EF1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BD24C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</w:tbl>
    <w:p w14:paraId="4DE34463">
      <w:pPr>
        <w:ind w:firstLine="0" w:firstLineChars="0"/>
        <w:jc w:val="center"/>
      </w:pPr>
      <w:r>
        <w:rPr>
          <w:rFonts w:eastAsia="Times New Roman" w:cs="Times New Roman"/>
          <w:b/>
          <w:bCs/>
          <w:kern w:val="0"/>
          <w:lang w:val="en-AU"/>
          <w14:ligatures w14:val="none"/>
        </w:rPr>
        <w:t>Table 1.</w:t>
      </w:r>
      <w:r>
        <w:rPr>
          <w:rFonts w:eastAsia="黑体" w:cs="Times New Roman"/>
          <w:szCs w:val="24"/>
          <w14:ligatures w14:val="none"/>
        </w:rPr>
        <w:t xml:space="preserve"> </w:t>
      </w:r>
      <w:r>
        <w:rPr>
          <w:rFonts w:hint="eastAsia" w:eastAsia="黑体" w:cs="Times New Roman"/>
          <w:szCs w:val="24"/>
          <w14:ligatures w14:val="none"/>
        </w:rPr>
        <w:t xml:space="preserve">(Continued) </w:t>
      </w:r>
      <w:r>
        <w:rPr>
          <w:rFonts w:eastAsia="Times New Roman" w:cs="Times New Roman"/>
          <w:kern w:val="0"/>
          <w:lang w:val="en-AU"/>
          <w14:ligatures w14:val="none"/>
        </w:rPr>
        <w:t>Demographic and clinical characteristics of patients, univariate analysis of hospitalization costs, and yearly hospitalization cost</w:t>
      </w:r>
      <w:r>
        <w:rPr>
          <w:rFonts w:hint="eastAsia" w:cs="Times New Roman"/>
          <w:kern w:val="0"/>
          <w:lang w:val="en-US" w:eastAsia="zh-CN"/>
          <w14:ligatures w14:val="none"/>
        </w:rPr>
        <w:t>s</w:t>
      </w:r>
      <w:r>
        <w:rPr>
          <w:rFonts w:eastAsia="Times New Roman" w:cs="Times New Roman"/>
          <w:kern w:val="0"/>
          <w:lang w:val="en-AU"/>
          <w14:ligatures w14:val="none"/>
        </w:rPr>
        <w:t>(2021–2023).</w:t>
      </w: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1382"/>
        <w:gridCol w:w="1074"/>
        <w:gridCol w:w="1290"/>
        <w:gridCol w:w="1537"/>
        <w:gridCol w:w="1567"/>
        <w:gridCol w:w="1660"/>
        <w:gridCol w:w="1722"/>
        <w:gridCol w:w="1373"/>
      </w:tblGrid>
      <w:tr w14:paraId="367E475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5602D3">
            <w:pPr>
              <w:overflowPunct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Factors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B1D2E6">
            <w:pPr>
              <w:overflowPunct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n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35159D">
            <w:pPr>
              <w:overflowPunct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%</w:t>
            </w:r>
          </w:p>
        </w:tc>
        <w:tc>
          <w:tcPr>
            <w:tcW w:w="0" w:type="auto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67FE64">
            <w:pPr>
              <w:overflowPunct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napToGrid w:val="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Hospitalization Costs (USD).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231FD6">
            <w:pPr>
              <w:overflowPunct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U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/</w:t>
            </w: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H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C2AC2E">
            <w:pPr>
              <w:overflowPunct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i/>
                <w:iCs/>
                <w:snapToGrid w:val="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p</w:t>
            </w:r>
          </w:p>
        </w:tc>
      </w:tr>
      <w:tr w14:paraId="7F8A673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gridSpan w:val="2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46FB0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D123D5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 w:themeFill="background1"/>
          </w:tcPr>
          <w:p w14:paraId="4D95D7B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6AA986">
            <w:pPr>
              <w:overflowPunct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M</w:t>
            </w:r>
          </w:p>
        </w:tc>
        <w:tc>
          <w:tcPr>
            <w:tcW w:w="0" w:type="auto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A260FB">
            <w:pPr>
              <w:overflowPunct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napToGrid w:val="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P</w:t>
            </w:r>
            <w:r>
              <w:rPr>
                <w:rFonts w:cs="Times New Roman"/>
                <w:snapToGrid w:val="0"/>
                <w:kern w:val="0"/>
                <w:szCs w:val="24"/>
                <w:vertAlign w:val="subscript"/>
                <w14:ligatures w14:val="none"/>
              </w:rPr>
              <w:t>25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 xml:space="preserve">, </w:t>
            </w:r>
            <w:r>
              <w:rPr>
                <w:rFonts w:cs="Times New Roman"/>
                <w:i/>
                <w:iCs/>
                <w:snapToGrid w:val="0"/>
                <w:kern w:val="0"/>
                <w:szCs w:val="24"/>
                <w14:ligatures w14:val="none"/>
              </w:rPr>
              <w:t>P</w:t>
            </w:r>
            <w:r>
              <w:rPr>
                <w:rFonts w:cs="Times New Roman"/>
                <w:snapToGrid w:val="0"/>
                <w:kern w:val="0"/>
                <w:szCs w:val="24"/>
                <w:vertAlign w:val="subscript"/>
                <w14:ligatures w14:val="none"/>
              </w:rPr>
              <w:t>75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514F1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C04F1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0A2AACF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B90C7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zCs w:val="24"/>
                <w:lang w:val="en-AU" w:eastAsia="en-US"/>
              </w:rPr>
              <w:t xml:space="preserve">Length of </w:t>
            </w:r>
            <w:r>
              <w:rPr>
                <w:rFonts w:hint="eastAsia" w:cs="Times New Roman"/>
                <w:szCs w:val="24"/>
                <w:lang w:val="en-US" w:eastAsia="zh-CN"/>
              </w:rPr>
              <w:t>s</w:t>
            </w:r>
            <w:r>
              <w:rPr>
                <w:rFonts w:cs="Times New Roman"/>
                <w:szCs w:val="24"/>
                <w:lang w:val="en-AU" w:eastAsia="en-US"/>
              </w:rPr>
              <w:t>tay (LOS)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36643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0-22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B30A2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1312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</w:tcPr>
          <w:p w14:paraId="225E15A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14.6%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</w:tcPr>
          <w:p w14:paraId="762D1B7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19</w:t>
            </w:r>
            <w:r>
              <w:rPr>
                <w:rFonts w:hint="eastAsia"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6.34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657DE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125.30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5A6AC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404.21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9BC0C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2002.193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E9125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＜0.001</w:t>
            </w:r>
          </w:p>
        </w:tc>
      </w:tr>
      <w:tr w14:paraId="1A2CF3E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AA903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A0CF7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23-78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1F718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4866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</w:tcPr>
          <w:p w14:paraId="18A811B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54.3%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</w:tcPr>
          <w:p w14:paraId="127BF7A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1214.47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</w:tcPr>
          <w:p w14:paraId="7A4FAEC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849.40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</w:tcPr>
          <w:p w14:paraId="1FA1CC0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1438.30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C6851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F56B4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32DE8CB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66F7F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410FD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79-166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A82BAB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1713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</w:tcPr>
          <w:p w14:paraId="3B0D501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19.1%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</w:tcPr>
          <w:p w14:paraId="632F7E4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1087.64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</w:tcPr>
          <w:p w14:paraId="122A340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209.50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</w:tcPr>
          <w:p w14:paraId="4871BD3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2026.52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A79F2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A9015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79CABCF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bottom w:val="single" w:color="auto" w:sz="12" w:space="0"/>
              <w:tl2br w:val="nil"/>
              <w:tr2bl w:val="nil"/>
            </w:tcBorders>
            <w:shd w:val="clear" w:color="auto" w:fill="FFFFFF"/>
            <w:vAlign w:val="center"/>
          </w:tcPr>
          <w:p w14:paraId="15628E5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bottom w:val="single" w:color="auto" w:sz="12" w:space="0"/>
              <w:tl2br w:val="nil"/>
              <w:tr2bl w:val="nil"/>
            </w:tcBorders>
            <w:shd w:val="clear" w:color="auto" w:fill="FFFFFF"/>
            <w:vAlign w:val="center"/>
          </w:tcPr>
          <w:p w14:paraId="72FE5B3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≥167</w:t>
            </w:r>
          </w:p>
        </w:tc>
        <w:tc>
          <w:tcPr>
            <w:tcW w:w="0" w:type="auto"/>
            <w:tcBorders>
              <w:bottom w:val="single" w:color="auto" w:sz="12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6E977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1071</w:t>
            </w:r>
          </w:p>
        </w:tc>
        <w:tc>
          <w:tcPr>
            <w:tcW w:w="0" w:type="auto"/>
            <w:tcBorders>
              <w:bottom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 w14:paraId="4F0D998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12.0%</w:t>
            </w:r>
          </w:p>
        </w:tc>
        <w:tc>
          <w:tcPr>
            <w:tcW w:w="0" w:type="auto"/>
            <w:tcBorders>
              <w:bottom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 w14:paraId="38A5933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304.39</w:t>
            </w:r>
          </w:p>
        </w:tc>
        <w:tc>
          <w:tcPr>
            <w:tcW w:w="0" w:type="auto"/>
            <w:tcBorders>
              <w:bottom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 w14:paraId="0157A34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(</w:t>
            </w:r>
            <w:r>
              <w:rPr>
                <w:rFonts w:hint="eastAsia"/>
              </w:rPr>
              <w:t>181.05</w:t>
            </w:r>
            <w:r>
              <w:rPr>
                <w:rFonts w:hint="eastAsia" w:cs="Times New Roman"/>
                <w:snapToGrid w:val="0"/>
                <w:kern w:val="0"/>
                <w:szCs w:val="24"/>
                <w14:ligatures w14:val="none"/>
              </w:rPr>
              <w:t>,</w:t>
            </w:r>
          </w:p>
        </w:tc>
        <w:tc>
          <w:tcPr>
            <w:tcW w:w="0" w:type="auto"/>
            <w:tcBorders>
              <w:bottom w:val="single" w:color="auto" w:sz="12" w:space="0"/>
              <w:tl2br w:val="nil"/>
              <w:tr2bl w:val="nil"/>
            </w:tcBorders>
            <w:shd w:val="clear" w:color="auto" w:fill="FFFFFF" w:themeFill="background1"/>
          </w:tcPr>
          <w:p w14:paraId="17487DC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/>
              </w:rPr>
              <w:t>510.30</w:t>
            </w:r>
            <w:r>
              <w:rPr>
                <w:rFonts w:cs="Times New Roman"/>
                <w:snapToGrid w:val="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vMerge w:val="continue"/>
            <w:tcBorders>
              <w:bottom w:val="single" w:color="auto" w:sz="12" w:space="0"/>
              <w:tl2br w:val="nil"/>
              <w:tr2bl w:val="nil"/>
            </w:tcBorders>
            <w:shd w:val="clear" w:color="auto" w:fill="FFFFFF"/>
            <w:vAlign w:val="center"/>
          </w:tcPr>
          <w:p w14:paraId="7B9B92C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12" w:space="0"/>
              <w:tl2br w:val="nil"/>
              <w:tr2bl w:val="nil"/>
            </w:tcBorders>
            <w:shd w:val="clear" w:color="auto" w:fill="FFFFFF"/>
            <w:vAlign w:val="center"/>
          </w:tcPr>
          <w:p w14:paraId="3FF6B49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</w:p>
        </w:tc>
      </w:tr>
      <w:tr w14:paraId="2A1599F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gridSpan w:val="9"/>
            <w:tcBorders>
              <w:top w:val="single" w:color="auto" w:sz="12" w:space="0"/>
              <w:bottom w:val="nil"/>
            </w:tcBorders>
            <w:shd w:val="clear" w:color="auto" w:fill="FFFFFF"/>
            <w:vAlign w:val="center"/>
          </w:tcPr>
          <w:p w14:paraId="46C6DD1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before="100" w:beforeAutospacing="1" w:after="100" w:afterAutospacing="1" w:line="240" w:lineRule="auto"/>
              <w:ind w:firstLine="480"/>
              <w:textAlignment w:val="auto"/>
              <w:rPr>
                <w:rFonts w:cs="Times New Roman"/>
                <w:snapToGrid w:val="0"/>
                <w:kern w:val="0"/>
                <w:szCs w:val="24"/>
                <w14:ligatures w14:val="none"/>
              </w:rPr>
            </w:pPr>
            <w:r>
              <w:rPr>
                <w:rFonts w:eastAsia="Times New Roman" w:cs="Times New Roman"/>
                <w:i/>
                <w:iCs/>
                <w:kern w:val="0"/>
                <w:lang w:val="en-AU"/>
                <w14:ligatures w14:val="none"/>
              </w:rPr>
              <w:t>Notes:</w:t>
            </w:r>
            <w:r>
              <w:rPr>
                <w:rFonts w:eastAsia="Times New Roman" w:cs="Times New Roman"/>
                <w:kern w:val="0"/>
                <w:lang w:val="en-AU"/>
                <w14:ligatures w14:val="none"/>
              </w:rPr>
              <w:t xml:space="preserve"> Data are presented as median (interquartile range) for continuous variables and n (%) for categorical variables. Differences in hospitalization costs across groups were assessed using the Mann–Whitney </w:t>
            </w:r>
            <w:r>
              <w:rPr>
                <w:rFonts w:eastAsia="Times New Roman" w:cs="Times New Roman"/>
                <w:i/>
                <w:iCs/>
                <w:kern w:val="0"/>
                <w:lang w:val="en-AU"/>
                <w14:ligatures w14:val="none"/>
              </w:rPr>
              <w:t>U</w:t>
            </w:r>
            <w:r>
              <w:rPr>
                <w:rFonts w:eastAsia="Times New Roman" w:cs="Times New Roman"/>
                <w:kern w:val="0"/>
                <w:lang w:val="en-AU"/>
                <w14:ligatures w14:val="none"/>
              </w:rPr>
              <w:t xml:space="preserve"> test (two groups) or Kruskal–Wallis </w:t>
            </w:r>
            <w:r>
              <w:rPr>
                <w:rFonts w:eastAsia="Times New Roman" w:cs="Times New Roman"/>
                <w:i/>
                <w:iCs/>
                <w:kern w:val="0"/>
                <w:lang w:val="en-AU"/>
                <w14:ligatures w14:val="none"/>
              </w:rPr>
              <w:t>H</w:t>
            </w:r>
            <w:r>
              <w:rPr>
                <w:rFonts w:eastAsia="Times New Roman" w:cs="Times New Roman"/>
                <w:kern w:val="0"/>
                <w:lang w:val="en-AU"/>
                <w14:ligatures w14:val="none"/>
              </w:rPr>
              <w:t xml:space="preserve"> test (multiple groups)</w:t>
            </w:r>
          </w:p>
        </w:tc>
      </w:tr>
    </w:tbl>
    <w:p w14:paraId="4B2C116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宋体 (标题)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47D89"/>
    <w:rsid w:val="6018193F"/>
    <w:rsid w:val="6A64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1810</Characters>
  <Lines>0</Lines>
  <Paragraphs>0</Paragraphs>
  <TotalTime>1</TotalTime>
  <ScaleCrop>false</ScaleCrop>
  <LinksUpToDate>false</LinksUpToDate>
  <CharactersWithSpaces>1908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2025-08-19T07:49:00Z</dcterms:created>
  <dc:creator>404 Not Found</dc:creator>
  <cp:lastModifiedBy>404 Not Found</cp:lastModifiedBy>
  <dcterms:modified xsi:type="dcterms:W3CDTF">2025-08-19T07:55:07Z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4CD79AC9351F4F0E979B412FFFBF9F22_11</vt:lpwstr>
  </property>
  <property fmtid="{D5CDD505-2E9C-101B-9397-08002B2CF9AE}" pid="4" name="KSOTemplateDocerSaveRecord">
    <vt:lpwstr>eyJoZGlkIjoiOTA1ODIxY2M5MjQ3MGM1NTZkZjE4MWEyZjVkYjEyOTYiLCJ1c2VySWQiOiI5NjA3NTY2NjIifQ==</vt:lpwstr>
  </property>
</Properties>
</file>