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482" w:rsidRDefault="00924482" w:rsidP="00924482">
      <w:pPr>
        <w:pStyle w:val="Titel"/>
        <w:rPr>
          <w:rFonts w:ascii="Cambria" w:hAnsi="Cambria"/>
          <w:sz w:val="40"/>
          <w:lang w:val="en-US"/>
        </w:rPr>
      </w:pPr>
      <w:r>
        <w:rPr>
          <w:rFonts w:ascii="Cambria" w:hAnsi="Cambria"/>
          <w:sz w:val="40"/>
          <w:lang w:val="en-US"/>
        </w:rPr>
        <w:t>Supplementary Tables and Figures</w:t>
      </w:r>
    </w:p>
    <w:p w:rsidR="00924482" w:rsidRDefault="00924482" w:rsidP="00924482">
      <w:pPr>
        <w:pStyle w:val="Beschriftung"/>
        <w:rPr>
          <w:rFonts w:ascii="Arial" w:hAnsi="Arial" w:cs="Arial"/>
          <w:sz w:val="16"/>
          <w:szCs w:val="16"/>
          <w:lang w:val="en-US"/>
        </w:rPr>
      </w:pPr>
    </w:p>
    <w:p w:rsidR="00924482" w:rsidRPr="00E07DF2" w:rsidRDefault="00924482" w:rsidP="00924482">
      <w:pPr>
        <w:pStyle w:val="Beschriftung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>Supplementary Table S1a</w:t>
      </w:r>
      <w:r w:rsidRPr="00E07DF2">
        <w:rPr>
          <w:rFonts w:ascii="Arial" w:hAnsi="Arial" w:cs="Arial"/>
          <w:sz w:val="16"/>
          <w:szCs w:val="16"/>
          <w:lang w:val="en-US"/>
        </w:rPr>
        <w:t>: Benchmarking steps developed by van Lent and application in this study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788"/>
        <w:gridCol w:w="6272"/>
      </w:tblGrid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13 steps by van Lent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Application of the steps in this study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1 Determine what to benchmark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Haemovigilance Function (Blood Regulatory Systems)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2 Form a benchmarking team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Scientific Officers from the Paul Ehrlich Institut with background in Blood Regulation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3 Choose benchmarking partners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National Regulatory Authorities in Ethiopia, Kenya, Liberia, Malawi, Nigeria, Uganda, Rwanda, South Africa, Tanzania, and Zimbabwe.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4 Define and verify the main characteristics of the partners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A mapping exercise of the national blood supply systems and relevant laws in which the NRAs are located was performed.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5 Identify stakeholders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 xml:space="preserve">WHO and group of international experts from members of the WHO Blood Regulators Network 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6 Construct a framework to structure the indicators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The framework was based on that identified in the WHO Global Benchmarking Tool (medicines and vaccines), the WHO Criteria for Assessment of Blood Regulatory Systems and ISO 9004:2018 Quality management — Quality of an organization — Guidance to achieve sustained success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7 Develop relevant and comparable indicators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Indicators and sub-indicators were drawn from the WHO GBT (medicines and vaccines) and the WHO BRN Assessment Criteria for Blood Regulatory Systems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8 Stakeholders select indicators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Stakeholders met at WHO, in Geneva in August 2017 and selected indicators from BRN Assessment Criteria to integrate into GBT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9 Measure the set of performance indicators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Data collection phase was seven months, from February 2018 to August 2018. The same team performed a visit to each NRA to grasp the context and clarify any questions.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10 Analyse performance indicators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The performance of the haemovigilance systems in 10 countries was compared against the sub-indicators. Reports of this comparison were checked by the other members of the country visit team.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11 Take action: results are presented in a report and recommendations are given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For each participating NRA, a report was made containing the outcomes of the benchmark for all NRAs. Data was anonymized. Improvement recommendations for each participating NRA were sent in a separate report.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t>12 Develop relevant plans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Institutional Development Plans (IDPs) were developed jointly and agreed with each participating NRA.</w:t>
            </w:r>
          </w:p>
        </w:tc>
      </w:tr>
      <w:tr w:rsidR="00924482" w:rsidRPr="00A325B2" w:rsidTr="004B4C0A"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b/>
                <w:color w:val="002060"/>
                <w:sz w:val="16"/>
                <w:szCs w:val="20"/>
                <w:lang w:val="en-US"/>
              </w:rPr>
              <w:lastRenderedPageBreak/>
              <w:t>13 Implement the improvement plans</w:t>
            </w:r>
          </w:p>
        </w:tc>
        <w:tc>
          <w:tcPr>
            <w:tcW w:w="0" w:type="auto"/>
          </w:tcPr>
          <w:p w:rsidR="00924482" w:rsidRPr="00C40451" w:rsidRDefault="00924482" w:rsidP="004B4C0A">
            <w:pPr>
              <w:spacing w:line="480" w:lineRule="auto"/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</w:pPr>
            <w:r w:rsidRPr="00C40451">
              <w:rPr>
                <w:rFonts w:ascii="Arial" w:hAnsi="Arial" w:cs="Arial"/>
                <w:color w:val="002060"/>
                <w:sz w:val="16"/>
                <w:szCs w:val="20"/>
                <w:lang w:val="en-US"/>
              </w:rPr>
              <w:t>Outside the scope of this study.</w:t>
            </w:r>
          </w:p>
        </w:tc>
      </w:tr>
    </w:tbl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  <w:sectPr w:rsidR="00924482" w:rsidSect="00A11927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keepNext/>
        <w:jc w:val="center"/>
      </w:pPr>
      <w:r>
        <w:rPr>
          <w:noProof/>
          <w:lang w:eastAsia="de-DE"/>
        </w:rPr>
        <w:drawing>
          <wp:inline distT="0" distB="0" distL="0" distR="0" wp14:anchorId="2D105974" wp14:editId="67448943">
            <wp:extent cx="4973671" cy="4309959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249" cy="4312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482" w:rsidRPr="00E07DF2" w:rsidRDefault="00924482" w:rsidP="00924482">
      <w:pPr>
        <w:pStyle w:val="Beschriftung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>Supplementary Figure S1b</w:t>
      </w:r>
      <w:r w:rsidRPr="00E07DF2">
        <w:rPr>
          <w:rFonts w:ascii="Arial" w:hAnsi="Arial" w:cs="Arial"/>
          <w:sz w:val="16"/>
          <w:szCs w:val="16"/>
          <w:lang w:val="en-US"/>
        </w:rPr>
        <w:t>: Structure of the Haemovigilance Function in the GBT+ Blood (adapted from the WHO Regulatory Systems Strengthening)</w:t>
      </w: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Pr="00E07DF2" w:rsidRDefault="00924482" w:rsidP="00924482">
      <w:pPr>
        <w:pStyle w:val="Beschriftung"/>
        <w:rPr>
          <w:lang w:val="en-US"/>
        </w:rPr>
      </w:pPr>
    </w:p>
    <w:p w:rsidR="00924482" w:rsidRPr="00E07DF2" w:rsidRDefault="00924482" w:rsidP="00924482">
      <w:pPr>
        <w:pStyle w:val="Beschriftung"/>
        <w:rPr>
          <w:lang w:val="en-US"/>
        </w:rPr>
      </w:pPr>
    </w:p>
    <w:p w:rsidR="00924482" w:rsidRPr="00FF17F4" w:rsidRDefault="00924482" w:rsidP="00924482">
      <w:pPr>
        <w:pStyle w:val="Beschriftung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lastRenderedPageBreak/>
        <w:t>Supplementary Table 1c</w:t>
      </w:r>
      <w:r w:rsidRPr="00FF17F4">
        <w:rPr>
          <w:rFonts w:ascii="Arial" w:hAnsi="Arial" w:cs="Arial"/>
          <w:sz w:val="16"/>
          <w:szCs w:val="16"/>
          <w:lang w:val="en-US"/>
        </w:rPr>
        <w:t xml:space="preserve">: Haemovigilance function indicators and sub-indicators in the WHO GBT+ Blood </w:t>
      </w:r>
    </w:p>
    <w:tbl>
      <w:tblPr>
        <w:tblStyle w:val="Gitternetztabelle2Akzent1"/>
        <w:tblW w:w="5000" w:type="pct"/>
        <w:tblLook w:val="0600" w:firstRow="0" w:lastRow="0" w:firstColumn="0" w:lastColumn="0" w:noHBand="1" w:noVBand="1"/>
      </w:tblPr>
      <w:tblGrid>
        <w:gridCol w:w="2613"/>
        <w:gridCol w:w="5542"/>
        <w:gridCol w:w="917"/>
      </w:tblGrid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8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8"/>
                <w:szCs w:val="15"/>
              </w:rPr>
              <w:t>Indicator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8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8"/>
                <w:szCs w:val="15"/>
              </w:rPr>
              <w:t>Sub-indicator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8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8"/>
                <w:szCs w:val="15"/>
              </w:rPr>
              <w:t>Maturity Level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1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VL01.02: Legal provisions, and/or regulations require the manufacturers and/or MAH to set up a vigilance system of their medical products and periodically report vigilance data, including zero events, to the NRA.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1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VL01.03: Regulations encourage distributors, importers, exporters, health- care institutions, other stakeholders and consumers to report the vigilance events to the MAH and/or NRA.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1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VL01.04: The legal provisions and/or regulations allow NRA to require manufacturers and/or MAH to conduct specific studies on safety and efficacy under specific conditions.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2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VL01.05: Legal provisions, regulations and/or guidelines require manufacturers and/or marketing authorization holders to designate a Qualified Person responsible for vigilance.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VL01.06: There are guidelines for planning, conducting (including monitoring) and reporting of vigilance activities.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 Legal provisions, regulations and guidelines required to define regulatory framework of vigilance.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VL01.07: Legal provisions and/or regulations allow recognition and/or reliance on vigilance-relevant decisions, reports or information from other countries, regional and/or international bodies.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1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VL02 Arrangement for effective organization and good governance.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VL02.01: There is a defined structure with clear responsibilities to conduct vigilance activities.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2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VL02 Arrangement for effective organization and good governance.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VL02.02: Collaboration between all stakeholders relevant to medical products vigilance is in place.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 Human resources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VL03.01: Enough competent staff (education, training, skills and experience) are assigned to perform vigilance activities.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 Human resources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VL03.02: Respective job descriptions are established and regularly updated with inclusion of duties, functions, responsibilities and necessary competencies.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 Human resources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VL03.03: Training plan developed, implemented and updated at least once a year.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 Human resources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VL03.04: The NRA performs and maintains records of staff training activities and training effectiveness verification.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VL04.01: Risk approach is considered throughout different vigilance activities, including timely response to safety signals.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VL04.02: Vigilance procedures and tools are in place for collection, assessment, investigation and interpretation of safety issues.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VL04.03: Staff access to information resources relevant to vigilance processes (e.g. safety information sources and reference materials) is ensured.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VL04.04: Expert committee(s) exists to review serious vigilance events.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VL04.05: Assessment of the risk/benefit balance of medical products is regularly conducted considering vigilance data.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VL04.06: The development and implementation of a proactive monitoring programme to promote adherence to vigilance by the NRA.</w:t>
            </w:r>
          </w:p>
        </w:tc>
        <w:tc>
          <w:tcPr>
            <w:tcW w:w="268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  <w:t>4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lastRenderedPageBreak/>
              <w:t>VL04 Procedures established and implemented to perform vigilance activities.</w:t>
            </w:r>
          </w:p>
        </w:tc>
        <w:tc>
          <w:tcPr>
            <w:tcW w:w="3173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VL04.07: Standard procedures exist and are implemented for enforcement of the national vigilance programme.</w:t>
            </w:r>
          </w:p>
        </w:tc>
        <w:tc>
          <w:tcPr>
            <w:tcW w:w="268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  <w:t>4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 Mechanism exists to promote transparency, accountability and communication</w:t>
            </w:r>
          </w:p>
        </w:tc>
        <w:tc>
          <w:tcPr>
            <w:tcW w:w="3173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VL05.01: Mechanism for regular feedback to all stakeholders on vigilance events exists and is complemented with a risk communication plan.</w:t>
            </w:r>
          </w:p>
        </w:tc>
        <w:tc>
          <w:tcPr>
            <w:tcW w:w="268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  <w:t>4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 Mechanism exists to promote transparency, accountability and communication</w:t>
            </w:r>
          </w:p>
        </w:tc>
        <w:tc>
          <w:tcPr>
            <w:tcW w:w="3173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VL05.02: Vigilance activities and feedbacks are appropriately communicated to the public community.</w:t>
            </w:r>
          </w:p>
        </w:tc>
        <w:tc>
          <w:tcPr>
            <w:tcW w:w="268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  <w:t>4</w:t>
            </w:r>
          </w:p>
        </w:tc>
      </w:tr>
      <w:tr w:rsidR="00924482" w:rsidRPr="00855B9B" w:rsidTr="004B4C0A">
        <w:trPr>
          <w:trHeight w:val="395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 Mechanism exists to promote transparency, accountability and communication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VL05.03: Vigilance data and findings are shared with relevant regional and international partners.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VL06 Mechanism in place to monitor regulatory performance and output.</w:t>
            </w:r>
          </w:p>
        </w:tc>
        <w:tc>
          <w:tcPr>
            <w:tcW w:w="3173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VL06.01: Vigilance information is used to amend or issue regulatory decisions and consequent actions in timely manner.</w:t>
            </w:r>
          </w:p>
        </w:tc>
        <w:tc>
          <w:tcPr>
            <w:tcW w:w="268" w:type="pct"/>
            <w:shd w:val="clear" w:color="auto" w:fill="FFFFFF" w:themeFill="background1"/>
            <w:hideMark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</w:rPr>
              <w:t>3</w:t>
            </w:r>
          </w:p>
        </w:tc>
      </w:tr>
      <w:tr w:rsidR="00924482" w:rsidRPr="00855B9B" w:rsidTr="004B4C0A">
        <w:trPr>
          <w:trHeight w:val="264"/>
        </w:trPr>
        <w:tc>
          <w:tcPr>
            <w:tcW w:w="1559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VL06 Mechanism in place to monitor regulatory performance and output.</w:t>
            </w:r>
          </w:p>
        </w:tc>
        <w:tc>
          <w:tcPr>
            <w:tcW w:w="3173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color w:val="2E4369"/>
                <w:sz w:val="15"/>
                <w:szCs w:val="15"/>
                <w:lang w:val="en-US"/>
              </w:rPr>
              <w:t>VL06.02: Performance indicators for vigilance activities are established.</w:t>
            </w:r>
          </w:p>
        </w:tc>
        <w:tc>
          <w:tcPr>
            <w:tcW w:w="268" w:type="pct"/>
            <w:shd w:val="clear" w:color="auto" w:fill="FFFFFF" w:themeFill="background1"/>
          </w:tcPr>
          <w:p w:rsidR="00924482" w:rsidRPr="00855B9B" w:rsidRDefault="00924482" w:rsidP="004B4C0A">
            <w:pPr>
              <w:spacing w:line="276" w:lineRule="auto"/>
              <w:jc w:val="center"/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</w:pPr>
            <w:r w:rsidRPr="00855B9B">
              <w:rPr>
                <w:rFonts w:ascii="Arial" w:hAnsi="Arial" w:cs="Arial"/>
                <w:b/>
                <w:color w:val="2E4369"/>
                <w:sz w:val="15"/>
                <w:szCs w:val="15"/>
                <w:lang w:val="en-US"/>
              </w:rPr>
              <w:t>4</w:t>
            </w:r>
          </w:p>
        </w:tc>
      </w:tr>
    </w:tbl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Pr="00E07DF2" w:rsidRDefault="00924482" w:rsidP="00924482">
      <w:pPr>
        <w:pStyle w:val="Beschriftung"/>
        <w:rPr>
          <w:rFonts w:ascii="Arial" w:hAnsi="Arial" w:cs="Arial"/>
          <w:sz w:val="16"/>
          <w:szCs w:val="16"/>
          <w:lang w:val="en-US"/>
        </w:rPr>
      </w:pPr>
      <w:bookmarkStart w:id="0" w:name="_GoBack"/>
      <w:bookmarkEnd w:id="0"/>
      <w:r>
        <w:rPr>
          <w:rFonts w:ascii="Arial" w:hAnsi="Arial" w:cs="Arial"/>
          <w:sz w:val="16"/>
          <w:szCs w:val="16"/>
          <w:lang w:val="en-US"/>
        </w:rPr>
        <w:t>Supplementary Figure</w:t>
      </w:r>
      <w:r w:rsidRPr="00E07DF2">
        <w:rPr>
          <w:rFonts w:ascii="Arial" w:hAnsi="Arial" w:cs="Arial"/>
          <w:sz w:val="16"/>
          <w:szCs w:val="16"/>
          <w:lang w:val="en-US"/>
        </w:rPr>
        <w:t xml:space="preserve"> 1d: WHO GBT </w:t>
      </w:r>
      <w:r>
        <w:rPr>
          <w:rFonts w:ascii="Arial" w:hAnsi="Arial" w:cs="Arial"/>
          <w:sz w:val="16"/>
          <w:szCs w:val="16"/>
          <w:lang w:val="en-US"/>
        </w:rPr>
        <w:t>Performance Maturity Levels, ada</w:t>
      </w:r>
      <w:r w:rsidRPr="00E07DF2">
        <w:rPr>
          <w:rFonts w:ascii="Arial" w:hAnsi="Arial" w:cs="Arial"/>
          <w:sz w:val="16"/>
          <w:szCs w:val="16"/>
          <w:lang w:val="en-US"/>
        </w:rPr>
        <w:t xml:space="preserve">pted </w:t>
      </w:r>
      <w:r>
        <w:rPr>
          <w:rFonts w:ascii="Arial" w:hAnsi="Arial" w:cs="Arial"/>
          <w:sz w:val="16"/>
          <w:szCs w:val="16"/>
          <w:lang w:val="en-US"/>
        </w:rPr>
        <w:t xml:space="preserve">with permission </w:t>
      </w:r>
      <w:r w:rsidRPr="00E07DF2">
        <w:rPr>
          <w:rFonts w:ascii="Arial" w:hAnsi="Arial" w:cs="Arial"/>
          <w:sz w:val="16"/>
          <w:szCs w:val="16"/>
          <w:lang w:val="en-US"/>
        </w:rPr>
        <w:t xml:space="preserve">from WHO </w:t>
      </w:r>
      <w:r>
        <w:rPr>
          <w:rFonts w:ascii="Arial" w:hAnsi="Arial" w:cs="Arial"/>
          <w:sz w:val="16"/>
          <w:szCs w:val="16"/>
          <w:lang w:val="en-US"/>
        </w:rPr>
        <w:t>R</w:t>
      </w:r>
      <w:r w:rsidRPr="00E07DF2">
        <w:rPr>
          <w:rFonts w:ascii="Arial" w:hAnsi="Arial" w:cs="Arial"/>
          <w:sz w:val="16"/>
          <w:szCs w:val="16"/>
          <w:lang w:val="en-US"/>
        </w:rPr>
        <w:t>egulatory Systems Strengthening</w:t>
      </w:r>
      <w:r>
        <w:rPr>
          <w:rFonts w:ascii="Arial" w:hAnsi="Arial" w:cs="Arial"/>
          <w:sz w:val="16"/>
          <w:szCs w:val="16"/>
          <w:lang w:val="en-US"/>
        </w:rPr>
        <w:t xml:space="preserve"> [6]</w:t>
      </w: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  <w:r>
        <w:rPr>
          <w:noProof/>
          <w:lang w:eastAsia="de-DE"/>
        </w:rPr>
        <w:drawing>
          <wp:inline distT="0" distB="0" distL="0" distR="0" wp14:anchorId="4B52AC2D" wp14:editId="3DA41636">
            <wp:extent cx="5901507" cy="1439187"/>
            <wp:effectExtent l="0" t="0" r="4445" b="889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993" cy="1440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jc w:val="center"/>
        <w:rPr>
          <w:rFonts w:ascii="Arial" w:hAnsi="Arial" w:cs="Arial"/>
          <w:b/>
          <w:lang w:val="en-US"/>
        </w:rPr>
      </w:pPr>
    </w:p>
    <w:p w:rsidR="00924482" w:rsidRDefault="00924482" w:rsidP="00924482">
      <w:pPr>
        <w:rPr>
          <w:rFonts w:ascii="Arial" w:hAnsi="Arial" w:cs="Arial"/>
          <w:b/>
          <w:lang w:val="en-US"/>
        </w:rPr>
      </w:pPr>
    </w:p>
    <w:p w:rsidR="00924482" w:rsidRPr="0062173A" w:rsidRDefault="00924482" w:rsidP="00924482">
      <w:pPr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924482" w:rsidRDefault="00924482" w:rsidP="00924482">
      <w:pPr>
        <w:jc w:val="center"/>
        <w:rPr>
          <w:lang w:val="en-US"/>
        </w:rPr>
      </w:pPr>
    </w:p>
    <w:p w:rsidR="00A346CC" w:rsidRDefault="00A346CC"/>
    <w:sectPr w:rsidR="00A346C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482"/>
    <w:rsid w:val="00223686"/>
    <w:rsid w:val="00924482"/>
    <w:rsid w:val="00A3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E91409-1E08-4814-A87E-3D5FC8D48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24482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92448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Gitternetztabelle2Akzent1">
    <w:name w:val="Grid Table 2 Accent 1"/>
    <w:basedOn w:val="NormaleTabelle"/>
    <w:uiPriority w:val="47"/>
    <w:rsid w:val="00924482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rsid w:val="0092448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24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924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1123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Samukange, Washington</dc:creator>
  <cp:keywords/>
  <dc:description/>
  <cp:lastModifiedBy>Samukange, Washington</cp:lastModifiedBy>
  <cp:revision>2</cp:revision>
  <dcterms:created xsi:type="dcterms:W3CDTF">2020-12-09T23:46:00Z</dcterms:created>
  <dcterms:modified xsi:type="dcterms:W3CDTF">2020-12-09T23:48:00Z</dcterms:modified>
</cp:coreProperties>
</file>