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4F67B" w14:textId="77777777" w:rsidR="00553C9B" w:rsidRDefault="00553C9B">
      <w:pPr>
        <w:rPr>
          <w:rFonts w:ascii="Palatino Linotype" w:hAnsi="Palatino Linotype"/>
          <w:b/>
          <w:bCs/>
          <w:sz w:val="28"/>
          <w:szCs w:val="28"/>
        </w:rPr>
      </w:pPr>
      <w:r>
        <w:rPr>
          <w:rFonts w:ascii="Palatino Linotype" w:hAnsi="Palatino Linotype"/>
          <w:b/>
          <w:bCs/>
          <w:sz w:val="28"/>
          <w:szCs w:val="28"/>
        </w:rPr>
        <w:t>Supplementary Material 1</w:t>
      </w:r>
    </w:p>
    <w:p w14:paraId="31E0885D" w14:textId="079438D5" w:rsidR="00E644C6" w:rsidRPr="0067062C" w:rsidRDefault="00932014">
      <w:pPr>
        <w:rPr>
          <w:rFonts w:ascii="Palatino Linotype" w:hAnsi="Palatino Linotype"/>
          <w:b/>
          <w:bCs/>
          <w:sz w:val="28"/>
          <w:szCs w:val="28"/>
        </w:rPr>
      </w:pPr>
      <w:r w:rsidRPr="0067062C">
        <w:rPr>
          <w:rFonts w:ascii="Palatino Linotype" w:hAnsi="Palatino Linotype"/>
          <w:b/>
          <w:bCs/>
          <w:sz w:val="28"/>
          <w:szCs w:val="28"/>
        </w:rPr>
        <w:t>Analysis of ERP responses in Incorrect Trials – Experiment 1 and 2</w:t>
      </w:r>
    </w:p>
    <w:p w14:paraId="049BF4A1" w14:textId="560E00DE" w:rsidR="00932014" w:rsidRDefault="00932014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We analysed ERP responses from trials where an incorrect response was entered. </w:t>
      </w:r>
      <w:r w:rsidR="00ED0994">
        <w:rPr>
          <w:rFonts w:ascii="Palatino Linotype" w:hAnsi="Palatino Linotype"/>
        </w:rPr>
        <w:t xml:space="preserve">Note that only trials with correct responses were included in the main analysis in the paper. </w:t>
      </w:r>
      <w:r>
        <w:rPr>
          <w:rFonts w:ascii="Palatino Linotype" w:hAnsi="Palatino Linotype"/>
        </w:rPr>
        <w:t xml:space="preserve">We </w:t>
      </w:r>
      <w:r w:rsidR="00ED0994">
        <w:rPr>
          <w:rFonts w:ascii="Palatino Linotype" w:hAnsi="Palatino Linotype"/>
        </w:rPr>
        <w:t>expected to see no</w:t>
      </w:r>
      <w:r>
        <w:rPr>
          <w:rFonts w:ascii="Palatino Linotype" w:hAnsi="Palatino Linotype"/>
        </w:rPr>
        <w:t xml:space="preserve"> response to </w:t>
      </w:r>
      <w:r w:rsidRPr="00932014">
        <w:rPr>
          <w:rFonts w:ascii="Palatino Linotype" w:hAnsi="Palatino Linotype"/>
          <w:i/>
          <w:iCs/>
        </w:rPr>
        <w:t>SymmetrySame</w:t>
      </w:r>
      <w:r>
        <w:rPr>
          <w:rFonts w:ascii="Palatino Linotype" w:hAnsi="Palatino Linotype"/>
        </w:rPr>
        <w:t xml:space="preserve"> in t2 in the</w:t>
      </w:r>
      <w:r w:rsidR="00ED0994">
        <w:rPr>
          <w:rFonts w:ascii="Palatino Linotype" w:hAnsi="Palatino Linotype"/>
        </w:rPr>
        <w:t xml:space="preserve"> incorrect</w:t>
      </w:r>
      <w:r>
        <w:rPr>
          <w:rFonts w:ascii="Palatino Linotype" w:hAnsi="Palatino Linotype"/>
        </w:rPr>
        <w:t xml:space="preserve"> trials. Th</w:t>
      </w:r>
      <w:r w:rsidR="00ED0994">
        <w:rPr>
          <w:rFonts w:ascii="Palatino Linotype" w:hAnsi="Palatino Linotype"/>
        </w:rPr>
        <w:t>is because</w:t>
      </w:r>
      <w:r>
        <w:rPr>
          <w:rFonts w:ascii="Palatino Linotype" w:hAnsi="Palatino Linotype"/>
        </w:rPr>
        <w:t xml:space="preserve"> amodal completion of symmetry was expected to emerge from the correct recognition of the occluded shape in t2. </w:t>
      </w:r>
    </w:p>
    <w:p w14:paraId="78046CB5" w14:textId="67BF2AD5" w:rsidR="00932014" w:rsidRDefault="00ED0994">
      <w:pPr>
        <w:rPr>
          <w:rFonts w:ascii="Palatino Linotype" w:hAnsi="Palatino Linotype"/>
        </w:rPr>
      </w:pPr>
      <w:r>
        <w:rPr>
          <w:rFonts w:ascii="Palatino Linotype" w:hAnsi="Palatino Linotype"/>
        </w:rPr>
        <w:t>N</w:t>
      </w:r>
      <w:r w:rsidR="00932014">
        <w:rPr>
          <w:rFonts w:ascii="Palatino Linotype" w:hAnsi="Palatino Linotype"/>
        </w:rPr>
        <w:t xml:space="preserve">ote that there </w:t>
      </w:r>
      <w:r>
        <w:rPr>
          <w:rFonts w:ascii="Palatino Linotype" w:hAnsi="Palatino Linotype"/>
        </w:rPr>
        <w:t>wa</w:t>
      </w:r>
      <w:r w:rsidR="00932014">
        <w:rPr>
          <w:rFonts w:ascii="Palatino Linotype" w:hAnsi="Palatino Linotype"/>
        </w:rPr>
        <w:t>s not a large number of incorrect trials and data from some participants are missing for some conditions (due to 100% correct responses).</w:t>
      </w:r>
      <w:r w:rsidR="00C36252">
        <w:rPr>
          <w:rFonts w:ascii="Palatino Linotype" w:hAnsi="Palatino Linotype"/>
        </w:rPr>
        <w:t xml:space="preserve"> The average number of trials per participant was: SymmetrySame 6.8 (SD ± 6.6), SymmetryNovel 8.2 (± 6.4), AsymmetrySame 13.6 (±9.8) and AsymmetryNovel 14.1 (±10.3). </w:t>
      </w:r>
      <w:r w:rsidR="00932014">
        <w:rPr>
          <w:rFonts w:ascii="Palatino Linotype" w:hAnsi="Palatino Linotype"/>
        </w:rPr>
        <w:t xml:space="preserve"> Therefore we limit ourselves to report descriptive </w:t>
      </w:r>
      <w:r>
        <w:rPr>
          <w:rFonts w:ascii="Palatino Linotype" w:hAnsi="Palatino Linotype"/>
        </w:rPr>
        <w:t>plots of results from Experiment 1 (</w:t>
      </w:r>
      <w:r w:rsidR="00932014">
        <w:rPr>
          <w:rFonts w:ascii="Palatino Linotype" w:hAnsi="Palatino Linotype"/>
        </w:rPr>
        <w:t>Figure 1</w:t>
      </w:r>
      <w:r>
        <w:rPr>
          <w:rFonts w:ascii="Palatino Linotype" w:hAnsi="Palatino Linotype"/>
        </w:rPr>
        <w:t xml:space="preserve"> A,B) and Experiment 2 (Figure 1 C,D).</w:t>
      </w:r>
      <w:r w:rsidR="00932014">
        <w:rPr>
          <w:rFonts w:ascii="Palatino Linotype" w:hAnsi="Palatino Linotype"/>
        </w:rPr>
        <w:t xml:space="preserve"> </w:t>
      </w:r>
    </w:p>
    <w:p w14:paraId="08FC015F" w14:textId="174F977C" w:rsidR="0011594D" w:rsidRDefault="0011594D">
      <w:pPr>
        <w:rPr>
          <w:rFonts w:ascii="Palatino Linotype" w:hAnsi="Palatino Linotype"/>
        </w:rPr>
      </w:pPr>
      <w:r>
        <w:rPr>
          <w:rFonts w:ascii="Palatino Linotype" w:hAnsi="Palatino Linotype"/>
          <w:noProof/>
        </w:rPr>
        <w:drawing>
          <wp:inline distT="0" distB="0" distL="0" distR="0" wp14:anchorId="4C5641C2" wp14:editId="0C8F8536">
            <wp:extent cx="5723255" cy="43757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255" cy="437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080C0" w14:textId="039B561C" w:rsidR="009E29B1" w:rsidRDefault="009E29B1" w:rsidP="009E29B1">
      <w:pPr>
        <w:rPr>
          <w:rFonts w:ascii="Palatino Linotype" w:hAnsi="Palatino Linotype"/>
        </w:rPr>
      </w:pPr>
      <w:r w:rsidRPr="009E29B1">
        <w:rPr>
          <w:rFonts w:ascii="Palatino Linotype" w:hAnsi="Palatino Linotype"/>
          <w:b/>
          <w:bCs/>
        </w:rPr>
        <w:t>Figure 1.</w:t>
      </w:r>
      <w:r w:rsidRPr="009E29B1">
        <w:rPr>
          <w:rFonts w:ascii="Palatino Linotype" w:hAnsi="Palatino Linotype"/>
          <w:sz w:val="20"/>
          <w:szCs w:val="20"/>
        </w:rPr>
        <w:t xml:space="preserve"> (A) Grand Average ERPs for the four conditions in Experiment 1. (B) Difference waves for </w:t>
      </w:r>
      <w:r w:rsidRPr="009E29B1">
        <w:rPr>
          <w:rFonts w:ascii="Palatino Linotype" w:hAnsi="Palatino Linotype"/>
          <w:i/>
          <w:iCs/>
          <w:sz w:val="20"/>
          <w:szCs w:val="20"/>
        </w:rPr>
        <w:t>SymmetrySame</w:t>
      </w:r>
      <w:r w:rsidRPr="009E29B1">
        <w:rPr>
          <w:rFonts w:ascii="Palatino Linotype" w:hAnsi="Palatino Linotype"/>
          <w:sz w:val="20"/>
          <w:szCs w:val="20"/>
        </w:rPr>
        <w:t xml:space="preserve"> –</w:t>
      </w:r>
      <w:r w:rsidRPr="009E29B1">
        <w:rPr>
          <w:rFonts w:ascii="Palatino Linotype" w:hAnsi="Palatino Linotype"/>
          <w:i/>
          <w:iCs/>
          <w:sz w:val="20"/>
          <w:szCs w:val="20"/>
        </w:rPr>
        <w:t xml:space="preserve"> Asymmetry Same</w:t>
      </w:r>
      <w:r w:rsidRPr="009E29B1">
        <w:rPr>
          <w:rFonts w:ascii="Palatino Linotype" w:hAnsi="Palatino Linotype"/>
          <w:sz w:val="20"/>
          <w:szCs w:val="20"/>
        </w:rPr>
        <w:t xml:space="preserve"> and </w:t>
      </w:r>
      <w:r w:rsidRPr="009E29B1">
        <w:rPr>
          <w:rFonts w:ascii="Palatino Linotype" w:hAnsi="Palatino Linotype"/>
          <w:i/>
          <w:iCs/>
          <w:sz w:val="20"/>
          <w:szCs w:val="20"/>
        </w:rPr>
        <w:t>SymmetryNovel</w:t>
      </w:r>
      <w:r w:rsidRPr="009E29B1">
        <w:rPr>
          <w:rFonts w:ascii="Palatino Linotype" w:hAnsi="Palatino Linotype"/>
          <w:sz w:val="20"/>
          <w:szCs w:val="20"/>
        </w:rPr>
        <w:t xml:space="preserve"> – </w:t>
      </w:r>
      <w:r w:rsidRPr="009E29B1">
        <w:rPr>
          <w:rFonts w:ascii="Palatino Linotype" w:hAnsi="Palatino Linotype"/>
          <w:i/>
          <w:iCs/>
          <w:sz w:val="20"/>
          <w:szCs w:val="20"/>
        </w:rPr>
        <w:t>AsymmetryNovel</w:t>
      </w:r>
      <w:r w:rsidRPr="009E29B1">
        <w:rPr>
          <w:rFonts w:ascii="Palatino Linotype" w:hAnsi="Palatino Linotype"/>
          <w:sz w:val="20"/>
          <w:szCs w:val="20"/>
        </w:rPr>
        <w:t xml:space="preserve"> in Experiment 1. (C) Grand Average ERPs and (D) Difference waves in Experiment 2. </w:t>
      </w:r>
    </w:p>
    <w:p w14:paraId="3D4BC8B3" w14:textId="65C829ED" w:rsidR="009E29B1" w:rsidRDefault="009E29B1">
      <w:pPr>
        <w:rPr>
          <w:rFonts w:ascii="Palatino Linotype" w:hAnsi="Palatino Linotype"/>
        </w:rPr>
      </w:pPr>
    </w:p>
    <w:p w14:paraId="53FE615F" w14:textId="6E6BEC0E" w:rsidR="0011594D" w:rsidRDefault="0011594D">
      <w:pPr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 xml:space="preserve">Fully-visible shapes elicited a symmetry response in t0-t1, which is expected for incorrect trials since this should be automatic (no attention to symmetry was required). Oddly, there is no response for SymmetryNovel condition in Experiment 2 in this timeframe. </w:t>
      </w:r>
    </w:p>
    <w:p w14:paraId="5580146B" w14:textId="060E4F45" w:rsidR="00932014" w:rsidRDefault="00ED0994">
      <w:pPr>
        <w:rPr>
          <w:rFonts w:ascii="Palatino Linotype" w:hAnsi="Palatino Linotype"/>
        </w:rPr>
      </w:pPr>
      <w:r>
        <w:rPr>
          <w:rFonts w:ascii="Palatino Linotype" w:hAnsi="Palatino Linotype"/>
        </w:rPr>
        <w:t>There is n</w:t>
      </w:r>
      <w:r w:rsidR="00932014">
        <w:rPr>
          <w:rFonts w:ascii="Palatino Linotype" w:hAnsi="Palatino Linotype"/>
        </w:rPr>
        <w:t xml:space="preserve">o evidence for </w:t>
      </w:r>
      <w:r w:rsidR="00932014" w:rsidRPr="00932014">
        <w:rPr>
          <w:rFonts w:ascii="Palatino Linotype" w:hAnsi="Palatino Linotype"/>
          <w:i/>
          <w:iCs/>
        </w:rPr>
        <w:t>SymmetrySame</w:t>
      </w:r>
      <w:r w:rsidR="00932014">
        <w:rPr>
          <w:rFonts w:ascii="Palatino Linotype" w:hAnsi="Palatino Linotype"/>
        </w:rPr>
        <w:t xml:space="preserve"> eliciting an SPN</w:t>
      </w:r>
      <w:r w:rsidR="009E29B1">
        <w:rPr>
          <w:rFonts w:ascii="Palatino Linotype" w:hAnsi="Palatino Linotype"/>
        </w:rPr>
        <w:t xml:space="preserve"> at t2</w:t>
      </w:r>
      <w:r w:rsidR="00932014">
        <w:rPr>
          <w:rFonts w:ascii="Palatino Linotype" w:hAnsi="Palatino Linotype"/>
        </w:rPr>
        <w:t xml:space="preserve"> when shapes </w:t>
      </w:r>
      <w:r>
        <w:rPr>
          <w:rFonts w:ascii="Palatino Linotype" w:hAnsi="Palatino Linotype"/>
        </w:rPr>
        <w:t>we</w:t>
      </w:r>
      <w:r w:rsidR="00932014">
        <w:rPr>
          <w:rFonts w:ascii="Palatino Linotype" w:hAnsi="Palatino Linotype"/>
        </w:rPr>
        <w:t xml:space="preserve">re not </w:t>
      </w:r>
      <w:r w:rsidR="0011594D">
        <w:rPr>
          <w:rFonts w:ascii="Palatino Linotype" w:hAnsi="Palatino Linotype"/>
        </w:rPr>
        <w:t xml:space="preserve">correctly </w:t>
      </w:r>
      <w:r w:rsidR="00932014">
        <w:rPr>
          <w:rFonts w:ascii="Palatino Linotype" w:hAnsi="Palatino Linotype"/>
        </w:rPr>
        <w:t xml:space="preserve">recognised. </w:t>
      </w:r>
      <w:r>
        <w:rPr>
          <w:rFonts w:ascii="Palatino Linotype" w:hAnsi="Palatino Linotype"/>
        </w:rPr>
        <w:t>On the contrary</w:t>
      </w:r>
      <w:r w:rsidR="0011594D">
        <w:rPr>
          <w:rFonts w:ascii="Palatino Linotype" w:hAnsi="Palatino Linotype"/>
        </w:rPr>
        <w:t>,</w:t>
      </w:r>
      <w:r w:rsidR="00932014">
        <w:rPr>
          <w:rFonts w:ascii="Palatino Linotype" w:hAnsi="Palatino Linotype"/>
        </w:rPr>
        <w:t xml:space="preserve"> there is a</w:t>
      </w:r>
      <w:r>
        <w:rPr>
          <w:rFonts w:ascii="Palatino Linotype" w:hAnsi="Palatino Linotype"/>
        </w:rPr>
        <w:t xml:space="preserve"> </w:t>
      </w:r>
      <w:r w:rsidR="00932014">
        <w:rPr>
          <w:rFonts w:ascii="Palatino Linotype" w:hAnsi="Palatino Linotype"/>
        </w:rPr>
        <w:t>tendency</w:t>
      </w:r>
      <w:r w:rsidR="009E29B1">
        <w:rPr>
          <w:rFonts w:ascii="Palatino Linotype" w:hAnsi="Palatino Linotype"/>
        </w:rPr>
        <w:t xml:space="preserve"> of stronger negativity</w:t>
      </w:r>
      <w:r w:rsidR="00932014">
        <w:rPr>
          <w:rFonts w:ascii="Palatino Linotype" w:hAnsi="Palatino Linotype"/>
        </w:rPr>
        <w:t xml:space="preserve"> for </w:t>
      </w:r>
      <w:r w:rsidR="00932014" w:rsidRPr="00932014">
        <w:rPr>
          <w:rFonts w:ascii="Palatino Linotype" w:hAnsi="Palatino Linotype"/>
          <w:i/>
          <w:iCs/>
        </w:rPr>
        <w:t>SymmetryNovel</w:t>
      </w:r>
      <w:r w:rsidR="00932014">
        <w:rPr>
          <w:rFonts w:ascii="Palatino Linotype" w:hAnsi="Palatino Linotype"/>
        </w:rPr>
        <w:t xml:space="preserve"> </w:t>
      </w:r>
      <w:r w:rsidR="009E29B1">
        <w:rPr>
          <w:rFonts w:ascii="Palatino Linotype" w:hAnsi="Palatino Linotype"/>
        </w:rPr>
        <w:t xml:space="preserve">(which was erroneously classified as </w:t>
      </w:r>
      <w:r w:rsidR="009E29B1" w:rsidRPr="009E29B1">
        <w:rPr>
          <w:rFonts w:ascii="Palatino Linotype" w:hAnsi="Palatino Linotype"/>
          <w:i/>
          <w:iCs/>
        </w:rPr>
        <w:t>Same</w:t>
      </w:r>
      <w:r w:rsidR="009E29B1">
        <w:rPr>
          <w:rFonts w:ascii="Palatino Linotype" w:hAnsi="Palatino Linotype"/>
        </w:rPr>
        <w:t xml:space="preserve">) </w:t>
      </w:r>
      <w:r w:rsidR="0067062C">
        <w:rPr>
          <w:rFonts w:ascii="Palatino Linotype" w:hAnsi="Palatino Linotype"/>
        </w:rPr>
        <w:t>in Experiment 1 (Figure 1A and 1B). However, this was not replicated in Experiment 2</w:t>
      </w:r>
      <w:r w:rsidR="00932014">
        <w:rPr>
          <w:rFonts w:ascii="Palatino Linotype" w:hAnsi="Palatino Linotype"/>
        </w:rPr>
        <w:t xml:space="preserve">. This </w:t>
      </w:r>
      <w:r w:rsidR="0067062C">
        <w:rPr>
          <w:rFonts w:ascii="Palatino Linotype" w:hAnsi="Palatino Linotype"/>
        </w:rPr>
        <w:t xml:space="preserve">tendency </w:t>
      </w:r>
      <w:r>
        <w:rPr>
          <w:rFonts w:ascii="Palatino Linotype" w:hAnsi="Palatino Linotype"/>
        </w:rPr>
        <w:t>might</w:t>
      </w:r>
      <w:r w:rsidR="00932014">
        <w:rPr>
          <w:rFonts w:ascii="Palatino Linotype" w:hAnsi="Palatino Linotype"/>
        </w:rPr>
        <w:t xml:space="preserve"> suggest that </w:t>
      </w:r>
      <w:r w:rsidR="009E29B1">
        <w:rPr>
          <w:rFonts w:ascii="Palatino Linotype" w:hAnsi="Palatino Linotype"/>
        </w:rPr>
        <w:t xml:space="preserve">symmetry representation might be formed </w:t>
      </w:r>
      <w:r w:rsidR="00932014">
        <w:rPr>
          <w:rFonts w:ascii="Palatino Linotype" w:hAnsi="Palatino Linotype"/>
        </w:rPr>
        <w:t>when participants believ</w:t>
      </w:r>
      <w:r w:rsidR="009E29B1">
        <w:rPr>
          <w:rFonts w:ascii="Palatino Linotype" w:hAnsi="Palatino Linotype"/>
        </w:rPr>
        <w:t>e</w:t>
      </w:r>
      <w:r w:rsidR="00932014">
        <w:rPr>
          <w:rFonts w:ascii="Palatino Linotype" w:hAnsi="Palatino Linotype"/>
        </w:rPr>
        <w:t xml:space="preserve"> they </w:t>
      </w:r>
      <w:r w:rsidR="0067062C">
        <w:rPr>
          <w:rFonts w:ascii="Palatino Linotype" w:hAnsi="Palatino Linotype"/>
        </w:rPr>
        <w:t>ha</w:t>
      </w:r>
      <w:r w:rsidR="009E29B1">
        <w:rPr>
          <w:rFonts w:ascii="Palatino Linotype" w:hAnsi="Palatino Linotype"/>
        </w:rPr>
        <w:t xml:space="preserve">ve </w:t>
      </w:r>
      <w:r w:rsidR="0067062C">
        <w:rPr>
          <w:rFonts w:ascii="Palatino Linotype" w:hAnsi="Palatino Linotype"/>
        </w:rPr>
        <w:t>seen</w:t>
      </w:r>
      <w:r w:rsidR="00932014">
        <w:rPr>
          <w:rFonts w:ascii="Palatino Linotype" w:hAnsi="Palatino Linotype"/>
        </w:rPr>
        <w:t xml:space="preserve"> the</w:t>
      </w:r>
      <w:r w:rsidR="0067062C">
        <w:rPr>
          <w:rFonts w:ascii="Palatino Linotype" w:hAnsi="Palatino Linotype"/>
        </w:rPr>
        <w:t xml:space="preserve"> (symmetric) </w:t>
      </w:r>
      <w:r w:rsidR="00932014">
        <w:rPr>
          <w:rFonts w:ascii="Palatino Linotype" w:hAnsi="Palatino Linotype"/>
        </w:rPr>
        <w:t>shape</w:t>
      </w:r>
      <w:r w:rsidR="0067062C">
        <w:rPr>
          <w:rFonts w:ascii="Palatino Linotype" w:hAnsi="Palatino Linotype"/>
        </w:rPr>
        <w:t xml:space="preserve"> </w:t>
      </w:r>
      <w:r w:rsidR="009E29B1">
        <w:rPr>
          <w:rFonts w:ascii="Palatino Linotype" w:hAnsi="Palatino Linotype"/>
        </w:rPr>
        <w:t xml:space="preserve">before. </w:t>
      </w:r>
    </w:p>
    <w:p w14:paraId="2D70181F" w14:textId="33BA3C56" w:rsidR="006B3AAB" w:rsidRDefault="00932014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This brings in a potential confound, which we have discussed in the Discussion section. There might be the possibility that </w:t>
      </w:r>
      <w:r w:rsidRPr="005D58E7">
        <w:rPr>
          <w:rFonts w:ascii="Palatino Linotype" w:hAnsi="Palatino Linotype"/>
          <w:i/>
          <w:iCs/>
        </w:rPr>
        <w:t>exposure</w:t>
      </w:r>
      <w:r w:rsidRPr="00932014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 xml:space="preserve">did not directly </w:t>
      </w:r>
      <w:r w:rsidRPr="00932014">
        <w:rPr>
          <w:rFonts w:ascii="Palatino Linotype" w:hAnsi="Palatino Linotype"/>
        </w:rPr>
        <w:t xml:space="preserve">influence the </w:t>
      </w:r>
      <w:r>
        <w:rPr>
          <w:rFonts w:ascii="Palatino Linotype" w:hAnsi="Palatino Linotype"/>
        </w:rPr>
        <w:t xml:space="preserve">perceptual </w:t>
      </w:r>
      <w:r w:rsidRPr="00932014">
        <w:rPr>
          <w:rFonts w:ascii="Palatino Linotype" w:hAnsi="Palatino Linotype"/>
        </w:rPr>
        <w:t>completion process itself</w:t>
      </w:r>
      <w:r>
        <w:rPr>
          <w:rFonts w:ascii="Palatino Linotype" w:hAnsi="Palatino Linotype"/>
        </w:rPr>
        <w:t>. On the contrary, it may have</w:t>
      </w:r>
      <w:r w:rsidRPr="00932014">
        <w:rPr>
          <w:rFonts w:ascii="Palatino Linotype" w:hAnsi="Palatino Linotype"/>
        </w:rPr>
        <w:t xml:space="preserve"> acted </w:t>
      </w:r>
      <w:r w:rsidR="0067062C">
        <w:rPr>
          <w:rFonts w:ascii="Palatino Linotype" w:hAnsi="Palatino Linotype"/>
        </w:rPr>
        <w:t>on some later decisional process which influenced</w:t>
      </w:r>
      <w:r w:rsidRPr="00932014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the interpretation of</w:t>
      </w:r>
      <w:r w:rsidRPr="00932014">
        <w:rPr>
          <w:rFonts w:ascii="Palatino Linotype" w:hAnsi="Palatino Linotype"/>
        </w:rPr>
        <w:t xml:space="preserve"> the figure after it was perceived</w:t>
      </w:r>
      <w:r w:rsidR="0067062C">
        <w:rPr>
          <w:rFonts w:ascii="Palatino Linotype" w:hAnsi="Palatino Linotype"/>
        </w:rPr>
        <w:t xml:space="preserve">. </w:t>
      </w:r>
    </w:p>
    <w:p w14:paraId="1E7846F5" w14:textId="3F5D0C02" w:rsidR="00162B51" w:rsidRDefault="005D58E7">
      <w:pPr>
        <w:rPr>
          <w:rFonts w:ascii="Palatino Linotype" w:hAnsi="Palatino Linotype"/>
        </w:rPr>
      </w:pPr>
      <w:r>
        <w:rPr>
          <w:rFonts w:ascii="Palatino Linotype" w:hAnsi="Palatino Linotype"/>
        </w:rPr>
        <w:t>I</w:t>
      </w:r>
      <w:r w:rsidR="006B3AAB">
        <w:rPr>
          <w:rFonts w:ascii="Palatino Linotype" w:hAnsi="Palatino Linotype"/>
        </w:rPr>
        <w:t>f this was the case</w:t>
      </w:r>
      <w:r>
        <w:rPr>
          <w:rFonts w:ascii="Palatino Linotype" w:hAnsi="Palatino Linotype"/>
        </w:rPr>
        <w:t>, however, one would expect</w:t>
      </w:r>
      <w:r w:rsidR="006B3AAB">
        <w:rPr>
          <w:rFonts w:ascii="Palatino Linotype" w:hAnsi="Palatino Linotype"/>
        </w:rPr>
        <w:t xml:space="preserve"> </w:t>
      </w:r>
      <w:r w:rsidR="006B3AAB" w:rsidRPr="005D58E7">
        <w:rPr>
          <w:rFonts w:ascii="Palatino Linotype" w:hAnsi="Palatino Linotype"/>
          <w:i/>
          <w:iCs/>
        </w:rPr>
        <w:t>exposure</w:t>
      </w:r>
      <w:r w:rsidR="006B3AAB">
        <w:rPr>
          <w:rFonts w:ascii="Palatino Linotype" w:hAnsi="Palatino Linotype"/>
        </w:rPr>
        <w:t xml:space="preserve"> to symmetry </w:t>
      </w:r>
      <w:r>
        <w:rPr>
          <w:rFonts w:ascii="Palatino Linotype" w:hAnsi="Palatino Linotype"/>
        </w:rPr>
        <w:t>to</w:t>
      </w:r>
      <w:r w:rsidR="006B3AAB">
        <w:rPr>
          <w:rFonts w:ascii="Palatino Linotype" w:hAnsi="Palatino Linotype"/>
        </w:rPr>
        <w:t xml:space="preserve"> influenc</w:t>
      </w:r>
      <w:r>
        <w:rPr>
          <w:rFonts w:ascii="Palatino Linotype" w:hAnsi="Palatino Linotype"/>
        </w:rPr>
        <w:t>e</w:t>
      </w:r>
      <w:r w:rsidR="006B3AAB">
        <w:rPr>
          <w:rFonts w:ascii="Palatino Linotype" w:hAnsi="Palatino Linotype"/>
        </w:rPr>
        <w:t xml:space="preserve"> the interpretation of novel occluded shapes too (i.e. SymmetryNovel). However, </w:t>
      </w:r>
      <w:r w:rsidR="00162B51">
        <w:rPr>
          <w:rFonts w:ascii="Palatino Linotype" w:hAnsi="Palatino Linotype"/>
        </w:rPr>
        <w:t>we did not observe this</w:t>
      </w:r>
      <w:r w:rsidR="00ED0994">
        <w:rPr>
          <w:rFonts w:ascii="Palatino Linotype" w:hAnsi="Palatino Linotype"/>
        </w:rPr>
        <w:t xml:space="preserve"> in the results reported in the manuscript</w:t>
      </w:r>
      <w:r w:rsidR="006B3AAB">
        <w:rPr>
          <w:rFonts w:ascii="Palatino Linotype" w:hAnsi="Palatino Linotype"/>
        </w:rPr>
        <w:t xml:space="preserve">. Possibly, if participants </w:t>
      </w:r>
      <w:r w:rsidR="00673F99">
        <w:rPr>
          <w:rFonts w:ascii="Palatino Linotype" w:hAnsi="Palatino Linotype"/>
        </w:rPr>
        <w:t>we</w:t>
      </w:r>
      <w:r w:rsidR="006B3AAB">
        <w:rPr>
          <w:rFonts w:ascii="Palatino Linotype" w:hAnsi="Palatino Linotype"/>
        </w:rPr>
        <w:t xml:space="preserve">re able to tell the shape </w:t>
      </w:r>
      <w:r w:rsidR="00673F99">
        <w:rPr>
          <w:rFonts w:ascii="Palatino Linotype" w:hAnsi="Palatino Linotype"/>
        </w:rPr>
        <w:t>wa</w:t>
      </w:r>
      <w:r w:rsidR="006B3AAB">
        <w:rPr>
          <w:rFonts w:ascii="Palatino Linotype" w:hAnsi="Palatino Linotype"/>
        </w:rPr>
        <w:t>s new</w:t>
      </w:r>
      <w:r w:rsidR="00673F99">
        <w:rPr>
          <w:rFonts w:ascii="Palatino Linotype" w:hAnsi="Palatino Linotype"/>
        </w:rPr>
        <w:t xml:space="preserve"> (correct responses)</w:t>
      </w:r>
      <w:r w:rsidR="006B3AAB">
        <w:rPr>
          <w:rFonts w:ascii="Palatino Linotype" w:hAnsi="Palatino Linotype"/>
        </w:rPr>
        <w:t xml:space="preserve">, </w:t>
      </w:r>
      <w:r w:rsidR="00162B51">
        <w:rPr>
          <w:rFonts w:ascii="Palatino Linotype" w:hAnsi="Palatino Linotype"/>
        </w:rPr>
        <w:t>they</w:t>
      </w:r>
      <w:r w:rsidR="00673F99">
        <w:rPr>
          <w:rFonts w:ascii="Palatino Linotype" w:hAnsi="Palatino Linotype"/>
        </w:rPr>
        <w:t xml:space="preserve"> </w:t>
      </w:r>
      <w:r w:rsidR="006B3AAB">
        <w:rPr>
          <w:rFonts w:ascii="Palatino Linotype" w:hAnsi="Palatino Linotype"/>
        </w:rPr>
        <w:t>treat</w:t>
      </w:r>
      <w:r w:rsidR="00673F99">
        <w:rPr>
          <w:rFonts w:ascii="Palatino Linotype" w:hAnsi="Palatino Linotype"/>
        </w:rPr>
        <w:t>ed</w:t>
      </w:r>
      <w:r w:rsidR="006B3AAB">
        <w:rPr>
          <w:rFonts w:ascii="Palatino Linotype" w:hAnsi="Palatino Linotype"/>
        </w:rPr>
        <w:t xml:space="preserve"> </w:t>
      </w:r>
      <w:r w:rsidR="00162B51">
        <w:rPr>
          <w:rFonts w:ascii="Palatino Linotype" w:hAnsi="Palatino Linotype"/>
        </w:rPr>
        <w:t xml:space="preserve">it </w:t>
      </w:r>
      <w:r w:rsidR="006B3AAB">
        <w:rPr>
          <w:rFonts w:ascii="Palatino Linotype" w:hAnsi="Palatino Linotype"/>
        </w:rPr>
        <w:t>as an independent entity</w:t>
      </w:r>
      <w:r w:rsidR="00162B51">
        <w:rPr>
          <w:rFonts w:ascii="Palatino Linotype" w:hAnsi="Palatino Linotype"/>
        </w:rPr>
        <w:t xml:space="preserve"> separate from the context</w:t>
      </w:r>
      <w:r w:rsidR="006B3AAB">
        <w:rPr>
          <w:rFonts w:ascii="Palatino Linotype" w:hAnsi="Palatino Linotype"/>
        </w:rPr>
        <w:t>.</w:t>
      </w:r>
      <w:r w:rsidR="00162B51">
        <w:rPr>
          <w:rFonts w:ascii="Palatino Linotype" w:hAnsi="Palatino Linotype"/>
        </w:rPr>
        <w:t xml:space="preserve"> Instead if they mistakenly believe</w:t>
      </w:r>
      <w:r w:rsidR="00673F99">
        <w:rPr>
          <w:rFonts w:ascii="Palatino Linotype" w:hAnsi="Palatino Linotype"/>
        </w:rPr>
        <w:t>d</w:t>
      </w:r>
      <w:r w:rsidR="00162B51">
        <w:rPr>
          <w:rFonts w:ascii="Palatino Linotype" w:hAnsi="Palatino Linotype"/>
        </w:rPr>
        <w:t xml:space="preserve"> they ha</w:t>
      </w:r>
      <w:r w:rsidR="00673F99">
        <w:rPr>
          <w:rFonts w:ascii="Palatino Linotype" w:hAnsi="Palatino Linotype"/>
        </w:rPr>
        <w:t>d</w:t>
      </w:r>
      <w:r w:rsidR="00162B51">
        <w:rPr>
          <w:rFonts w:ascii="Palatino Linotype" w:hAnsi="Palatino Linotype"/>
        </w:rPr>
        <w:t xml:space="preserve"> previously seen the shape</w:t>
      </w:r>
      <w:r w:rsidR="00673F99">
        <w:rPr>
          <w:rFonts w:ascii="Palatino Linotype" w:hAnsi="Palatino Linotype"/>
        </w:rPr>
        <w:t xml:space="preserve"> (incorrect response)</w:t>
      </w:r>
      <w:r w:rsidR="009E29B1">
        <w:rPr>
          <w:rFonts w:ascii="Palatino Linotype" w:hAnsi="Palatino Linotype"/>
        </w:rPr>
        <w:t>,</w:t>
      </w:r>
      <w:r w:rsidR="00162B51">
        <w:rPr>
          <w:rFonts w:ascii="Palatino Linotype" w:hAnsi="Palatino Linotype"/>
        </w:rPr>
        <w:t xml:space="preserve"> they attribute</w:t>
      </w:r>
      <w:r w:rsidR="00673F99">
        <w:rPr>
          <w:rFonts w:ascii="Palatino Linotype" w:hAnsi="Palatino Linotype"/>
        </w:rPr>
        <w:t>d</w:t>
      </w:r>
      <w:r w:rsidR="00162B51">
        <w:rPr>
          <w:rFonts w:ascii="Palatino Linotype" w:hAnsi="Palatino Linotype"/>
        </w:rPr>
        <w:t xml:space="preserve"> the </w:t>
      </w:r>
      <w:r w:rsidR="00ED0994">
        <w:rPr>
          <w:rFonts w:ascii="Palatino Linotype" w:hAnsi="Palatino Linotype"/>
        </w:rPr>
        <w:t xml:space="preserve">symmetry </w:t>
      </w:r>
      <w:r w:rsidR="00162B51">
        <w:rPr>
          <w:rFonts w:ascii="Palatino Linotype" w:hAnsi="Palatino Linotype"/>
        </w:rPr>
        <w:t xml:space="preserve">information to a new exemplar. </w:t>
      </w:r>
      <w:r w:rsidR="0011594D">
        <w:rPr>
          <w:rFonts w:ascii="Palatino Linotype" w:hAnsi="Palatino Linotype"/>
        </w:rPr>
        <w:t>This</w:t>
      </w:r>
      <w:r w:rsidR="009E29B1">
        <w:rPr>
          <w:rFonts w:ascii="Palatino Linotype" w:hAnsi="Palatino Linotype"/>
        </w:rPr>
        <w:t xml:space="preserve"> </w:t>
      </w:r>
      <w:r w:rsidR="0011594D">
        <w:rPr>
          <w:rFonts w:ascii="Palatino Linotype" w:hAnsi="Palatino Linotype"/>
        </w:rPr>
        <w:t>elicit</w:t>
      </w:r>
      <w:r w:rsidR="00673F99">
        <w:rPr>
          <w:rFonts w:ascii="Palatino Linotype" w:hAnsi="Palatino Linotype"/>
        </w:rPr>
        <w:t>ed</w:t>
      </w:r>
      <w:r w:rsidR="0011594D">
        <w:rPr>
          <w:rFonts w:ascii="Palatino Linotype" w:hAnsi="Palatino Linotype"/>
        </w:rPr>
        <w:t xml:space="preserve"> a global completion of the figure based on symmetry.</w:t>
      </w:r>
    </w:p>
    <w:p w14:paraId="7D58925F" w14:textId="69163FFE" w:rsidR="0011594D" w:rsidRDefault="00673F99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The above is </w:t>
      </w:r>
      <w:r w:rsidR="001F0559">
        <w:rPr>
          <w:rFonts w:ascii="Palatino Linotype" w:hAnsi="Palatino Linotype"/>
        </w:rPr>
        <w:t xml:space="preserve">only a </w:t>
      </w:r>
      <w:r>
        <w:rPr>
          <w:rFonts w:ascii="Palatino Linotype" w:hAnsi="Palatino Linotype"/>
        </w:rPr>
        <w:t xml:space="preserve">speculation. </w:t>
      </w:r>
      <w:r w:rsidR="0011594D">
        <w:rPr>
          <w:rFonts w:ascii="Palatino Linotype" w:hAnsi="Palatino Linotype"/>
        </w:rPr>
        <w:t>Our study was not designed to address this issue, which should be considered in future research.</w:t>
      </w:r>
    </w:p>
    <w:p w14:paraId="2A39F328" w14:textId="7CAC265A" w:rsidR="00BD6FCB" w:rsidRPr="00932014" w:rsidRDefault="00BD6FCB">
      <w:pPr>
        <w:rPr>
          <w:rFonts w:ascii="Palatino Linotype" w:hAnsi="Palatino Linotype"/>
        </w:rPr>
      </w:pPr>
    </w:p>
    <w:sectPr w:rsidR="00BD6FCB" w:rsidRPr="009320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014"/>
    <w:rsid w:val="0011594D"/>
    <w:rsid w:val="00162B51"/>
    <w:rsid w:val="001F0559"/>
    <w:rsid w:val="003A20E2"/>
    <w:rsid w:val="00553C9B"/>
    <w:rsid w:val="005D58E7"/>
    <w:rsid w:val="0067062C"/>
    <w:rsid w:val="00673F99"/>
    <w:rsid w:val="006B3AAB"/>
    <w:rsid w:val="00932014"/>
    <w:rsid w:val="009E29B1"/>
    <w:rsid w:val="00BD6FCB"/>
    <w:rsid w:val="00C36252"/>
    <w:rsid w:val="00E644C6"/>
    <w:rsid w:val="00ED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82CF9"/>
  <w15:chartTrackingRefBased/>
  <w15:docId w15:val="{1CD24F8C-9EC5-4264-BE04-5067B02D3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Rampone, Giulia</dc:creator>
  <cp:keywords/>
  <dc:description/>
  <cp:lastModifiedBy>Rampone, Giulia</cp:lastModifiedBy>
  <cp:revision>10</cp:revision>
  <dcterms:created xsi:type="dcterms:W3CDTF">2021-05-03T14:21:00Z</dcterms:created>
  <dcterms:modified xsi:type="dcterms:W3CDTF">2021-08-05T09:39:00Z</dcterms:modified>
</cp:coreProperties>
</file>