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401"/>
        <w:tblW w:w="60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6"/>
        <w:gridCol w:w="1880"/>
        <w:gridCol w:w="1656"/>
        <w:gridCol w:w="1200"/>
      </w:tblGrid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Variable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</w:t>
            </w: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Mucinous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Adenocarcinoma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P </w:t>
            </w:r>
            <w:proofErr w:type="spellStart"/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value</w:t>
            </w:r>
            <w:proofErr w:type="spellEnd"/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>LY6G6D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3.3e-7</w:t>
            </w: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negative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intermediate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intense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>MMR</w:t>
            </w:r>
            <w:r w:rsidR="001401DF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0.00000622</w:t>
            </w: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proofErr w:type="spellStart"/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loss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13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positive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NA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>p53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0.04059948</w:t>
            </w: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negative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intermediate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High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C36B1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NA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BC36B1" w:rsidRPr="00BC36B1" w:rsidRDefault="00BC36B1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B136DC" w:rsidRPr="00BC36B1" w:rsidTr="001401DF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B136DC" w:rsidRPr="00BC36B1" w:rsidRDefault="00B136DC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Total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B136DC" w:rsidRPr="00BC36B1" w:rsidRDefault="00B136DC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  26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B136DC" w:rsidRPr="00BC36B1" w:rsidRDefault="00B136DC" w:rsidP="00140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164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B136DC" w:rsidRPr="00BC36B1" w:rsidRDefault="00B136DC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</w:tbl>
    <w:p w:rsidR="001401DF" w:rsidRPr="001401DF" w:rsidRDefault="00B136DC" w:rsidP="001401D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401DF">
        <w:rPr>
          <w:rFonts w:ascii="Times New Roman" w:hAnsi="Times New Roman" w:cs="Times New Roman"/>
          <w:sz w:val="24"/>
          <w:szCs w:val="24"/>
        </w:rPr>
        <w:t xml:space="preserve">Table S1. </w:t>
      </w:r>
      <w:proofErr w:type="spellStart"/>
      <w:r w:rsidR="001401DF" w:rsidRPr="001401DF">
        <w:rPr>
          <w:rFonts w:ascii="Times New Roman" w:hAnsi="Times New Roman" w:cs="Times New Roman"/>
          <w:sz w:val="24"/>
          <w:szCs w:val="24"/>
        </w:rPr>
        <w:t>Immumohistochemical</w:t>
      </w:r>
      <w:proofErr w:type="spellEnd"/>
      <w:r w:rsidR="001401DF" w:rsidRPr="001401DF">
        <w:rPr>
          <w:rFonts w:ascii="Times New Roman" w:hAnsi="Times New Roman" w:cs="Times New Roman"/>
          <w:sz w:val="24"/>
          <w:szCs w:val="24"/>
        </w:rPr>
        <w:t xml:space="preserve"> profile of LY6G6D, MMR (MLH1, MSH2, MSH6) and p53 in the identified mucinous CRC in our database using for comparison non-mucinous adenocarcinoma. The indicated </w:t>
      </w:r>
      <w:r w:rsidR="001401DF" w:rsidRPr="001401DF">
        <w:rPr>
          <w:rFonts w:ascii="Times New Roman" w:hAnsi="Times New Roman" w:cs="Times New Roman"/>
          <w:i/>
          <w:sz w:val="24"/>
          <w:szCs w:val="24"/>
        </w:rPr>
        <w:t>P value</w:t>
      </w:r>
      <w:r w:rsidR="001401DF" w:rsidRPr="001401DF">
        <w:rPr>
          <w:rFonts w:ascii="Times New Roman" w:hAnsi="Times New Roman" w:cs="Times New Roman"/>
          <w:sz w:val="24"/>
          <w:szCs w:val="24"/>
        </w:rPr>
        <w:t xml:space="preserve">s are calculated by chi-square and Fisher’s test. </w:t>
      </w:r>
      <w:hyperlink r:id="rId4" w:history="1"/>
      <w:bookmarkEnd w:id="0"/>
    </w:p>
    <w:sectPr w:rsidR="001401DF" w:rsidRPr="001401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6B1"/>
    <w:rsid w:val="000D0423"/>
    <w:rsid w:val="001401DF"/>
    <w:rsid w:val="00B136DC"/>
    <w:rsid w:val="00BC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E99F6"/>
  <w15:chartTrackingRefBased/>
  <w15:docId w15:val="{03F4FBD2-8FB8-458A-9D0B-9EAAD3E5B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4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raphpad.com/quickcalcs/contingency1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Pancione</dc:creator>
  <cp:keywords/>
  <dc:description/>
  <cp:lastModifiedBy>Massimo Pancione</cp:lastModifiedBy>
  <cp:revision>3</cp:revision>
  <dcterms:created xsi:type="dcterms:W3CDTF">2021-07-23T12:28:00Z</dcterms:created>
  <dcterms:modified xsi:type="dcterms:W3CDTF">2021-07-29T11:09:00Z</dcterms:modified>
</cp:coreProperties>
</file>