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73097A1" w14:textId="77777777" w:rsidR="00576F2F" w:rsidRDefault="00576F2F" w:rsidP="00576F2F">
      <w:pPr>
        <w:spacing w:line="276" w:lineRule="auto"/>
        <w:jc w:val="both"/>
        <w:rPr>
          <w:rFonts w:eastAsia="DengXian"/>
          <w:b/>
          <w:bCs/>
        </w:rPr>
      </w:pPr>
      <w:r>
        <w:rPr>
          <w:rFonts w:eastAsia="DengXian"/>
          <w:b/>
          <w:bCs/>
        </w:rPr>
        <w:t>Supplementary Figures</w:t>
      </w:r>
    </w:p>
    <w:p w14:paraId="2E35C631" w14:textId="77777777" w:rsidR="00576F2F" w:rsidRDefault="00576F2F" w:rsidP="00576F2F">
      <w:pPr>
        <w:spacing w:line="276" w:lineRule="auto"/>
        <w:jc w:val="both"/>
        <w:rPr>
          <w:rFonts w:eastAsia="DengXian"/>
          <w:b/>
          <w:bCs/>
          <w:lang w:eastAsia="zh-CN"/>
        </w:rPr>
      </w:pPr>
    </w:p>
    <w:p w14:paraId="6001234F" w14:textId="77777777" w:rsidR="00576F2F" w:rsidRDefault="00576F2F" w:rsidP="00576F2F">
      <w:pPr>
        <w:spacing w:line="276" w:lineRule="auto"/>
        <w:jc w:val="both"/>
        <w:rPr>
          <w:rFonts w:eastAsia="DengXian"/>
        </w:rPr>
      </w:pPr>
      <w:r>
        <w:rPr>
          <w:b/>
          <w:bCs/>
          <w:lang w:eastAsia="zh-CN"/>
        </w:rPr>
        <w:t xml:space="preserve">Supplementary Figure </w:t>
      </w:r>
      <w:r>
        <w:rPr>
          <w:b/>
          <w:bCs/>
          <w:lang w:val="en-US" w:eastAsia="zh-CN"/>
        </w:rPr>
        <w:t>1</w:t>
      </w:r>
      <w:r>
        <w:rPr>
          <w:rFonts w:eastAsia="DengXian"/>
          <w:b/>
          <w:bCs/>
        </w:rPr>
        <w:t>.</w:t>
      </w:r>
      <w:r>
        <w:rPr>
          <w:rFonts w:eastAsia="DengXian"/>
        </w:rPr>
        <w:t xml:space="preserve"> (A–C) Biosynthetic pathways of thiamine, niacin, and cobalamin. Functional roles are represented by rectangles, while metabolites are depicted as circles. </w:t>
      </w:r>
    </w:p>
    <w:p w14:paraId="26B481EA" w14:textId="77777777" w:rsidR="00576F2F" w:rsidRDefault="00576F2F" w:rsidP="00576F2F">
      <w:pPr>
        <w:spacing w:line="276" w:lineRule="auto"/>
        <w:jc w:val="both"/>
        <w:rPr>
          <w:rFonts w:eastAsia="DengXian"/>
        </w:rPr>
      </w:pPr>
    </w:p>
    <w:p w14:paraId="75E8BD47" w14:textId="77777777" w:rsidR="00576F2F" w:rsidRDefault="00576F2F" w:rsidP="00576F2F">
      <w:pPr>
        <w:spacing w:line="276" w:lineRule="auto"/>
        <w:jc w:val="both"/>
        <w:rPr>
          <w:rFonts w:eastAsia="DengXian"/>
        </w:rPr>
      </w:pPr>
      <w:r>
        <w:rPr>
          <w:b/>
          <w:bCs/>
          <w:lang w:eastAsia="zh-CN"/>
        </w:rPr>
        <w:t xml:space="preserve">Supplementary Figure </w:t>
      </w:r>
      <w:r>
        <w:rPr>
          <w:rFonts w:eastAsia="DengXian"/>
          <w:b/>
          <w:bCs/>
        </w:rPr>
        <w:t>2.</w:t>
      </w:r>
      <w:r>
        <w:rPr>
          <w:rFonts w:eastAsia="DengXian"/>
        </w:rPr>
        <w:t xml:space="preserve"> (A–C) Biosynthetic pathways of biotin, folate, and menaquinone. Functional roles are represented by rectangles, while metabolites are depicted as circles.</w:t>
      </w:r>
    </w:p>
    <w:p w14:paraId="7CB253BC" w14:textId="77777777" w:rsidR="00576F2F" w:rsidRDefault="00576F2F" w:rsidP="00576F2F">
      <w:pPr>
        <w:spacing w:line="276" w:lineRule="auto"/>
        <w:jc w:val="both"/>
        <w:rPr>
          <w:rFonts w:eastAsia="DengXian"/>
          <w:lang w:eastAsia="zh-CN"/>
        </w:rPr>
      </w:pPr>
    </w:p>
    <w:p w14:paraId="604358BE" w14:textId="77777777" w:rsidR="00576F2F" w:rsidRDefault="00576F2F" w:rsidP="00576F2F">
      <w:pPr>
        <w:spacing w:line="276" w:lineRule="auto"/>
        <w:jc w:val="both"/>
        <w:rPr>
          <w:rFonts w:eastAsia="DengXian"/>
        </w:rPr>
      </w:pPr>
      <w:r>
        <w:rPr>
          <w:b/>
          <w:bCs/>
          <w:lang w:eastAsia="zh-CN"/>
        </w:rPr>
        <w:t xml:space="preserve">Supplementary Figure </w:t>
      </w:r>
      <w:r>
        <w:rPr>
          <w:rFonts w:eastAsia="DengXian"/>
          <w:b/>
          <w:bCs/>
        </w:rPr>
        <w:t>3.</w:t>
      </w:r>
      <w:r>
        <w:rPr>
          <w:rFonts w:eastAsia="DengXian"/>
        </w:rPr>
        <w:t xml:space="preserve"> (A–C) Biosynthetic pathways of pantothenate, pyridoxine, and riboflavin. Functional roles are represented by rectangles, while metabolites are depicted as circles.</w:t>
      </w:r>
    </w:p>
    <w:p w14:paraId="12B05E32" w14:textId="77777777" w:rsidR="00576F2F" w:rsidRDefault="00576F2F" w:rsidP="00576F2F">
      <w:pPr>
        <w:spacing w:line="276" w:lineRule="auto"/>
        <w:jc w:val="both"/>
        <w:rPr>
          <w:rFonts w:eastAsia="DengXian"/>
          <w:lang w:eastAsia="zh-CN"/>
        </w:rPr>
      </w:pPr>
    </w:p>
    <w:p w14:paraId="131A7098" w14:textId="77777777" w:rsidR="00576F2F" w:rsidRDefault="00576F2F" w:rsidP="00576F2F">
      <w:pPr>
        <w:spacing w:line="276" w:lineRule="auto"/>
        <w:jc w:val="both"/>
        <w:rPr>
          <w:rFonts w:eastAsia="DengXian"/>
        </w:rPr>
      </w:pPr>
      <w:r>
        <w:rPr>
          <w:b/>
          <w:bCs/>
          <w:lang w:eastAsia="zh-CN"/>
        </w:rPr>
        <w:t xml:space="preserve">Supplementary Figure </w:t>
      </w:r>
      <w:r>
        <w:rPr>
          <w:rFonts w:eastAsia="DengXian"/>
          <w:b/>
          <w:bCs/>
        </w:rPr>
        <w:t>4.</w:t>
      </w:r>
      <w:r>
        <w:rPr>
          <w:rFonts w:eastAsia="DengXian"/>
        </w:rPr>
        <w:t xml:space="preserve"> </w:t>
      </w:r>
      <w:r>
        <w:rPr>
          <w:rFonts w:eastAsia="DengXian"/>
          <w:b/>
          <w:bCs/>
        </w:rPr>
        <w:t xml:space="preserve">Proportion of genomes capable of </w:t>
      </w:r>
      <w:r>
        <w:rPr>
          <w:rFonts w:eastAsia="DengXian"/>
          <w:b/>
          <w:bCs/>
          <w:i/>
          <w:iCs/>
        </w:rPr>
        <w:t>de novo</w:t>
      </w:r>
      <w:r>
        <w:rPr>
          <w:rFonts w:eastAsia="DengXian"/>
          <w:b/>
          <w:bCs/>
        </w:rPr>
        <w:t xml:space="preserve"> vitamin synthesis across animals.</w:t>
      </w:r>
      <w:r>
        <w:rPr>
          <w:rFonts w:eastAsia="DengXian"/>
        </w:rPr>
        <w:t xml:space="preserve"> The pie chart illustrates the proportion of genomes capable of synthesizing vitamins </w:t>
      </w:r>
      <w:r>
        <w:rPr>
          <w:rFonts w:eastAsia="DengXian"/>
          <w:i/>
          <w:iCs/>
        </w:rPr>
        <w:t>de novo</w:t>
      </w:r>
      <w:r>
        <w:rPr>
          <w:rFonts w:eastAsia="DengXian"/>
        </w:rPr>
        <w:t>, categorized by phylum-level classification across different animals.</w:t>
      </w:r>
    </w:p>
    <w:p w14:paraId="785E352E" w14:textId="77777777" w:rsidR="00576F2F" w:rsidRDefault="00576F2F" w:rsidP="00576F2F">
      <w:pPr>
        <w:spacing w:line="276" w:lineRule="auto"/>
        <w:jc w:val="both"/>
        <w:rPr>
          <w:rFonts w:eastAsia="DengXian"/>
          <w:lang w:eastAsia="zh-CN"/>
        </w:rPr>
      </w:pPr>
    </w:p>
    <w:p w14:paraId="512B2E3B" w14:textId="77777777" w:rsidR="00576F2F" w:rsidRDefault="00576F2F" w:rsidP="00576F2F">
      <w:pPr>
        <w:spacing w:line="276" w:lineRule="auto"/>
        <w:jc w:val="both"/>
        <w:rPr>
          <w:rFonts w:eastAsia="DengXian"/>
          <w:lang w:eastAsia="zh-CN"/>
        </w:rPr>
      </w:pPr>
      <w:r>
        <w:rPr>
          <w:b/>
          <w:bCs/>
          <w:lang w:eastAsia="zh-CN"/>
        </w:rPr>
        <w:t>Supplementary Figure</w:t>
      </w:r>
      <w:r>
        <w:rPr>
          <w:rFonts w:hint="eastAsia"/>
          <w:b/>
          <w:bCs/>
          <w:lang w:val="en-US" w:eastAsia="zh-CN"/>
        </w:rPr>
        <w:t xml:space="preserve"> </w:t>
      </w:r>
      <w:r>
        <w:rPr>
          <w:rFonts w:eastAsia="DengXian"/>
          <w:b/>
          <w:bCs/>
        </w:rPr>
        <w:t>5.</w:t>
      </w:r>
      <w:r>
        <w:rPr>
          <w:rFonts w:eastAsia="DengXian"/>
        </w:rPr>
        <w:t xml:space="preserve"> </w:t>
      </w:r>
      <w:r>
        <w:rPr>
          <w:rFonts w:eastAsia="DengXian"/>
          <w:b/>
          <w:bCs/>
        </w:rPr>
        <w:t xml:space="preserve">Changes in species abundance at the phylum level before and after microsporidium infection. </w:t>
      </w:r>
      <w:r>
        <w:rPr>
          <w:rFonts w:eastAsia="DengXian"/>
        </w:rPr>
        <w:t xml:space="preserve">Box plots display differences in the relative abundance of species at the phylum level before and after </w:t>
      </w:r>
      <w:r>
        <w:rPr>
          <w:rFonts w:eastAsia="DengXian"/>
          <w:i/>
          <w:iCs/>
        </w:rPr>
        <w:t>E. bieneusi</w:t>
      </w:r>
      <w:r>
        <w:rPr>
          <w:rFonts w:eastAsia="DengXian"/>
        </w:rPr>
        <w:t xml:space="preserve"> infection. Statistical significance was assessed using the Wilcoxon rank sum test (*</w:t>
      </w:r>
      <w:r>
        <w:rPr>
          <w:rFonts w:eastAsia="DengXian"/>
          <w:i/>
          <w:iCs/>
        </w:rPr>
        <w:t>p</w:t>
      </w:r>
      <w:r>
        <w:rPr>
          <w:rFonts w:eastAsia="DengXian"/>
        </w:rPr>
        <w:t xml:space="preserve"> &lt; 0.05).</w:t>
      </w:r>
    </w:p>
    <w:p w14:paraId="0099657B" w14:textId="77777777" w:rsidR="00576F2F" w:rsidRDefault="00576F2F" w:rsidP="00576F2F">
      <w:pPr>
        <w:spacing w:line="276" w:lineRule="auto"/>
        <w:jc w:val="both"/>
        <w:rPr>
          <w:rFonts w:eastAsia="DengXian"/>
        </w:rPr>
      </w:pPr>
    </w:p>
    <w:p w14:paraId="17D6BD35" w14:textId="77777777" w:rsidR="00576F2F" w:rsidRDefault="00576F2F" w:rsidP="00576F2F">
      <w:pPr>
        <w:spacing w:line="276" w:lineRule="auto"/>
        <w:jc w:val="both"/>
        <w:rPr>
          <w:rFonts w:eastAsia="SimSun"/>
          <w:b/>
          <w:bCs/>
        </w:rPr>
      </w:pPr>
      <w:r>
        <w:rPr>
          <w:rFonts w:eastAsia="SimSun"/>
          <w:b/>
          <w:bCs/>
        </w:rPr>
        <w:t>Supplementary Tables</w:t>
      </w:r>
    </w:p>
    <w:p w14:paraId="24256376" w14:textId="77777777" w:rsidR="00576F2F" w:rsidRDefault="00576F2F" w:rsidP="00576F2F">
      <w:pPr>
        <w:spacing w:line="276" w:lineRule="auto"/>
        <w:rPr>
          <w:rFonts w:eastAsia="SimSun"/>
          <w:b/>
          <w:bCs/>
        </w:rPr>
      </w:pPr>
    </w:p>
    <w:p w14:paraId="4965769A" w14:textId="77777777" w:rsidR="00576F2F" w:rsidRDefault="00576F2F" w:rsidP="00576F2F">
      <w:pPr>
        <w:spacing w:line="276" w:lineRule="auto"/>
        <w:rPr>
          <w:rFonts w:eastAsia="DengXian"/>
        </w:rPr>
      </w:pPr>
      <w:r>
        <w:rPr>
          <w:b/>
          <w:bCs/>
          <w:lang w:eastAsia="zh-CN"/>
        </w:rPr>
        <w:t xml:space="preserve">Supplementary Table </w:t>
      </w:r>
      <w:r>
        <w:rPr>
          <w:rFonts w:eastAsia="DengXian"/>
          <w:b/>
          <w:bCs/>
        </w:rPr>
        <w:t>1.</w:t>
      </w:r>
      <w:r>
        <w:rPr>
          <w:rFonts w:eastAsia="DengXian"/>
        </w:rPr>
        <w:t xml:space="preserve"> Summary of 9,929 representative genomes, including their sources, quality assessment criteria, and key characteristics.</w:t>
      </w:r>
    </w:p>
    <w:p w14:paraId="5483D423" w14:textId="77777777" w:rsidR="00576F2F" w:rsidRDefault="00576F2F" w:rsidP="00576F2F">
      <w:pPr>
        <w:spacing w:line="276" w:lineRule="auto"/>
        <w:rPr>
          <w:rFonts w:eastAsia="DengXian"/>
        </w:rPr>
      </w:pPr>
    </w:p>
    <w:p w14:paraId="606E314F" w14:textId="77777777" w:rsidR="00576F2F" w:rsidRDefault="00576F2F" w:rsidP="00576F2F">
      <w:pPr>
        <w:spacing w:line="276" w:lineRule="auto"/>
        <w:rPr>
          <w:rFonts w:eastAsia="DengXian"/>
        </w:rPr>
      </w:pPr>
      <w:r>
        <w:rPr>
          <w:b/>
          <w:bCs/>
          <w:lang w:eastAsia="zh-CN"/>
        </w:rPr>
        <w:t xml:space="preserve">Supplementary Table </w:t>
      </w:r>
      <w:r>
        <w:rPr>
          <w:rFonts w:eastAsia="DengXian"/>
          <w:b/>
          <w:bCs/>
        </w:rPr>
        <w:t>2.</w:t>
      </w:r>
      <w:r>
        <w:rPr>
          <w:rFonts w:eastAsia="DengXian"/>
        </w:rPr>
        <w:t xml:space="preserve"> Detailed overview of genes involved in the biosynthesis of vitamins B and K</w:t>
      </w:r>
      <w:r>
        <w:rPr>
          <w:rFonts w:eastAsia="DengXian"/>
          <w:vertAlign w:val="subscript"/>
        </w:rPr>
        <w:t>2</w:t>
      </w:r>
      <w:r>
        <w:rPr>
          <w:rFonts w:eastAsia="DengXian"/>
        </w:rPr>
        <w:t>, including relevant characteristics.</w:t>
      </w:r>
    </w:p>
    <w:p w14:paraId="7E66816E" w14:textId="77777777" w:rsidR="00576F2F" w:rsidRDefault="00576F2F" w:rsidP="00576F2F">
      <w:pPr>
        <w:spacing w:line="276" w:lineRule="auto"/>
        <w:rPr>
          <w:rFonts w:eastAsia="DengXian"/>
        </w:rPr>
      </w:pPr>
    </w:p>
    <w:p w14:paraId="3D806215" w14:textId="77777777" w:rsidR="00576F2F" w:rsidRDefault="00576F2F" w:rsidP="00576F2F">
      <w:pPr>
        <w:spacing w:line="276" w:lineRule="auto"/>
        <w:rPr>
          <w:rFonts w:eastAsia="DengXian"/>
        </w:rPr>
      </w:pPr>
      <w:r>
        <w:rPr>
          <w:b/>
          <w:bCs/>
          <w:lang w:eastAsia="zh-CN"/>
        </w:rPr>
        <w:t xml:space="preserve">Supplementary Table </w:t>
      </w:r>
      <w:r>
        <w:rPr>
          <w:rFonts w:eastAsia="DengXian"/>
          <w:b/>
          <w:bCs/>
        </w:rPr>
        <w:t>3.</w:t>
      </w:r>
      <w:r>
        <w:rPr>
          <w:rFonts w:eastAsia="DengXian"/>
        </w:rPr>
        <w:t xml:space="preserve"> Taxonomic classification of 3,522 high-quality genomes, including their respective categories and levels.</w:t>
      </w:r>
    </w:p>
    <w:p w14:paraId="013F82B2" w14:textId="77777777" w:rsidR="00576F2F" w:rsidRDefault="00576F2F" w:rsidP="00576F2F">
      <w:pPr>
        <w:spacing w:line="276" w:lineRule="auto"/>
        <w:rPr>
          <w:rFonts w:eastAsia="DengXian"/>
        </w:rPr>
      </w:pPr>
    </w:p>
    <w:p w14:paraId="7C858994" w14:textId="77777777" w:rsidR="00576F2F" w:rsidRDefault="00576F2F" w:rsidP="00576F2F">
      <w:pPr>
        <w:spacing w:line="276" w:lineRule="auto"/>
        <w:rPr>
          <w:rFonts w:eastAsia="DengXian"/>
          <w:b/>
          <w:bCs/>
          <w:lang w:eastAsia="zh-CN"/>
        </w:rPr>
      </w:pPr>
      <w:r>
        <w:rPr>
          <w:b/>
          <w:bCs/>
          <w:lang w:eastAsia="zh-CN"/>
        </w:rPr>
        <w:t xml:space="preserve">Supplementary Table </w:t>
      </w:r>
      <w:r>
        <w:rPr>
          <w:rFonts w:eastAsia="DengXian"/>
          <w:b/>
          <w:bCs/>
        </w:rPr>
        <w:t>4.</w:t>
      </w:r>
      <w:r>
        <w:rPr>
          <w:rFonts w:eastAsia="DengXian"/>
        </w:rPr>
        <w:t xml:space="preserve"> Genomic statistics and vitamin synthesis capabilities of 2,307 selected genomes, highlighting key features and biosynthetic potential.</w:t>
      </w:r>
    </w:p>
    <w:p w14:paraId="2D1A632B" w14:textId="77777777" w:rsidR="009542D6" w:rsidRDefault="009542D6"/>
    <w:sectPr w:rsidR="009542D6" w:rsidSect="00576F2F">
      <w:footerReference w:type="default" r:id="rId4"/>
      <w:pgSz w:w="11906" w:h="16838"/>
      <w:pgMar w:top="1417" w:right="1417" w:bottom="1417" w:left="1417" w:header="851" w:footer="992" w:gutter="0"/>
      <w:lnNumType w:countBy="1" w:restart="continuous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9BDAD73" w14:textId="77777777" w:rsidR="00000000" w:rsidRDefault="00000000">
    <w:pPr>
      <w:pStyle w:val="Footer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29A2E571" wp14:editId="6948D9D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29FBE555" w14:textId="77777777" w:rsidR="00000000" w:rsidRDefault="00000000">
                          <w:pPr>
                            <w:pStyle w:val="Heading2Char"/>
                            <w:rPr>
                              <w:rStyle w:val="Heading7Char"/>
                              <w:sz w:val="21"/>
                              <w:szCs w:val="21"/>
                            </w:rPr>
                          </w:pPr>
                          <w:r>
                            <w:rPr>
                              <w:rStyle w:val="Heading7Char"/>
                              <w:color w:val="000000"/>
                              <w:sz w:val="21"/>
                              <w:szCs w:val="21"/>
                            </w:rPr>
                            <w:fldChar w:fldCharType="begin"/>
                          </w:r>
                          <w:r>
                            <w:rPr>
                              <w:rStyle w:val="Heading7Char"/>
                              <w:color w:val="000000"/>
                              <w:sz w:val="21"/>
                              <w:szCs w:val="21"/>
                            </w:rPr>
                            <w:instrText xml:space="preserve"> PAGE </w:instrText>
                          </w:r>
                          <w:r>
                            <w:rPr>
                              <w:rStyle w:val="Heading7Char"/>
                              <w:color w:val="000000"/>
                              <w:sz w:val="21"/>
                              <w:szCs w:val="21"/>
                            </w:rPr>
                            <w:fldChar w:fldCharType="separate"/>
                          </w:r>
                          <w:r>
                            <w:rPr>
                              <w:rStyle w:val="Heading7Char"/>
                              <w:color w:val="000000"/>
                              <w:sz w:val="21"/>
                              <w:szCs w:val="21"/>
                            </w:rPr>
                            <w:t>1</w:t>
                          </w:r>
                          <w:r>
                            <w:rPr>
                              <w:rStyle w:val="Heading7Char"/>
                              <w:color w:val="000000"/>
                              <w:sz w:val="21"/>
                              <w:szCs w:val="21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29A2E571" id="_x0000_t202" coordsize="21600,21600" o:spt="202" path="m,l,21600r21600,l21600,xe">
              <v:stroke joinstyle="miter"/>
              <v:path gradientshapeok="t" o:connecttype="rect"/>
            </v:shapetype>
            <v:shape id="文本框 2" o:spid="_x0000_s1026" type="#_x0000_t202" style="position:absolute;margin-left:0;margin-top:0;width:2in;height:2in;z-index:25165926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" filled="f" stroked="f" strokeweight=".5pt">
              <v:textbox style="mso-fit-shape-to-text:t" inset="0,0,0,0">
                <w:txbxContent>
                  <w:p w14:paraId="29FBE555" w14:textId="77777777" w:rsidR="00000000" w:rsidRDefault="00000000">
                    <w:pPr>
                      <w:pStyle w:val="Heading2Char"/>
                      <w:rPr>
                        <w:rStyle w:val="Heading7Char"/>
                        <w:sz w:val="21"/>
                        <w:szCs w:val="21"/>
                      </w:rPr>
                    </w:pPr>
                    <w:r>
                      <w:rPr>
                        <w:rStyle w:val="Heading7Char"/>
                        <w:color w:val="000000"/>
                        <w:sz w:val="21"/>
                        <w:szCs w:val="21"/>
                      </w:rPr>
                      <w:fldChar w:fldCharType="begin"/>
                    </w:r>
                    <w:r>
                      <w:rPr>
                        <w:rStyle w:val="Heading7Char"/>
                        <w:color w:val="000000"/>
                        <w:sz w:val="21"/>
                        <w:szCs w:val="21"/>
                      </w:rPr>
                      <w:instrText xml:space="preserve"> PAGE </w:instrText>
                    </w:r>
                    <w:r>
                      <w:rPr>
                        <w:rStyle w:val="Heading7Char"/>
                        <w:color w:val="000000"/>
                        <w:sz w:val="21"/>
                        <w:szCs w:val="21"/>
                      </w:rPr>
                      <w:fldChar w:fldCharType="separate"/>
                    </w:r>
                    <w:r>
                      <w:rPr>
                        <w:rStyle w:val="Heading7Char"/>
                        <w:color w:val="000000"/>
                        <w:sz w:val="21"/>
                        <w:szCs w:val="21"/>
                      </w:rPr>
                      <w:t>1</w:t>
                    </w:r>
                    <w:r>
                      <w:rPr>
                        <w:rStyle w:val="Heading7Char"/>
                        <w:color w:val="000000"/>
                        <w:sz w:val="21"/>
                        <w:szCs w:val="21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76F2F"/>
    <w:rsid w:val="00264C10"/>
    <w:rsid w:val="00470242"/>
    <w:rsid w:val="00576F2F"/>
    <w:rsid w:val="00726E03"/>
    <w:rsid w:val="008E207C"/>
    <w:rsid w:val="00954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C8F6061"/>
  <w15:chartTrackingRefBased/>
  <w15:docId w15:val="{C6C1A712-B0B2-41E3-93B5-127F4753F0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76F2F"/>
    <w:pPr>
      <w:spacing w:after="0" w:line="240" w:lineRule="auto"/>
    </w:pPr>
    <w:rPr>
      <w:rFonts w:ascii="Times New Roman" w:eastAsia="Times New Roman" w:hAnsi="Times New Roman" w:cs="Times New Roman"/>
      <w:kern w:val="0"/>
      <w:lang w:val="en-GB" w:eastAsia="en-GB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576F2F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 w:eastAsia="zh-CN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76F2F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 w:eastAsia="zh-CN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76F2F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US" w:eastAsia="zh-CN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76F2F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lang w:val="en-US" w:eastAsia="zh-CN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76F2F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lang w:val="en-US" w:eastAsia="zh-CN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76F2F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lang w:val="en-US" w:eastAsia="zh-CN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76F2F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 w:val="en-US" w:eastAsia="zh-CN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76F2F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lang w:val="en-US" w:eastAsia="zh-CN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76F2F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lang w:val="en-US" w:eastAsia="zh-CN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76F2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76F2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76F2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76F2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76F2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76F2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76F2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76F2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76F2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76F2F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 w:eastAsia="zh-CN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576F2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76F2F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US" w:eastAsia="zh-CN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576F2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76F2F"/>
    <w:pPr>
      <w:spacing w:before="160" w:after="160" w:line="278" w:lineRule="auto"/>
      <w:jc w:val="center"/>
    </w:pPr>
    <w:rPr>
      <w:rFonts w:asciiTheme="minorHAnsi" w:eastAsiaTheme="minorEastAsia" w:hAnsiTheme="minorHAnsi" w:cstheme="minorBidi"/>
      <w:i/>
      <w:iCs/>
      <w:color w:val="404040" w:themeColor="text1" w:themeTint="BF"/>
      <w:kern w:val="2"/>
      <w:lang w:val="en-US" w:eastAsia="zh-CN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576F2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76F2F"/>
    <w:pPr>
      <w:spacing w:after="160" w:line="278" w:lineRule="auto"/>
      <w:ind w:left="720"/>
      <w:contextualSpacing/>
    </w:pPr>
    <w:rPr>
      <w:rFonts w:asciiTheme="minorHAnsi" w:eastAsiaTheme="minorEastAsia" w:hAnsiTheme="minorHAnsi" w:cstheme="minorBidi"/>
      <w:kern w:val="2"/>
      <w:lang w:val="en-US" w:eastAsia="zh-CN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576F2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76F2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EastAsia" w:hAnsiTheme="minorHAnsi" w:cstheme="minorBidi"/>
      <w:i/>
      <w:iCs/>
      <w:color w:val="0F4761" w:themeColor="accent1" w:themeShade="BF"/>
      <w:kern w:val="2"/>
      <w:lang w:val="en-US" w:eastAsia="zh-CN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76F2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76F2F"/>
    <w:rPr>
      <w:b/>
      <w:bCs/>
      <w:smallCaps/>
      <w:color w:val="0F4761" w:themeColor="accent1" w:themeShade="BF"/>
      <w:spacing w:val="5"/>
    </w:rPr>
  </w:style>
  <w:style w:type="paragraph" w:styleId="Footer">
    <w:name w:val="footer"/>
    <w:basedOn w:val="Normal"/>
    <w:link w:val="FooterChar"/>
    <w:uiPriority w:val="99"/>
    <w:qFormat/>
    <w:rsid w:val="00576F2F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qFormat/>
    <w:rsid w:val="00576F2F"/>
    <w:rPr>
      <w:rFonts w:ascii="Times New Roman" w:eastAsia="Times New Roman" w:hAnsi="Times New Roman" w:cs="Times New Roman"/>
      <w:kern w:val="0"/>
      <w:sz w:val="18"/>
      <w:szCs w:val="18"/>
      <w:lang w:val="en-GB" w:eastAsia="en-GB"/>
      <w14:ligatures w14:val="none"/>
    </w:rPr>
  </w:style>
  <w:style w:type="character" w:styleId="LineNumber">
    <w:name w:val="line number"/>
    <w:basedOn w:val="DefaultParagraphFont"/>
    <w:uiPriority w:val="99"/>
    <w:semiHidden/>
    <w:unhideWhenUsed/>
    <w:rsid w:val="00576F2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241</Words>
  <Characters>1516</Characters>
  <Application>Microsoft Office Word</Application>
  <DocSecurity>0</DocSecurity>
  <Lines>23</Lines>
  <Paragraphs>5</Paragraphs>
  <ScaleCrop>false</ScaleCrop>
  <Company/>
  <LinksUpToDate>false</LinksUpToDate>
  <CharactersWithSpaces>1752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Pawar</dc:creator>
  <cp:keywords/>
  <dc:description/>
  <cp:lastModifiedBy>Sachin Pawar</cp:lastModifiedBy>
  <cp:revision>1</cp:revision>
  <dcterms:created xsi:type="dcterms:W3CDTF">2025-11-25T20:25:00Z</dcterms:created>
  <dcterms:modified xsi:type="dcterms:W3CDTF">2025-11-25T20:26:00Z</dcterms:modified>
</cp:coreProperties>
</file>