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BEA324" w14:textId="77777777" w:rsidR="00A8110F" w:rsidRDefault="00A8110F">
      <w:r>
        <w:t>Legend</w:t>
      </w:r>
    </w:p>
    <w:p w14:paraId="209F2ED5" w14:textId="77777777" w:rsidR="00A8110F" w:rsidRDefault="00A8110F"/>
    <w:p w14:paraId="2203F04B" w14:textId="3E857325" w:rsidR="00A47560" w:rsidRDefault="00A8110F">
      <w:r>
        <w:rPr>
          <w:rFonts w:hint="eastAsia"/>
        </w:rPr>
        <w:t>S</w:t>
      </w:r>
      <w:r>
        <w:t>upplement Figure 1</w:t>
      </w:r>
    </w:p>
    <w:p w14:paraId="21E17D61" w14:textId="421D0303" w:rsidR="00A8110F" w:rsidRDefault="00A8110F">
      <w:r>
        <w:t xml:space="preserve">The number of cleaved caspase-3-immunoreactive cells </w:t>
      </w:r>
      <w:r>
        <w:t>in the ovary</w:t>
      </w:r>
      <w:r>
        <w:t xml:space="preserve"> </w:t>
      </w:r>
      <w:r>
        <w:t>showed no significant differences</w:t>
      </w:r>
      <w:r>
        <w:t xml:space="preserve"> between control (A) and </w:t>
      </w:r>
      <w:proofErr w:type="spellStart"/>
      <w:r w:rsidRPr="00A8110F">
        <w:rPr>
          <w:i/>
          <w:iCs/>
        </w:rPr>
        <w:t>Aspm</w:t>
      </w:r>
      <w:proofErr w:type="spellEnd"/>
      <w:r>
        <w:t xml:space="preserve"> KO (B) at 5 weeks old (n=3, each).</w:t>
      </w:r>
    </w:p>
    <w:sectPr w:rsidR="00A8110F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10F"/>
    <w:rsid w:val="00A47560"/>
    <w:rsid w:val="00A81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1AA7DE0"/>
  <w15:chartTrackingRefBased/>
  <w15:docId w15:val="{BDB1B8B7-491B-4968-830D-B79D2D9F5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恭子</dc:creator>
  <cp:keywords/>
  <dc:description/>
  <cp:lastModifiedBy>恭子</cp:lastModifiedBy>
  <cp:revision>1</cp:revision>
  <dcterms:created xsi:type="dcterms:W3CDTF">2021-01-28T09:59:00Z</dcterms:created>
  <dcterms:modified xsi:type="dcterms:W3CDTF">2021-01-28T10:06:00Z</dcterms:modified>
</cp:coreProperties>
</file>