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4A62" w:rsidRPr="00C01956" w:rsidRDefault="00103A89" w:rsidP="00C01956">
      <w:pPr>
        <w:spacing w:line="480" w:lineRule="auto"/>
        <w:jc w:val="center"/>
        <w:rPr>
          <w:rFonts w:ascii="Times New Roman" w:hAnsi="Times New Roman" w:cs="Times New Roman"/>
          <w:sz w:val="24"/>
          <w:szCs w:val="24"/>
        </w:rPr>
      </w:pPr>
      <w:r w:rsidRPr="00C01956">
        <w:rPr>
          <w:rFonts w:ascii="Times New Roman" w:hAnsi="Times New Roman" w:cs="Times New Roman"/>
          <w:sz w:val="24"/>
          <w:szCs w:val="24"/>
        </w:rPr>
        <w:t>SUPPLEMENTARY MATERIAL</w:t>
      </w:r>
    </w:p>
    <w:p w:rsidR="00D35041" w:rsidRPr="00C01956" w:rsidRDefault="00D35041" w:rsidP="00C01956">
      <w:pPr>
        <w:spacing w:line="480" w:lineRule="auto"/>
        <w:jc w:val="both"/>
        <w:rPr>
          <w:rFonts w:ascii="Times New Roman" w:hAnsi="Times New Roman" w:cs="Times New Roman"/>
          <w:b/>
          <w:iCs/>
          <w:sz w:val="24"/>
          <w:szCs w:val="24"/>
        </w:rPr>
      </w:pPr>
      <w:bookmarkStart w:id="0" w:name="_GoBack"/>
      <w:bookmarkEnd w:id="0"/>
      <w:r w:rsidRPr="00C01956">
        <w:rPr>
          <w:rFonts w:ascii="Times New Roman" w:hAnsi="Times New Roman" w:cs="Times New Roman"/>
          <w:b/>
          <w:iCs/>
          <w:sz w:val="24"/>
          <w:szCs w:val="24"/>
        </w:rPr>
        <w:t>Murine mammary carcinoma cell line</w:t>
      </w:r>
    </w:p>
    <w:p w:rsidR="00D35041" w:rsidRDefault="00D35041" w:rsidP="00C01956">
      <w:pPr>
        <w:spacing w:line="480" w:lineRule="auto"/>
        <w:jc w:val="both"/>
        <w:rPr>
          <w:rFonts w:ascii="Times New Roman" w:hAnsi="Times New Roman" w:cs="Times New Roman"/>
          <w:sz w:val="24"/>
          <w:szCs w:val="24"/>
        </w:rPr>
      </w:pPr>
      <w:r w:rsidRPr="00C01956">
        <w:rPr>
          <w:rFonts w:ascii="Times New Roman" w:hAnsi="Times New Roman" w:cs="Times New Roman"/>
          <w:iCs/>
          <w:sz w:val="24"/>
          <w:szCs w:val="24"/>
        </w:rPr>
        <w:t>The non-metastatic 67NR cell line was used in this study and was a kind gift from Prof. Robin Anderson, Olivia Newton-John Cancer Research Institute, Australia.</w:t>
      </w:r>
      <w:r w:rsidRPr="00C01956">
        <w:rPr>
          <w:rFonts w:ascii="Times New Roman" w:hAnsi="Times New Roman" w:cs="Times New Roman"/>
          <w:sz w:val="24"/>
          <w:szCs w:val="24"/>
        </w:rPr>
        <w:t xml:space="preserve"> C</w:t>
      </w:r>
      <w:r w:rsidRPr="00C01956">
        <w:rPr>
          <w:rFonts w:ascii="Times New Roman" w:hAnsi="Times New Roman" w:cs="Times New Roman"/>
          <w:iCs/>
          <w:sz w:val="24"/>
          <w:szCs w:val="24"/>
        </w:rPr>
        <w:t>ells were maintained in high glucose Dulbecco’s Modified Eagle’s medium (DMEM) (</w:t>
      </w:r>
      <w:r w:rsidRPr="00C01956">
        <w:rPr>
          <w:rFonts w:ascii="Times New Roman" w:hAnsi="Times New Roman" w:cs="Times New Roman"/>
          <w:sz w:val="24"/>
          <w:szCs w:val="24"/>
        </w:rPr>
        <w:t xml:space="preserve">Invitrogen, USA) </w:t>
      </w:r>
      <w:r w:rsidRPr="00C01956">
        <w:rPr>
          <w:rFonts w:ascii="Times New Roman" w:hAnsi="Times New Roman" w:cs="Times New Roman"/>
          <w:iCs/>
          <w:sz w:val="24"/>
          <w:szCs w:val="24"/>
        </w:rPr>
        <w:t xml:space="preserve">supplemented with 10% </w:t>
      </w:r>
      <w:proofErr w:type="spellStart"/>
      <w:r w:rsidRPr="00C01956">
        <w:rPr>
          <w:rFonts w:ascii="Times New Roman" w:hAnsi="Times New Roman" w:cs="Times New Roman"/>
          <w:iCs/>
          <w:sz w:val="24"/>
          <w:szCs w:val="24"/>
        </w:rPr>
        <w:t>fetal</w:t>
      </w:r>
      <w:proofErr w:type="spellEnd"/>
      <w:r w:rsidRPr="00C01956">
        <w:rPr>
          <w:rFonts w:ascii="Times New Roman" w:hAnsi="Times New Roman" w:cs="Times New Roman"/>
          <w:iCs/>
          <w:sz w:val="24"/>
          <w:szCs w:val="24"/>
        </w:rPr>
        <w:t xml:space="preserve"> bovine serum (FBS) (GIBCO, USA) at 37℃ in a 5% CO</w:t>
      </w:r>
      <w:r w:rsidRPr="00AD349C">
        <w:rPr>
          <w:rFonts w:ascii="Times New Roman" w:hAnsi="Times New Roman" w:cs="Times New Roman"/>
          <w:iCs/>
          <w:sz w:val="24"/>
          <w:szCs w:val="24"/>
          <w:vertAlign w:val="subscript"/>
        </w:rPr>
        <w:t>2</w:t>
      </w:r>
      <w:r w:rsidRPr="00C01956">
        <w:rPr>
          <w:rFonts w:ascii="Times New Roman" w:hAnsi="Times New Roman" w:cs="Times New Roman"/>
          <w:iCs/>
          <w:sz w:val="24"/>
          <w:szCs w:val="24"/>
        </w:rPr>
        <w:t xml:space="preserve"> atmosphere</w:t>
      </w:r>
      <w:r w:rsidRPr="00C01956">
        <w:rPr>
          <w:rFonts w:ascii="Times New Roman" w:hAnsi="Times New Roman" w:cs="Times New Roman"/>
          <w:sz w:val="24"/>
          <w:szCs w:val="24"/>
        </w:rPr>
        <w:t>. Cell line identity was confirmed by short tandem repeat profiling (</w:t>
      </w:r>
      <w:proofErr w:type="spellStart"/>
      <w:r w:rsidRPr="00B201AA">
        <w:rPr>
          <w:rFonts w:ascii="Times New Roman" w:hAnsi="Times New Roman" w:cs="Times New Roman"/>
          <w:sz w:val="24"/>
          <w:szCs w:val="24"/>
        </w:rPr>
        <w:t>Cellbank</w:t>
      </w:r>
      <w:proofErr w:type="spellEnd"/>
      <w:r w:rsidRPr="00B201AA">
        <w:rPr>
          <w:rFonts w:ascii="Times New Roman" w:hAnsi="Times New Roman" w:cs="Times New Roman"/>
          <w:sz w:val="24"/>
          <w:szCs w:val="24"/>
        </w:rPr>
        <w:t xml:space="preserve">, Australia). </w:t>
      </w:r>
      <w:r w:rsidRPr="00B201AA">
        <w:rPr>
          <w:rFonts w:ascii="Times New Roman" w:hAnsi="Times New Roman" w:cs="Times New Roman"/>
          <w:color w:val="202020"/>
          <w:sz w:val="24"/>
          <w:szCs w:val="24"/>
          <w:shd w:val="clear" w:color="auto" w:fill="FFFFFF"/>
        </w:rPr>
        <w:t xml:space="preserve">Cells were determined to be mycoplasma free before injection using primers as previously described </w:t>
      </w:r>
      <w:r w:rsidRPr="00B201AA">
        <w:rPr>
          <w:rFonts w:ascii="Times New Roman" w:hAnsi="Times New Roman" w:cs="Times New Roman"/>
          <w:color w:val="202020"/>
          <w:sz w:val="24"/>
          <w:szCs w:val="24"/>
          <w:shd w:val="clear" w:color="auto" w:fill="FFFFFF"/>
        </w:rPr>
        <w:fldChar w:fldCharType="begin"/>
      </w:r>
      <w:r w:rsidRPr="00B201AA">
        <w:rPr>
          <w:rFonts w:ascii="Times New Roman" w:hAnsi="Times New Roman" w:cs="Times New Roman"/>
          <w:color w:val="202020"/>
          <w:sz w:val="24"/>
          <w:szCs w:val="24"/>
          <w:shd w:val="clear" w:color="auto" w:fill="FFFFFF"/>
        </w:rPr>
        <w:instrText xml:space="preserve"> ADDIN EN.CITE &lt;EndNote&gt;&lt;Cite&gt;&lt;Author&gt;Uphoff&lt;/Author&gt;&lt;Year&gt;2002&lt;/Year&gt;&lt;RecNum&gt;184&lt;/RecNum&gt;&lt;DisplayText&gt;[1]&lt;/DisplayText&gt;&lt;record&gt;&lt;rec-number&gt;184&lt;/rec-number&gt;&lt;foreign-keys&gt;&lt;key app="EN" db-id="ps9rpa2xtfzrs3e2wf7vfad4tsxp0fdt29ta" timestamp="0" guid="d447ff57-164b-4fee-8923-289a7ee7ea06"&gt;184&lt;/key&gt;&lt;/foreign-keys&gt;&lt;ref-type name="Journal Article"&gt;17&lt;/ref-type&gt;&lt;contributors&gt;&lt;authors&gt;&lt;author&gt;Uphoff, C. C.&lt;/author&gt;&lt;author&gt;Drexler, H. G.&lt;/author&gt;&lt;/authors&gt;&lt;/contributors&gt;&lt;auth-address&gt;Department of Human and Animal Cell Cultures, DSMZ-German Collection of Microorganisms &amp;amp; Cell Cultures, Braunschweig. cup@dsmz.de&lt;/auth-address&gt;&lt;titles&gt;&lt;title&gt;Comparative PCR analysis for detection of mycoplasma infections in continuous cell lines&lt;/title&gt;&lt;secondary-title&gt;In Vitro Cell Dev Biol Anim&lt;/secondary-title&gt;&lt;alt-title&gt;In vitro cellular &amp;amp; developmental biology. Animal&lt;/alt-title&gt;&lt;/titles&gt;&lt;pages&gt;79-85&lt;/pages&gt;&lt;volume&gt;38&lt;/volume&gt;&lt;number&gt;2&lt;/number&gt;&lt;edition&gt;2002/04/04&lt;/edition&gt;&lt;keywords&gt;&lt;keyword&gt;Animals&lt;/keyword&gt;&lt;keyword&gt;Cattle&lt;/keyword&gt;&lt;keyword&gt;Cell Line/*microbiology&lt;/keyword&gt;&lt;keyword&gt;DNA, Bacterial/genetics&lt;/keyword&gt;&lt;keyword&gt;Humans&lt;/keyword&gt;&lt;keyword&gt;Mycoplasma/classification/*isolation &amp;amp; purification&lt;/keyword&gt;&lt;keyword&gt;Nucleic Acid Hybridization&lt;/keyword&gt;&lt;keyword&gt;Polymerase Chain Reaction/*methods&lt;/keyword&gt;&lt;keyword&gt;RNA, Bacterial/genetics&lt;/keyword&gt;&lt;keyword&gt;Sensitivity and Specificity&lt;/keyword&gt;&lt;keyword&gt;Species Specificity&lt;/keyword&gt;&lt;keyword&gt;Swine&lt;/keyword&gt;&lt;/keywords&gt;&lt;dates&gt;&lt;year&gt;2002&lt;/year&gt;&lt;pub-dates&gt;&lt;date&gt;Feb&lt;/date&gt;&lt;/pub-dates&gt;&lt;/dates&gt;&lt;isbn&gt;1071-2690 (Print)&amp;#xD;1071-2690&lt;/isbn&gt;&lt;accession-num&gt;11928999&lt;/accession-num&gt;&lt;urls&gt;&lt;/urls&gt;&lt;electronic-resource-num&gt;10.1290/1071-2690(2002)038&amp;lt;0079:cpafdo&amp;gt;2.0.co;2&lt;/electronic-resource-num&gt;&lt;remote-database-provider&gt;NLM&lt;/remote-database-provider&gt;&lt;language&gt;eng&lt;/language&gt;&lt;/record&gt;&lt;/Cite&gt;&lt;/EndNote&gt;</w:instrText>
      </w:r>
      <w:r w:rsidRPr="00B201AA">
        <w:rPr>
          <w:rFonts w:ascii="Times New Roman" w:hAnsi="Times New Roman" w:cs="Times New Roman"/>
          <w:color w:val="202020"/>
          <w:sz w:val="24"/>
          <w:szCs w:val="24"/>
          <w:shd w:val="clear" w:color="auto" w:fill="FFFFFF"/>
        </w:rPr>
        <w:fldChar w:fldCharType="separate"/>
      </w:r>
      <w:r w:rsidRPr="00B201AA">
        <w:rPr>
          <w:rFonts w:ascii="Times New Roman" w:hAnsi="Times New Roman" w:cs="Times New Roman"/>
          <w:noProof/>
          <w:color w:val="202020"/>
          <w:sz w:val="24"/>
          <w:szCs w:val="24"/>
          <w:shd w:val="clear" w:color="auto" w:fill="FFFFFF"/>
        </w:rPr>
        <w:t>[</w:t>
      </w:r>
      <w:r w:rsidR="00B201AA" w:rsidRPr="00B201AA">
        <w:rPr>
          <w:rFonts w:ascii="Times New Roman" w:hAnsi="Times New Roman" w:cs="Times New Roman"/>
          <w:noProof/>
          <w:color w:val="202020"/>
          <w:sz w:val="24"/>
          <w:szCs w:val="24"/>
          <w:shd w:val="clear" w:color="auto" w:fill="FFFFFF"/>
        </w:rPr>
        <w:t>20</w:t>
      </w:r>
      <w:r w:rsidRPr="00B201AA">
        <w:rPr>
          <w:rFonts w:ascii="Times New Roman" w:hAnsi="Times New Roman" w:cs="Times New Roman"/>
          <w:noProof/>
          <w:color w:val="202020"/>
          <w:sz w:val="24"/>
          <w:szCs w:val="24"/>
          <w:shd w:val="clear" w:color="auto" w:fill="FFFFFF"/>
        </w:rPr>
        <w:t>]</w:t>
      </w:r>
      <w:r w:rsidRPr="00B201AA">
        <w:rPr>
          <w:rFonts w:ascii="Times New Roman" w:hAnsi="Times New Roman" w:cs="Times New Roman"/>
          <w:color w:val="202020"/>
          <w:sz w:val="24"/>
          <w:szCs w:val="24"/>
          <w:shd w:val="clear" w:color="auto" w:fill="FFFFFF"/>
        </w:rPr>
        <w:fldChar w:fldCharType="end"/>
      </w:r>
      <w:r w:rsidRPr="00B201AA">
        <w:rPr>
          <w:rFonts w:ascii="Times New Roman" w:hAnsi="Times New Roman" w:cs="Times New Roman"/>
          <w:color w:val="202020"/>
          <w:sz w:val="24"/>
          <w:szCs w:val="24"/>
          <w:shd w:val="clear" w:color="auto" w:fill="FFFFFF"/>
        </w:rPr>
        <w:t>.</w:t>
      </w:r>
      <w:r w:rsidR="00B201AA" w:rsidRPr="00C01956">
        <w:rPr>
          <w:rFonts w:ascii="Times New Roman" w:hAnsi="Times New Roman" w:cs="Times New Roman"/>
          <w:sz w:val="24"/>
          <w:szCs w:val="24"/>
        </w:rPr>
        <w:t xml:space="preserve"> </w:t>
      </w:r>
    </w:p>
    <w:p w:rsidR="00B201AA" w:rsidRPr="00C01956" w:rsidRDefault="00B201AA" w:rsidP="00C01956">
      <w:pPr>
        <w:spacing w:line="480" w:lineRule="auto"/>
        <w:jc w:val="both"/>
        <w:rPr>
          <w:rFonts w:ascii="Times New Roman" w:hAnsi="Times New Roman" w:cs="Times New Roman"/>
          <w:sz w:val="24"/>
          <w:szCs w:val="24"/>
        </w:rPr>
      </w:pPr>
    </w:p>
    <w:p w:rsidR="00D35041" w:rsidRPr="00C01956" w:rsidRDefault="00D35041" w:rsidP="00C01956">
      <w:pPr>
        <w:spacing w:line="480" w:lineRule="auto"/>
        <w:jc w:val="both"/>
        <w:rPr>
          <w:rFonts w:ascii="Times New Roman" w:hAnsi="Times New Roman" w:cs="Times New Roman"/>
          <w:iCs/>
          <w:sz w:val="24"/>
          <w:szCs w:val="24"/>
        </w:rPr>
      </w:pPr>
      <w:r w:rsidRPr="00C01956">
        <w:rPr>
          <w:rFonts w:ascii="Times New Roman" w:hAnsi="Times New Roman" w:cs="Times New Roman"/>
          <w:b/>
          <w:iCs/>
          <w:sz w:val="24"/>
          <w:szCs w:val="24"/>
        </w:rPr>
        <w:t>Breast cancer model</w:t>
      </w:r>
    </w:p>
    <w:p w:rsidR="00D35041" w:rsidRPr="00C01956" w:rsidRDefault="00D35041" w:rsidP="00C01956">
      <w:pPr>
        <w:spacing w:line="480" w:lineRule="auto"/>
        <w:jc w:val="both"/>
        <w:rPr>
          <w:rFonts w:ascii="Times New Roman" w:hAnsi="Times New Roman" w:cs="Times New Roman"/>
          <w:color w:val="202020"/>
          <w:sz w:val="24"/>
          <w:szCs w:val="24"/>
          <w:shd w:val="clear" w:color="auto" w:fill="FFFFFF"/>
        </w:rPr>
      </w:pPr>
      <w:r w:rsidRPr="00C01956">
        <w:rPr>
          <w:rFonts w:ascii="Times New Roman" w:hAnsi="Times New Roman" w:cs="Times New Roman"/>
          <w:iCs/>
          <w:sz w:val="24"/>
          <w:szCs w:val="24"/>
        </w:rPr>
        <w:t xml:space="preserve">To generate </w:t>
      </w:r>
      <w:proofErr w:type="spellStart"/>
      <w:r w:rsidRPr="00C01956">
        <w:rPr>
          <w:rFonts w:ascii="Times New Roman" w:hAnsi="Times New Roman" w:cs="Times New Roman"/>
          <w:sz w:val="24"/>
          <w:szCs w:val="24"/>
        </w:rPr>
        <w:t>syngenic</w:t>
      </w:r>
      <w:proofErr w:type="spellEnd"/>
      <w:r w:rsidRPr="00C01956">
        <w:rPr>
          <w:rFonts w:ascii="Times New Roman" w:hAnsi="Times New Roman" w:cs="Times New Roman"/>
          <w:iCs/>
          <w:sz w:val="24"/>
          <w:szCs w:val="24"/>
        </w:rPr>
        <w:t xml:space="preserve"> mammary </w:t>
      </w:r>
      <w:r w:rsidR="00C21639">
        <w:rPr>
          <w:rFonts w:ascii="Times New Roman" w:hAnsi="Times New Roman" w:cs="Times New Roman"/>
          <w:iCs/>
          <w:sz w:val="24"/>
          <w:szCs w:val="24"/>
        </w:rPr>
        <w:t>tumour</w:t>
      </w:r>
      <w:r w:rsidRPr="00C01956">
        <w:rPr>
          <w:rFonts w:ascii="Times New Roman" w:hAnsi="Times New Roman" w:cs="Times New Roman"/>
          <w:iCs/>
          <w:sz w:val="24"/>
          <w:szCs w:val="24"/>
        </w:rPr>
        <w:t>s, 1 x 10</w:t>
      </w:r>
      <w:r w:rsidRPr="00C01956">
        <w:rPr>
          <w:rFonts w:ascii="Times New Roman" w:hAnsi="Times New Roman" w:cs="Times New Roman"/>
          <w:iCs/>
          <w:sz w:val="24"/>
          <w:szCs w:val="24"/>
          <w:vertAlign w:val="superscript"/>
        </w:rPr>
        <w:t>6</w:t>
      </w:r>
      <w:r w:rsidRPr="00C01956">
        <w:rPr>
          <w:rFonts w:ascii="Times New Roman" w:hAnsi="Times New Roman" w:cs="Times New Roman"/>
          <w:iCs/>
          <w:sz w:val="24"/>
          <w:szCs w:val="24"/>
        </w:rPr>
        <w:t xml:space="preserve"> 67NR cells in 20 </w:t>
      </w:r>
      <w:proofErr w:type="spellStart"/>
      <w:r w:rsidRPr="00C01956">
        <w:rPr>
          <w:rFonts w:ascii="Times New Roman" w:hAnsi="Times New Roman" w:cs="Times New Roman"/>
          <w:iCs/>
          <w:sz w:val="24"/>
          <w:szCs w:val="24"/>
        </w:rPr>
        <w:t>μL</w:t>
      </w:r>
      <w:proofErr w:type="spellEnd"/>
      <w:r w:rsidRPr="00C01956">
        <w:rPr>
          <w:rFonts w:ascii="Times New Roman" w:hAnsi="Times New Roman" w:cs="Times New Roman"/>
          <w:iCs/>
          <w:sz w:val="24"/>
          <w:szCs w:val="24"/>
        </w:rPr>
        <w:t xml:space="preserve"> PBS were injected into the 4</w:t>
      </w:r>
      <w:r w:rsidRPr="00C01956">
        <w:rPr>
          <w:rFonts w:ascii="Times New Roman" w:hAnsi="Times New Roman" w:cs="Times New Roman"/>
          <w:iCs/>
          <w:sz w:val="24"/>
          <w:szCs w:val="24"/>
          <w:vertAlign w:val="superscript"/>
        </w:rPr>
        <w:t>th</w:t>
      </w:r>
      <w:r w:rsidRPr="00C01956">
        <w:rPr>
          <w:rFonts w:ascii="Times New Roman" w:hAnsi="Times New Roman" w:cs="Times New Roman"/>
          <w:iCs/>
          <w:sz w:val="24"/>
          <w:szCs w:val="24"/>
        </w:rPr>
        <w:t xml:space="preserve"> left mammary gland of anaesthetized BALB/c mice. Once primary </w:t>
      </w:r>
      <w:r w:rsidR="00C21639">
        <w:rPr>
          <w:rFonts w:ascii="Times New Roman" w:hAnsi="Times New Roman" w:cs="Times New Roman"/>
          <w:iCs/>
          <w:sz w:val="24"/>
          <w:szCs w:val="24"/>
        </w:rPr>
        <w:t>Tumour</w:t>
      </w:r>
      <w:r w:rsidRPr="00C01956">
        <w:rPr>
          <w:rFonts w:ascii="Times New Roman" w:hAnsi="Times New Roman" w:cs="Times New Roman"/>
          <w:iCs/>
          <w:sz w:val="24"/>
          <w:szCs w:val="24"/>
        </w:rPr>
        <w:t xml:space="preserve">s were palpable, </w:t>
      </w:r>
      <w:r w:rsidR="00C21639">
        <w:rPr>
          <w:rFonts w:ascii="Times New Roman" w:hAnsi="Times New Roman" w:cs="Times New Roman"/>
          <w:iCs/>
          <w:sz w:val="24"/>
          <w:szCs w:val="24"/>
        </w:rPr>
        <w:t>Tumour</w:t>
      </w:r>
      <w:r w:rsidRPr="00C01956">
        <w:rPr>
          <w:rFonts w:ascii="Times New Roman" w:hAnsi="Times New Roman" w:cs="Times New Roman"/>
          <w:iCs/>
          <w:sz w:val="24"/>
          <w:szCs w:val="24"/>
        </w:rPr>
        <w:t xml:space="preserve"> growth was monitored by </w:t>
      </w:r>
      <w:proofErr w:type="spellStart"/>
      <w:r w:rsidRPr="00C01956">
        <w:rPr>
          <w:rFonts w:ascii="Times New Roman" w:hAnsi="Times New Roman" w:cs="Times New Roman"/>
          <w:iCs/>
          <w:sz w:val="24"/>
          <w:szCs w:val="24"/>
        </w:rPr>
        <w:t>caliper</w:t>
      </w:r>
      <w:proofErr w:type="spellEnd"/>
      <w:r w:rsidRPr="00C01956">
        <w:rPr>
          <w:rFonts w:ascii="Times New Roman" w:hAnsi="Times New Roman" w:cs="Times New Roman"/>
          <w:iCs/>
          <w:sz w:val="24"/>
          <w:szCs w:val="24"/>
        </w:rPr>
        <w:t xml:space="preserve"> measurement and </w:t>
      </w:r>
      <w:r w:rsidR="00C21639">
        <w:rPr>
          <w:rFonts w:ascii="Times New Roman" w:hAnsi="Times New Roman" w:cs="Times New Roman"/>
          <w:iCs/>
          <w:sz w:val="24"/>
          <w:szCs w:val="24"/>
        </w:rPr>
        <w:t>Tumour</w:t>
      </w:r>
      <w:r w:rsidRPr="00C01956">
        <w:rPr>
          <w:rFonts w:ascii="Times New Roman" w:hAnsi="Times New Roman" w:cs="Times New Roman"/>
          <w:iCs/>
          <w:sz w:val="24"/>
          <w:szCs w:val="24"/>
        </w:rPr>
        <w:t xml:space="preserve"> volume determined using the following formula: (length x width</w:t>
      </w:r>
      <w:r w:rsidRPr="00C01956">
        <w:rPr>
          <w:rFonts w:ascii="Times New Roman" w:hAnsi="Times New Roman" w:cs="Times New Roman"/>
          <w:iCs/>
          <w:sz w:val="24"/>
          <w:szCs w:val="24"/>
          <w:vertAlign w:val="superscript"/>
        </w:rPr>
        <w:t>2</w:t>
      </w:r>
      <w:r w:rsidRPr="00C01956">
        <w:rPr>
          <w:rFonts w:ascii="Times New Roman" w:hAnsi="Times New Roman" w:cs="Times New Roman"/>
          <w:iCs/>
          <w:sz w:val="24"/>
          <w:szCs w:val="24"/>
        </w:rPr>
        <w:t xml:space="preserve">)/2. </w:t>
      </w:r>
    </w:p>
    <w:p w:rsidR="00D35041" w:rsidRPr="00C01956" w:rsidRDefault="00D35041" w:rsidP="00C01956">
      <w:pPr>
        <w:spacing w:line="480" w:lineRule="auto"/>
        <w:jc w:val="center"/>
        <w:rPr>
          <w:rFonts w:ascii="Times New Roman" w:hAnsi="Times New Roman" w:cs="Times New Roman"/>
          <w:sz w:val="24"/>
          <w:szCs w:val="24"/>
        </w:rPr>
      </w:pPr>
    </w:p>
    <w:p w:rsidR="00A41FAB" w:rsidRPr="00C01956" w:rsidRDefault="00A41FAB" w:rsidP="00C01956">
      <w:pPr>
        <w:spacing w:line="480" w:lineRule="auto"/>
        <w:jc w:val="both"/>
        <w:rPr>
          <w:rFonts w:ascii="Times New Roman" w:hAnsi="Times New Roman" w:cs="Times New Roman"/>
          <w:b/>
          <w:i/>
          <w:iCs/>
          <w:sz w:val="24"/>
          <w:szCs w:val="24"/>
        </w:rPr>
      </w:pPr>
      <w:r w:rsidRPr="00C01956">
        <w:rPr>
          <w:rFonts w:ascii="Times New Roman" w:hAnsi="Times New Roman" w:cs="Times New Roman"/>
          <w:b/>
          <w:iCs/>
          <w:sz w:val="24"/>
          <w:szCs w:val="24"/>
        </w:rPr>
        <w:t>Novel object/novel place recognition test</w:t>
      </w:r>
    </w:p>
    <w:p w:rsidR="00A41FAB" w:rsidRPr="00C01956" w:rsidRDefault="00A41FAB" w:rsidP="00C01956">
      <w:pPr>
        <w:spacing w:line="480" w:lineRule="auto"/>
        <w:jc w:val="both"/>
        <w:rPr>
          <w:rFonts w:ascii="Times New Roman" w:hAnsi="Times New Roman" w:cs="Times New Roman"/>
          <w:iCs/>
          <w:sz w:val="24"/>
          <w:szCs w:val="24"/>
        </w:rPr>
      </w:pPr>
      <w:r w:rsidRPr="00C01956">
        <w:rPr>
          <w:rFonts w:ascii="Times New Roman" w:hAnsi="Times New Roman" w:cs="Times New Roman"/>
          <w:iCs/>
          <w:sz w:val="24"/>
          <w:szCs w:val="24"/>
        </w:rPr>
        <w:t xml:space="preserve">Attention and episodic memory were tested using a </w:t>
      </w:r>
      <w:r w:rsidRPr="00C01956">
        <w:rPr>
          <w:rFonts w:ascii="Times New Roman" w:hAnsi="Times New Roman" w:cs="Times New Roman"/>
          <w:sz w:val="24"/>
          <w:szCs w:val="24"/>
        </w:rPr>
        <w:t>novel object/novel place recognition (NOPR) test</w:t>
      </w:r>
      <w:r w:rsidRPr="00C01956">
        <w:rPr>
          <w:rFonts w:ascii="Times New Roman" w:hAnsi="Times New Roman" w:cs="Times New Roman"/>
          <w:iCs/>
          <w:sz w:val="24"/>
          <w:szCs w:val="24"/>
        </w:rPr>
        <w:t>. Mice were placed into an arena (40 cm x 40 cm x 40 cm) with two identical items for 5 min before being returned to their home cage. After a 5 min break, mice were returned to the same arena but one of the original objects was replaced with a previously unseen (novel object) in a novel location. Mice were allowed to explore both objects</w:t>
      </w:r>
      <w:r w:rsidR="00AD349C">
        <w:rPr>
          <w:rFonts w:ascii="Times New Roman" w:hAnsi="Times New Roman" w:cs="Times New Roman"/>
          <w:iCs/>
          <w:sz w:val="24"/>
          <w:szCs w:val="24"/>
        </w:rPr>
        <w:t xml:space="preserve"> for 5 min</w:t>
      </w:r>
      <w:r w:rsidRPr="00C01956">
        <w:rPr>
          <w:rFonts w:ascii="Times New Roman" w:hAnsi="Times New Roman" w:cs="Times New Roman"/>
          <w:iCs/>
          <w:sz w:val="24"/>
          <w:szCs w:val="24"/>
        </w:rPr>
        <w:t xml:space="preserve">. Exploration time for old or new objects and exploratory path during both training and testing phases were video recorded and </w:t>
      </w:r>
      <w:proofErr w:type="spellStart"/>
      <w:r w:rsidRPr="00C01956">
        <w:rPr>
          <w:rFonts w:ascii="Times New Roman" w:hAnsi="Times New Roman" w:cs="Times New Roman"/>
          <w:iCs/>
          <w:sz w:val="24"/>
          <w:szCs w:val="24"/>
        </w:rPr>
        <w:t>analyzed</w:t>
      </w:r>
      <w:proofErr w:type="spellEnd"/>
      <w:r w:rsidRPr="00C01956">
        <w:rPr>
          <w:rFonts w:ascii="Times New Roman" w:hAnsi="Times New Roman" w:cs="Times New Roman"/>
          <w:iCs/>
          <w:sz w:val="24"/>
          <w:szCs w:val="24"/>
        </w:rPr>
        <w:t xml:space="preserve"> using tracking software (Viewer</w:t>
      </w:r>
      <w:r w:rsidRPr="00C01956">
        <w:rPr>
          <w:rFonts w:ascii="Times New Roman" w:hAnsi="Times New Roman" w:cs="Times New Roman"/>
          <w:iCs/>
          <w:sz w:val="24"/>
          <w:szCs w:val="24"/>
          <w:vertAlign w:val="superscript"/>
        </w:rPr>
        <w:t>3</w:t>
      </w:r>
      <w:r w:rsidRPr="00C01956">
        <w:rPr>
          <w:rFonts w:ascii="Times New Roman" w:hAnsi="Times New Roman" w:cs="Times New Roman"/>
          <w:iCs/>
          <w:sz w:val="24"/>
          <w:szCs w:val="24"/>
        </w:rPr>
        <w:t xml:space="preserve">, </w:t>
      </w:r>
      <w:proofErr w:type="spellStart"/>
      <w:r w:rsidRPr="00C01956">
        <w:rPr>
          <w:rFonts w:ascii="Times New Roman" w:hAnsi="Times New Roman" w:cs="Times New Roman"/>
          <w:iCs/>
          <w:sz w:val="24"/>
          <w:szCs w:val="24"/>
        </w:rPr>
        <w:t>Biobserve</w:t>
      </w:r>
      <w:proofErr w:type="spellEnd"/>
      <w:r w:rsidRPr="00C01956">
        <w:rPr>
          <w:rFonts w:ascii="Times New Roman" w:hAnsi="Times New Roman" w:cs="Times New Roman"/>
          <w:iCs/>
          <w:sz w:val="24"/>
          <w:szCs w:val="24"/>
        </w:rPr>
        <w:t xml:space="preserve">, Germany). To determine preference for the novel object, a discrimination index was used: Discrimination index (%) = time spent exploring the new object / total time spent exploring the old and new x 100%. Locomotor activity was </w:t>
      </w:r>
      <w:r w:rsidRPr="00C01956">
        <w:rPr>
          <w:rFonts w:ascii="Times New Roman" w:hAnsi="Times New Roman" w:cs="Times New Roman"/>
          <w:iCs/>
          <w:sz w:val="24"/>
          <w:szCs w:val="24"/>
        </w:rPr>
        <w:lastRenderedPageBreak/>
        <w:t xml:space="preserve">assessed as total movement (cm). Daily body weights and burrowing activity of mice were recorded to assess sickness </w:t>
      </w:r>
      <w:r w:rsidR="00C21639">
        <w:rPr>
          <w:rFonts w:ascii="Times New Roman" w:hAnsi="Times New Roman" w:cs="Times New Roman"/>
          <w:iCs/>
          <w:sz w:val="24"/>
          <w:szCs w:val="24"/>
        </w:rPr>
        <w:t>behaviour</w:t>
      </w:r>
      <w:r w:rsidRPr="00C01956">
        <w:rPr>
          <w:rFonts w:ascii="Times New Roman" w:hAnsi="Times New Roman" w:cs="Times New Roman"/>
          <w:iCs/>
          <w:sz w:val="24"/>
          <w:szCs w:val="24"/>
        </w:rPr>
        <w:t xml:space="preserve"> and activity.</w:t>
      </w:r>
      <w:r w:rsidRPr="00C01956">
        <w:rPr>
          <w:rFonts w:ascii="Times New Roman" w:hAnsi="Times New Roman" w:cs="Times New Roman"/>
          <w:b/>
          <w:iCs/>
          <w:sz w:val="24"/>
          <w:szCs w:val="24"/>
        </w:rPr>
        <w:t xml:space="preserve"> </w:t>
      </w:r>
    </w:p>
    <w:p w:rsidR="00A41FAB" w:rsidRPr="00C01956" w:rsidRDefault="00A41FAB" w:rsidP="00C01956">
      <w:pPr>
        <w:spacing w:line="480" w:lineRule="auto"/>
        <w:jc w:val="both"/>
        <w:rPr>
          <w:rFonts w:ascii="Times New Roman" w:hAnsi="Times New Roman" w:cs="Times New Roman"/>
          <w:b/>
          <w:iCs/>
          <w:sz w:val="24"/>
          <w:szCs w:val="24"/>
        </w:rPr>
      </w:pPr>
    </w:p>
    <w:p w:rsidR="00A41FAB" w:rsidRPr="00C01956" w:rsidRDefault="00A41FAB" w:rsidP="00C01956">
      <w:pPr>
        <w:spacing w:line="480" w:lineRule="auto"/>
        <w:jc w:val="both"/>
        <w:rPr>
          <w:rFonts w:ascii="Times New Roman" w:hAnsi="Times New Roman" w:cs="Times New Roman"/>
          <w:b/>
          <w:iCs/>
          <w:sz w:val="24"/>
          <w:szCs w:val="24"/>
        </w:rPr>
      </w:pPr>
      <w:r w:rsidRPr="00C01956">
        <w:rPr>
          <w:rFonts w:ascii="Times New Roman" w:hAnsi="Times New Roman" w:cs="Times New Roman"/>
          <w:b/>
          <w:iCs/>
          <w:sz w:val="24"/>
          <w:szCs w:val="24"/>
        </w:rPr>
        <w:t>Spatial Y maze test</w:t>
      </w:r>
    </w:p>
    <w:p w:rsidR="00A41FAB" w:rsidRPr="00C01956" w:rsidRDefault="00A41FAB" w:rsidP="00C01956">
      <w:pPr>
        <w:spacing w:line="480" w:lineRule="auto"/>
        <w:jc w:val="both"/>
        <w:rPr>
          <w:rFonts w:ascii="Times New Roman" w:hAnsi="Times New Roman" w:cs="Times New Roman"/>
          <w:iCs/>
          <w:sz w:val="24"/>
          <w:szCs w:val="24"/>
        </w:rPr>
      </w:pPr>
      <w:r w:rsidRPr="00C01956">
        <w:rPr>
          <w:rFonts w:ascii="Times New Roman" w:hAnsi="Times New Roman" w:cs="Times New Roman"/>
          <w:iCs/>
          <w:sz w:val="24"/>
          <w:szCs w:val="24"/>
        </w:rPr>
        <w:t>Spatial memory was tested using the Y maze. Three identical arms (10 cm width x 30 cm length x 20 cm high) were connected to each other at 120</w:t>
      </w:r>
      <w:r w:rsidRPr="00C01956">
        <w:rPr>
          <w:rFonts w:ascii="Times New Roman" w:eastAsia="PMingLiU" w:hAnsi="Times New Roman" w:cs="Times New Roman"/>
          <w:iCs/>
          <w:sz w:val="24"/>
          <w:szCs w:val="24"/>
        </w:rPr>
        <w:t>°</w:t>
      </w:r>
      <w:r w:rsidRPr="00C01956">
        <w:rPr>
          <w:rFonts w:ascii="Times New Roman" w:hAnsi="Times New Roman" w:cs="Times New Roman"/>
          <w:iCs/>
          <w:sz w:val="24"/>
          <w:szCs w:val="24"/>
        </w:rPr>
        <w:t xml:space="preserve"> angles. Mice were habituated to the testing room 1 h before commencement of the test. One day before the first test mice were introduced into the Y maze and allowed to freely explore all 3 arms. On test days, mice were first placed into one arm (start arm) of the Y maze to freely explore another arm (familiar arm) and the start arm for 5 min as access to one arm was closed (novel arm). After 5 min mice were returned to their home cage for one hour. After a 1 h interval, mice were returned to the same start arm of Y maze and allowed to explore all three arms for 5 min. Exploration time in each arm and the exploratory path during both learning and test phases were recorded and </w:t>
      </w:r>
      <w:proofErr w:type="spellStart"/>
      <w:r w:rsidRPr="00C01956">
        <w:rPr>
          <w:rFonts w:ascii="Times New Roman" w:hAnsi="Times New Roman" w:cs="Times New Roman"/>
          <w:iCs/>
          <w:sz w:val="24"/>
          <w:szCs w:val="24"/>
        </w:rPr>
        <w:t>analyzed</w:t>
      </w:r>
      <w:proofErr w:type="spellEnd"/>
      <w:r w:rsidRPr="00C01956">
        <w:rPr>
          <w:rFonts w:ascii="Times New Roman" w:hAnsi="Times New Roman" w:cs="Times New Roman"/>
          <w:iCs/>
          <w:sz w:val="24"/>
          <w:szCs w:val="24"/>
        </w:rPr>
        <w:t xml:space="preserve"> using a video monitor system (Viewer</w:t>
      </w:r>
      <w:r w:rsidRPr="00C01956">
        <w:rPr>
          <w:rFonts w:ascii="Times New Roman" w:hAnsi="Times New Roman" w:cs="Times New Roman"/>
          <w:iCs/>
          <w:sz w:val="24"/>
          <w:szCs w:val="24"/>
          <w:vertAlign w:val="superscript"/>
        </w:rPr>
        <w:t>3</w:t>
      </w:r>
      <w:r w:rsidRPr="00C01956">
        <w:rPr>
          <w:rFonts w:ascii="Times New Roman" w:hAnsi="Times New Roman" w:cs="Times New Roman"/>
          <w:iCs/>
          <w:sz w:val="24"/>
          <w:szCs w:val="24"/>
        </w:rPr>
        <w:t xml:space="preserve">, </w:t>
      </w:r>
      <w:proofErr w:type="spellStart"/>
      <w:r w:rsidRPr="00C01956">
        <w:rPr>
          <w:rFonts w:ascii="Times New Roman" w:hAnsi="Times New Roman" w:cs="Times New Roman"/>
          <w:iCs/>
          <w:sz w:val="24"/>
          <w:szCs w:val="24"/>
        </w:rPr>
        <w:t>Biobserve</w:t>
      </w:r>
      <w:proofErr w:type="spellEnd"/>
      <w:r w:rsidRPr="00C01956">
        <w:rPr>
          <w:rFonts w:ascii="Times New Roman" w:hAnsi="Times New Roman" w:cs="Times New Roman"/>
          <w:iCs/>
          <w:sz w:val="24"/>
          <w:szCs w:val="24"/>
        </w:rPr>
        <w:t xml:space="preserve">, Germany). The time (%) exploring each arm (time (s) exploring in each arm / total time (s) exploring in all the arms x 100%) was calculated. To determine preference for the novel arm a discrimination index was used: Discrimination index (%) = time spent (%) exploring the new arm - time spent (%) exploring the familiar arm. Locomotor activity was assessed as total movement (cm) in all the arms. Each arm was labelled with a different symbol on the wall to help mice distinguish between the arms. The symbols used were changed for each replication of the test, and the maze was rotated to change the orientation. The arm chosen to be “start arm” or “novel arm” was also randomly altered. </w:t>
      </w:r>
    </w:p>
    <w:p w:rsidR="00A41FAB" w:rsidRPr="00C01956" w:rsidRDefault="00A41FAB" w:rsidP="00C01956">
      <w:pPr>
        <w:spacing w:line="480" w:lineRule="auto"/>
        <w:rPr>
          <w:rFonts w:ascii="Times New Roman" w:hAnsi="Times New Roman" w:cs="Times New Roman"/>
          <w:sz w:val="24"/>
          <w:szCs w:val="24"/>
        </w:rPr>
      </w:pPr>
    </w:p>
    <w:p w:rsidR="00A41FAB" w:rsidRPr="00C01956" w:rsidRDefault="00A41FAB" w:rsidP="00C01956">
      <w:pPr>
        <w:spacing w:line="480" w:lineRule="auto"/>
        <w:jc w:val="both"/>
        <w:rPr>
          <w:rFonts w:ascii="Times New Roman" w:hAnsi="Times New Roman" w:cs="Times New Roman"/>
          <w:b/>
          <w:iCs/>
          <w:sz w:val="24"/>
          <w:szCs w:val="24"/>
        </w:rPr>
      </w:pPr>
      <w:r w:rsidRPr="00C01956">
        <w:rPr>
          <w:rFonts w:ascii="Times New Roman" w:hAnsi="Times New Roman" w:cs="Times New Roman"/>
          <w:b/>
          <w:iCs/>
          <w:sz w:val="24"/>
          <w:szCs w:val="24"/>
        </w:rPr>
        <w:t>Burrowing activity</w:t>
      </w:r>
    </w:p>
    <w:p w:rsidR="00C704A1" w:rsidRPr="00C01956" w:rsidRDefault="00C704A1" w:rsidP="00C01956">
      <w:pPr>
        <w:autoSpaceDE w:val="0"/>
        <w:autoSpaceDN w:val="0"/>
        <w:adjustRightInd w:val="0"/>
        <w:spacing w:after="0" w:line="480" w:lineRule="auto"/>
        <w:rPr>
          <w:rFonts w:ascii="Times New Roman" w:hAnsi="Times New Roman" w:cs="Times New Roman"/>
          <w:b/>
          <w:iCs/>
          <w:sz w:val="24"/>
          <w:szCs w:val="24"/>
        </w:rPr>
      </w:pPr>
      <w:r w:rsidRPr="00C01956">
        <w:rPr>
          <w:rFonts w:ascii="Times New Roman" w:hAnsi="Times New Roman" w:cs="Times New Roman"/>
          <w:iCs/>
          <w:sz w:val="24"/>
          <w:szCs w:val="24"/>
        </w:rPr>
        <w:t xml:space="preserve">A PVC tube filled with 200 ± 1 g of standard mouse chow pellets was placed into the home cage for 30 min. The food pellets remaining in the tube were weighed and used to calculate burrowing activity as a percentage using the formula: ((200g – amount of food pellets remaining (g)) / 200) x 100. </w:t>
      </w:r>
      <w:r w:rsidRPr="00C01956">
        <w:rPr>
          <w:rFonts w:ascii="Times New Roman" w:hAnsi="Times New Roman" w:cs="Times New Roman"/>
          <w:color w:val="000000"/>
          <w:sz w:val="24"/>
          <w:szCs w:val="24"/>
        </w:rPr>
        <w:t xml:space="preserve">Mice were trained to burrow at least 80% of the pellets (160 g) prior to </w:t>
      </w:r>
      <w:r w:rsidR="00C21639">
        <w:rPr>
          <w:rFonts w:ascii="Times New Roman" w:hAnsi="Times New Roman" w:cs="Times New Roman"/>
          <w:color w:val="000000"/>
          <w:sz w:val="24"/>
          <w:szCs w:val="24"/>
        </w:rPr>
        <w:t>Tumour</w:t>
      </w:r>
      <w:r w:rsidRPr="00C01956">
        <w:rPr>
          <w:rFonts w:ascii="Times New Roman" w:hAnsi="Times New Roman" w:cs="Times New Roman"/>
          <w:color w:val="000000"/>
          <w:sz w:val="24"/>
          <w:szCs w:val="24"/>
        </w:rPr>
        <w:t xml:space="preserve"> cell inoculation.</w:t>
      </w:r>
    </w:p>
    <w:p w:rsidR="00D35041" w:rsidRPr="00C01956" w:rsidRDefault="00D35041" w:rsidP="00C01956">
      <w:pPr>
        <w:spacing w:line="480" w:lineRule="auto"/>
        <w:jc w:val="both"/>
        <w:rPr>
          <w:rFonts w:ascii="Times New Roman" w:hAnsi="Times New Roman" w:cs="Times New Roman"/>
          <w:b/>
          <w:iCs/>
          <w:sz w:val="24"/>
          <w:szCs w:val="24"/>
        </w:rPr>
      </w:pPr>
    </w:p>
    <w:p w:rsidR="00D35041" w:rsidRPr="00C01956" w:rsidRDefault="00D35041" w:rsidP="00C01956">
      <w:pPr>
        <w:spacing w:line="480" w:lineRule="auto"/>
        <w:jc w:val="both"/>
        <w:rPr>
          <w:rFonts w:ascii="Times New Roman" w:hAnsi="Times New Roman" w:cs="Times New Roman"/>
          <w:b/>
          <w:iCs/>
          <w:sz w:val="24"/>
          <w:szCs w:val="24"/>
        </w:rPr>
      </w:pPr>
      <w:r w:rsidRPr="00C01956">
        <w:rPr>
          <w:rFonts w:ascii="Times New Roman" w:hAnsi="Times New Roman" w:cs="Times New Roman"/>
          <w:b/>
          <w:iCs/>
          <w:sz w:val="24"/>
          <w:szCs w:val="24"/>
        </w:rPr>
        <w:lastRenderedPageBreak/>
        <w:t>RNA extraction and quantitative reverse transcriptase polymerase chain reaction (</w:t>
      </w:r>
      <w:proofErr w:type="spellStart"/>
      <w:r w:rsidRPr="00C01956">
        <w:rPr>
          <w:rFonts w:ascii="Times New Roman" w:hAnsi="Times New Roman" w:cs="Times New Roman"/>
          <w:b/>
          <w:iCs/>
          <w:sz w:val="24"/>
          <w:szCs w:val="24"/>
        </w:rPr>
        <w:t>qRT</w:t>
      </w:r>
      <w:proofErr w:type="spellEnd"/>
      <w:r w:rsidRPr="00C01956">
        <w:rPr>
          <w:rFonts w:ascii="Times New Roman" w:hAnsi="Times New Roman" w:cs="Times New Roman"/>
          <w:b/>
          <w:iCs/>
          <w:sz w:val="24"/>
          <w:szCs w:val="24"/>
        </w:rPr>
        <w:t>-PCR)</w:t>
      </w:r>
    </w:p>
    <w:p w:rsidR="00D35041" w:rsidRPr="00C01956" w:rsidRDefault="00D35041" w:rsidP="00C01956">
      <w:pPr>
        <w:spacing w:line="480" w:lineRule="auto"/>
        <w:jc w:val="both"/>
        <w:rPr>
          <w:rFonts w:ascii="Times New Roman" w:hAnsi="Times New Roman" w:cs="Times New Roman"/>
          <w:iCs/>
          <w:sz w:val="24"/>
          <w:szCs w:val="24"/>
        </w:rPr>
      </w:pPr>
      <w:r w:rsidRPr="00C01956">
        <w:rPr>
          <w:rFonts w:ascii="Times New Roman" w:hAnsi="Times New Roman" w:cs="Times New Roman"/>
          <w:iCs/>
          <w:sz w:val="24"/>
          <w:szCs w:val="24"/>
        </w:rPr>
        <w:t xml:space="preserve">The hippocampus was homogenized in 1 ml TRI Reagent (Sigma-Aldrich, USA) using </w:t>
      </w:r>
      <w:proofErr w:type="spellStart"/>
      <w:r w:rsidRPr="00C01956">
        <w:rPr>
          <w:rFonts w:ascii="Times New Roman" w:hAnsi="Times New Roman" w:cs="Times New Roman"/>
          <w:iCs/>
          <w:sz w:val="24"/>
          <w:szCs w:val="24"/>
        </w:rPr>
        <w:t>TissueLyser</w:t>
      </w:r>
      <w:proofErr w:type="spellEnd"/>
      <w:r w:rsidRPr="00C01956">
        <w:rPr>
          <w:rFonts w:ascii="Times New Roman" w:hAnsi="Times New Roman" w:cs="Times New Roman"/>
          <w:iCs/>
          <w:sz w:val="24"/>
          <w:szCs w:val="24"/>
        </w:rPr>
        <w:t xml:space="preserve"> II (QIAGEN, Germany) </w:t>
      </w:r>
      <w:r w:rsidR="00AD349C">
        <w:rPr>
          <w:rFonts w:ascii="Times New Roman" w:hAnsi="Times New Roman" w:cs="Times New Roman"/>
          <w:iCs/>
          <w:sz w:val="24"/>
          <w:szCs w:val="24"/>
        </w:rPr>
        <w:t>for</w:t>
      </w:r>
      <w:r w:rsidRPr="00C01956">
        <w:rPr>
          <w:rFonts w:ascii="Times New Roman" w:hAnsi="Times New Roman" w:cs="Times New Roman"/>
          <w:iCs/>
          <w:sz w:val="24"/>
          <w:szCs w:val="24"/>
        </w:rPr>
        <w:t xml:space="preserve"> 30s at 30 Hz. Samples were kept on ice and 0.2 mL chloroform (Sigma-</w:t>
      </w:r>
      <w:proofErr w:type="spellStart"/>
      <w:r w:rsidRPr="00C01956">
        <w:rPr>
          <w:rFonts w:ascii="Times New Roman" w:hAnsi="Times New Roman" w:cs="Times New Roman"/>
          <w:iCs/>
          <w:sz w:val="24"/>
          <w:szCs w:val="24"/>
        </w:rPr>
        <w:t>Aldirich</w:t>
      </w:r>
      <w:proofErr w:type="spellEnd"/>
      <w:r w:rsidRPr="00C01956">
        <w:rPr>
          <w:rFonts w:ascii="Times New Roman" w:hAnsi="Times New Roman" w:cs="Times New Roman"/>
          <w:iCs/>
          <w:sz w:val="24"/>
          <w:szCs w:val="24"/>
        </w:rPr>
        <w:t xml:space="preserve">, USA) was added to the sample before being vortexed for 15 sec. Samples were centrifuged at 13,000 rpm, 4 ℃ for 15 min. 0.5 mL supernatant </w:t>
      </w:r>
      <w:r w:rsidR="00AD349C">
        <w:rPr>
          <w:rFonts w:ascii="Times New Roman" w:hAnsi="Times New Roman" w:cs="Times New Roman"/>
          <w:iCs/>
          <w:sz w:val="24"/>
          <w:szCs w:val="24"/>
        </w:rPr>
        <w:t>was</w:t>
      </w:r>
      <w:r w:rsidRPr="00C01956">
        <w:rPr>
          <w:rFonts w:ascii="Times New Roman" w:hAnsi="Times New Roman" w:cs="Times New Roman"/>
          <w:iCs/>
          <w:sz w:val="24"/>
          <w:szCs w:val="24"/>
        </w:rPr>
        <w:t xml:space="preserve"> transferred to </w:t>
      </w:r>
      <w:r w:rsidR="00AD349C">
        <w:rPr>
          <w:rFonts w:ascii="Times New Roman" w:hAnsi="Times New Roman" w:cs="Times New Roman"/>
          <w:iCs/>
          <w:sz w:val="24"/>
          <w:szCs w:val="24"/>
        </w:rPr>
        <w:t>a clean tube</w:t>
      </w:r>
      <w:r w:rsidRPr="00C01956">
        <w:rPr>
          <w:rFonts w:ascii="Times New Roman" w:hAnsi="Times New Roman" w:cs="Times New Roman"/>
          <w:iCs/>
          <w:sz w:val="24"/>
          <w:szCs w:val="24"/>
        </w:rPr>
        <w:t xml:space="preserve"> and mixed with 0.5 mL isopropanol (Sigma-</w:t>
      </w:r>
      <w:proofErr w:type="spellStart"/>
      <w:r w:rsidRPr="00C01956">
        <w:rPr>
          <w:rFonts w:ascii="Times New Roman" w:hAnsi="Times New Roman" w:cs="Times New Roman"/>
          <w:iCs/>
          <w:sz w:val="24"/>
          <w:szCs w:val="24"/>
        </w:rPr>
        <w:t>Aldirich</w:t>
      </w:r>
      <w:proofErr w:type="spellEnd"/>
      <w:r w:rsidRPr="00C01956">
        <w:rPr>
          <w:rFonts w:ascii="Times New Roman" w:hAnsi="Times New Roman" w:cs="Times New Roman"/>
          <w:iCs/>
          <w:sz w:val="24"/>
          <w:szCs w:val="24"/>
        </w:rPr>
        <w:t xml:space="preserve">, USA) and </w:t>
      </w:r>
      <w:r w:rsidR="00AD349C">
        <w:rPr>
          <w:rFonts w:ascii="Times New Roman" w:hAnsi="Times New Roman" w:cs="Times New Roman"/>
          <w:iCs/>
          <w:sz w:val="24"/>
          <w:szCs w:val="24"/>
        </w:rPr>
        <w:t>placed</w:t>
      </w:r>
      <w:r w:rsidRPr="00C01956">
        <w:rPr>
          <w:rFonts w:ascii="Times New Roman" w:hAnsi="Times New Roman" w:cs="Times New Roman"/>
          <w:iCs/>
          <w:sz w:val="24"/>
          <w:szCs w:val="24"/>
        </w:rPr>
        <w:t xml:space="preserve"> on ice for 10 min. Tubes were then centrifuged again at 13,000 rpm, 4 ℃ for 15 min, and the supernatant discarded. The RNA pellets were washed twice with 1 ml 75% ethanol (Ethanol absolute, Sigma-</w:t>
      </w:r>
      <w:proofErr w:type="spellStart"/>
      <w:r w:rsidRPr="00C01956">
        <w:rPr>
          <w:rFonts w:ascii="Times New Roman" w:hAnsi="Times New Roman" w:cs="Times New Roman"/>
          <w:iCs/>
          <w:sz w:val="24"/>
          <w:szCs w:val="24"/>
        </w:rPr>
        <w:t>Aldirich</w:t>
      </w:r>
      <w:proofErr w:type="spellEnd"/>
      <w:r w:rsidRPr="00C01956">
        <w:rPr>
          <w:rFonts w:ascii="Times New Roman" w:hAnsi="Times New Roman" w:cs="Times New Roman"/>
          <w:iCs/>
          <w:sz w:val="24"/>
          <w:szCs w:val="24"/>
        </w:rPr>
        <w:t xml:space="preserve">, USA), and dehydrated after removing the ethanol supernatant by centrifuging at 7500 rpm, 4 ℃ for 5 min. RNA pellets were dissolved in 60 </w:t>
      </w:r>
      <w:proofErr w:type="spellStart"/>
      <w:r w:rsidRPr="00C01956">
        <w:rPr>
          <w:rFonts w:ascii="Times New Roman" w:hAnsi="Times New Roman" w:cs="Times New Roman"/>
          <w:iCs/>
          <w:sz w:val="24"/>
          <w:szCs w:val="24"/>
        </w:rPr>
        <w:t>μl</w:t>
      </w:r>
      <w:proofErr w:type="spellEnd"/>
      <w:r w:rsidRPr="00C01956">
        <w:rPr>
          <w:rFonts w:ascii="Times New Roman" w:hAnsi="Times New Roman" w:cs="Times New Roman"/>
          <w:iCs/>
          <w:sz w:val="24"/>
          <w:szCs w:val="24"/>
        </w:rPr>
        <w:t xml:space="preserve"> ddH2O, and RNA quality and concentration were measured by </w:t>
      </w:r>
      <w:proofErr w:type="spellStart"/>
      <w:r w:rsidRPr="00C01956">
        <w:rPr>
          <w:rFonts w:ascii="Times New Roman" w:hAnsi="Times New Roman" w:cs="Times New Roman"/>
          <w:iCs/>
          <w:sz w:val="24"/>
          <w:szCs w:val="24"/>
        </w:rPr>
        <w:t>NanoDrop</w:t>
      </w:r>
      <w:proofErr w:type="spellEnd"/>
      <w:r w:rsidRPr="00C01956">
        <w:rPr>
          <w:rFonts w:ascii="Times New Roman" w:hAnsi="Times New Roman" w:cs="Times New Roman"/>
          <w:iCs/>
          <w:sz w:val="24"/>
          <w:szCs w:val="24"/>
        </w:rPr>
        <w:t xml:space="preserve">® ND100 (Wilmington, DE, United States). </w:t>
      </w:r>
    </w:p>
    <w:p w:rsidR="00D35041" w:rsidRPr="00C01956" w:rsidRDefault="00D35041" w:rsidP="00C01956">
      <w:pPr>
        <w:spacing w:line="480" w:lineRule="auto"/>
        <w:jc w:val="both"/>
        <w:rPr>
          <w:rFonts w:ascii="Times New Roman" w:hAnsi="Times New Roman" w:cs="Times New Roman"/>
          <w:iCs/>
          <w:sz w:val="24"/>
          <w:szCs w:val="24"/>
        </w:rPr>
      </w:pPr>
    </w:p>
    <w:p w:rsidR="00D35041" w:rsidRPr="00C01956" w:rsidRDefault="00D35041" w:rsidP="00C01956">
      <w:pPr>
        <w:spacing w:line="480" w:lineRule="auto"/>
        <w:jc w:val="both"/>
        <w:rPr>
          <w:rFonts w:ascii="Times New Roman" w:hAnsi="Times New Roman" w:cs="Times New Roman"/>
          <w:iCs/>
          <w:sz w:val="24"/>
          <w:szCs w:val="24"/>
        </w:rPr>
      </w:pPr>
      <w:r w:rsidRPr="00C01956">
        <w:rPr>
          <w:rFonts w:ascii="Times New Roman" w:hAnsi="Times New Roman" w:cs="Times New Roman"/>
          <w:iCs/>
          <w:sz w:val="24"/>
          <w:szCs w:val="24"/>
        </w:rPr>
        <w:t>T</w:t>
      </w:r>
      <w:r w:rsidRPr="00C01956">
        <w:rPr>
          <w:rFonts w:ascii="Times New Roman" w:hAnsi="Times New Roman" w:cs="Times New Roman"/>
          <w:sz w:val="24"/>
          <w:szCs w:val="24"/>
        </w:rPr>
        <w:t xml:space="preserve">o explore the association between inflammation in our cancer-free survivor mice with the sustained changes in hippocampal-dependent memory, we assessed neuroinflammation and neuronal activity-related gene expression in the hippocampus of paclitaxel and placebo treated mice, untreated 8-week-old (pre-cancer baseline age), and untreated age-matched 19-week-old control groups (baseline for experimental end point). All the groups were normalized to the 8-week-old control group for general comparison. </w:t>
      </w:r>
      <w:proofErr w:type="spellStart"/>
      <w:r w:rsidRPr="00C01956">
        <w:rPr>
          <w:rFonts w:ascii="Times New Roman" w:hAnsi="Times New Roman" w:cs="Times New Roman"/>
          <w:iCs/>
          <w:sz w:val="24"/>
          <w:szCs w:val="24"/>
        </w:rPr>
        <w:t>qRT</w:t>
      </w:r>
      <w:proofErr w:type="spellEnd"/>
      <w:r w:rsidRPr="00C01956">
        <w:rPr>
          <w:rFonts w:ascii="Times New Roman" w:hAnsi="Times New Roman" w:cs="Times New Roman"/>
          <w:iCs/>
          <w:sz w:val="24"/>
          <w:szCs w:val="24"/>
        </w:rPr>
        <w:t xml:space="preserve">-PCR was used to assess gene expression changes in 100 ng RNA with </w:t>
      </w:r>
      <w:proofErr w:type="spellStart"/>
      <w:r w:rsidRPr="00C01956">
        <w:rPr>
          <w:rFonts w:ascii="Times New Roman" w:hAnsi="Times New Roman" w:cs="Times New Roman"/>
          <w:iCs/>
          <w:sz w:val="24"/>
          <w:szCs w:val="24"/>
        </w:rPr>
        <w:t>iScript</w:t>
      </w:r>
      <w:proofErr w:type="spellEnd"/>
      <w:r w:rsidRPr="00C01956">
        <w:rPr>
          <w:rFonts w:ascii="Times New Roman" w:hAnsi="Times New Roman" w:cs="Times New Roman"/>
          <w:iCs/>
          <w:sz w:val="24"/>
          <w:szCs w:val="24"/>
        </w:rPr>
        <w:t xml:space="preserve">™ One-Step RT-PCR Kit for Probes (Bio-Rad, USA). </w:t>
      </w:r>
      <w:proofErr w:type="spellStart"/>
      <w:r w:rsidRPr="00C01956">
        <w:rPr>
          <w:rFonts w:ascii="Times New Roman" w:hAnsi="Times New Roman" w:cs="Times New Roman"/>
          <w:iCs/>
          <w:sz w:val="24"/>
          <w:szCs w:val="24"/>
        </w:rPr>
        <w:t>Taqman</w:t>
      </w:r>
      <w:proofErr w:type="spellEnd"/>
      <w:r w:rsidRPr="00C01956">
        <w:rPr>
          <w:rFonts w:ascii="Times New Roman" w:hAnsi="Times New Roman" w:cs="Times New Roman"/>
          <w:iCs/>
          <w:sz w:val="24"/>
          <w:szCs w:val="24"/>
        </w:rPr>
        <w:t xml:space="preserve"> probes targeted </w:t>
      </w:r>
      <w:proofErr w:type="spellStart"/>
      <w:r w:rsidRPr="00C01956">
        <w:rPr>
          <w:rFonts w:ascii="Times New Roman" w:hAnsi="Times New Roman" w:cs="Times New Roman"/>
          <w:i/>
          <w:iCs/>
          <w:sz w:val="24"/>
          <w:szCs w:val="24"/>
        </w:rPr>
        <w:t>Actb</w:t>
      </w:r>
      <w:proofErr w:type="spellEnd"/>
      <w:r w:rsidRPr="00C01956">
        <w:rPr>
          <w:rFonts w:ascii="Times New Roman" w:hAnsi="Times New Roman" w:cs="Times New Roman"/>
          <w:iCs/>
          <w:sz w:val="24"/>
          <w:szCs w:val="24"/>
        </w:rPr>
        <w:t xml:space="preserve"> (Mm01205647_g1), </w:t>
      </w:r>
      <w:r w:rsidRPr="00C01956">
        <w:rPr>
          <w:rFonts w:ascii="Times New Roman" w:hAnsi="Times New Roman" w:cs="Times New Roman"/>
          <w:i/>
          <w:iCs/>
          <w:sz w:val="24"/>
          <w:szCs w:val="24"/>
        </w:rPr>
        <w:t>Il1b</w:t>
      </w:r>
      <w:r w:rsidRPr="00C01956">
        <w:rPr>
          <w:rFonts w:ascii="Times New Roman" w:hAnsi="Times New Roman" w:cs="Times New Roman"/>
          <w:iCs/>
          <w:sz w:val="24"/>
          <w:szCs w:val="24"/>
        </w:rPr>
        <w:t xml:space="preserve"> (Mm00434228_m1), </w:t>
      </w:r>
      <w:r w:rsidRPr="00C01956">
        <w:rPr>
          <w:rFonts w:ascii="Times New Roman" w:hAnsi="Times New Roman" w:cs="Times New Roman"/>
          <w:i/>
          <w:iCs/>
          <w:sz w:val="24"/>
          <w:szCs w:val="24"/>
        </w:rPr>
        <w:t>Il6</w:t>
      </w:r>
      <w:r w:rsidRPr="00C01956">
        <w:rPr>
          <w:rFonts w:ascii="Times New Roman" w:hAnsi="Times New Roman" w:cs="Times New Roman"/>
          <w:iCs/>
          <w:sz w:val="24"/>
          <w:szCs w:val="24"/>
        </w:rPr>
        <w:t xml:space="preserve"> (Mm00446190_m1), </w:t>
      </w:r>
      <w:r w:rsidRPr="00C01956">
        <w:rPr>
          <w:rFonts w:ascii="Times New Roman" w:hAnsi="Times New Roman" w:cs="Times New Roman"/>
          <w:i/>
          <w:iCs/>
          <w:sz w:val="24"/>
          <w:szCs w:val="24"/>
        </w:rPr>
        <w:t>Il10</w:t>
      </w:r>
      <w:r w:rsidRPr="00C01956">
        <w:rPr>
          <w:rFonts w:ascii="Times New Roman" w:hAnsi="Times New Roman" w:cs="Times New Roman"/>
          <w:iCs/>
          <w:sz w:val="24"/>
          <w:szCs w:val="24"/>
        </w:rPr>
        <w:t xml:space="preserve"> (Mm01288386_m1), </w:t>
      </w:r>
      <w:proofErr w:type="spellStart"/>
      <w:r w:rsidRPr="00C01956">
        <w:rPr>
          <w:rFonts w:ascii="Times New Roman" w:hAnsi="Times New Roman" w:cs="Times New Roman"/>
          <w:i/>
          <w:iCs/>
          <w:sz w:val="24"/>
          <w:szCs w:val="24"/>
        </w:rPr>
        <w:t>Tnfa</w:t>
      </w:r>
      <w:proofErr w:type="spellEnd"/>
      <w:r w:rsidRPr="00C01956">
        <w:rPr>
          <w:rFonts w:ascii="Times New Roman" w:hAnsi="Times New Roman" w:cs="Times New Roman"/>
          <w:iCs/>
          <w:sz w:val="24"/>
          <w:szCs w:val="24"/>
        </w:rPr>
        <w:t xml:space="preserve"> (Mm00443258_m1), </w:t>
      </w:r>
      <w:r w:rsidRPr="00C01956">
        <w:rPr>
          <w:rFonts w:ascii="Times New Roman" w:hAnsi="Times New Roman" w:cs="Times New Roman"/>
          <w:i/>
          <w:iCs/>
          <w:sz w:val="24"/>
          <w:szCs w:val="24"/>
        </w:rPr>
        <w:t xml:space="preserve">Iba1/Aif1 </w:t>
      </w:r>
      <w:r w:rsidRPr="00C01956">
        <w:rPr>
          <w:rFonts w:ascii="Times New Roman" w:hAnsi="Times New Roman" w:cs="Times New Roman"/>
          <w:iCs/>
          <w:sz w:val="24"/>
          <w:szCs w:val="24"/>
        </w:rPr>
        <w:t xml:space="preserve">(Mm00479862_g1), </w:t>
      </w:r>
      <w:proofErr w:type="spellStart"/>
      <w:r w:rsidRPr="00C01956">
        <w:rPr>
          <w:rFonts w:ascii="Times New Roman" w:hAnsi="Times New Roman" w:cs="Times New Roman"/>
          <w:i/>
          <w:iCs/>
          <w:sz w:val="24"/>
          <w:szCs w:val="24"/>
        </w:rPr>
        <w:t>Bdnf</w:t>
      </w:r>
      <w:proofErr w:type="spellEnd"/>
      <w:r w:rsidRPr="00C01956">
        <w:rPr>
          <w:rFonts w:ascii="Times New Roman" w:hAnsi="Times New Roman" w:cs="Times New Roman"/>
          <w:iCs/>
          <w:sz w:val="24"/>
          <w:szCs w:val="24"/>
        </w:rPr>
        <w:t xml:space="preserve"> (Mm01334042_m1), and </w:t>
      </w:r>
      <w:r w:rsidRPr="00C01956">
        <w:rPr>
          <w:rFonts w:ascii="Times New Roman" w:hAnsi="Times New Roman" w:cs="Times New Roman"/>
          <w:i/>
          <w:iCs/>
          <w:sz w:val="24"/>
          <w:szCs w:val="24"/>
        </w:rPr>
        <w:t>Rbfox3</w:t>
      </w:r>
      <w:r w:rsidRPr="00C01956">
        <w:rPr>
          <w:rFonts w:ascii="Times New Roman" w:hAnsi="Times New Roman" w:cs="Times New Roman"/>
          <w:iCs/>
          <w:sz w:val="24"/>
          <w:szCs w:val="24"/>
        </w:rPr>
        <w:t>/</w:t>
      </w:r>
      <w:proofErr w:type="spellStart"/>
      <w:r w:rsidRPr="00AD349C">
        <w:rPr>
          <w:rFonts w:ascii="Times New Roman" w:hAnsi="Times New Roman" w:cs="Times New Roman"/>
          <w:i/>
          <w:iCs/>
          <w:sz w:val="24"/>
          <w:szCs w:val="24"/>
        </w:rPr>
        <w:t>NeuN</w:t>
      </w:r>
      <w:proofErr w:type="spellEnd"/>
      <w:r w:rsidRPr="00C01956">
        <w:rPr>
          <w:rFonts w:ascii="Times New Roman" w:hAnsi="Times New Roman" w:cs="Times New Roman"/>
          <w:iCs/>
          <w:sz w:val="24"/>
          <w:szCs w:val="24"/>
        </w:rPr>
        <w:t xml:space="preserve"> (Mm01248781_m1). </w:t>
      </w:r>
    </w:p>
    <w:p w:rsidR="00A41FAB" w:rsidRPr="00A41FAB" w:rsidRDefault="00D35041" w:rsidP="00B201AA">
      <w:pPr>
        <w:spacing w:line="480" w:lineRule="auto"/>
        <w:jc w:val="both"/>
        <w:rPr>
          <w:rFonts w:ascii="Times New Roman" w:hAnsi="Times New Roman" w:cs="Times New Roman"/>
          <w:sz w:val="24"/>
          <w:szCs w:val="24"/>
        </w:rPr>
      </w:pPr>
      <w:r w:rsidRPr="00C01956">
        <w:rPr>
          <w:rFonts w:ascii="Times New Roman" w:hAnsi="Times New Roman" w:cs="Times New Roman"/>
          <w:iCs/>
          <w:sz w:val="24"/>
          <w:szCs w:val="24"/>
        </w:rPr>
        <w:t xml:space="preserve">The RNA and probe mix was subjected to 40 PCR amplification cycles of strand separation at </w:t>
      </w:r>
      <w:r w:rsidRPr="00C01956">
        <w:rPr>
          <w:rFonts w:ascii="Times New Roman" w:hAnsi="Times New Roman" w:cs="Times New Roman"/>
          <w:iCs/>
          <w:color w:val="000000" w:themeColor="text1"/>
          <w:sz w:val="24"/>
          <w:szCs w:val="24"/>
        </w:rPr>
        <w:t>95</w:t>
      </w:r>
      <w:r w:rsidRPr="00C01956">
        <w:rPr>
          <w:rFonts w:ascii="Times New Roman" w:eastAsia="PMingLiU" w:hAnsi="Times New Roman" w:cs="Times New Roman"/>
          <w:iCs/>
          <w:color w:val="000000" w:themeColor="text1"/>
          <w:sz w:val="24"/>
          <w:szCs w:val="24"/>
        </w:rPr>
        <w:t xml:space="preserve">℃ for </w:t>
      </w:r>
      <w:r w:rsidRPr="00C01956">
        <w:rPr>
          <w:rFonts w:ascii="Times New Roman" w:hAnsi="Times New Roman" w:cs="Times New Roman"/>
          <w:iCs/>
          <w:color w:val="000000" w:themeColor="text1"/>
          <w:sz w:val="24"/>
          <w:szCs w:val="24"/>
        </w:rPr>
        <w:t>15 sec, annealing at 60</w:t>
      </w:r>
      <w:r w:rsidRPr="00C01956">
        <w:rPr>
          <w:rFonts w:ascii="Times New Roman" w:eastAsia="PMingLiU" w:hAnsi="Times New Roman" w:cs="Times New Roman"/>
          <w:iCs/>
          <w:color w:val="000000" w:themeColor="text1"/>
          <w:sz w:val="24"/>
          <w:szCs w:val="24"/>
        </w:rPr>
        <w:t xml:space="preserve">℃ </w:t>
      </w:r>
      <w:r w:rsidRPr="00C01956">
        <w:rPr>
          <w:rFonts w:ascii="Times New Roman" w:hAnsi="Times New Roman" w:cs="Times New Roman"/>
          <w:iCs/>
          <w:color w:val="000000" w:themeColor="text1"/>
          <w:sz w:val="24"/>
          <w:szCs w:val="24"/>
        </w:rPr>
        <w:t>for 30 sec, and then extension at 50</w:t>
      </w:r>
      <w:r w:rsidRPr="00C01956">
        <w:rPr>
          <w:rFonts w:ascii="Times New Roman" w:eastAsia="PMingLiU" w:hAnsi="Times New Roman" w:cs="Times New Roman"/>
          <w:iCs/>
          <w:color w:val="000000" w:themeColor="text1"/>
          <w:sz w:val="24"/>
          <w:szCs w:val="24"/>
        </w:rPr>
        <w:t>℃ for 10 min</w:t>
      </w:r>
      <w:r w:rsidRPr="00C01956">
        <w:rPr>
          <w:rFonts w:ascii="Times New Roman" w:hAnsi="Times New Roman" w:cs="Times New Roman"/>
          <w:iCs/>
          <w:color w:val="000000" w:themeColor="text1"/>
          <w:sz w:val="24"/>
          <w:szCs w:val="24"/>
        </w:rPr>
        <w:t>. Each sample was run in triplicate and the genes of interest were normalized to the housekeeper gene β-actin (</w:t>
      </w:r>
      <w:proofErr w:type="spellStart"/>
      <w:r w:rsidRPr="00C01956">
        <w:rPr>
          <w:rFonts w:ascii="Times New Roman" w:hAnsi="Times New Roman" w:cs="Times New Roman"/>
          <w:i/>
          <w:iCs/>
          <w:sz w:val="24"/>
          <w:szCs w:val="24"/>
        </w:rPr>
        <w:t>Actb</w:t>
      </w:r>
      <w:proofErr w:type="spellEnd"/>
      <w:r w:rsidRPr="00C01956">
        <w:rPr>
          <w:rFonts w:ascii="Times New Roman" w:hAnsi="Times New Roman" w:cs="Times New Roman"/>
          <w:iCs/>
          <w:color w:val="000000" w:themeColor="text1"/>
          <w:sz w:val="24"/>
          <w:szCs w:val="24"/>
        </w:rPr>
        <w:t>) via the 2</w:t>
      </w:r>
      <w:r w:rsidRPr="00C01956">
        <w:rPr>
          <w:rFonts w:ascii="Times New Roman" w:hAnsi="Times New Roman" w:cs="Times New Roman"/>
          <w:iCs/>
          <w:color w:val="000000" w:themeColor="text1"/>
          <w:sz w:val="24"/>
          <w:szCs w:val="24"/>
          <w:vertAlign w:val="superscript"/>
        </w:rPr>
        <w:t>–∆∆Ct</w:t>
      </w:r>
      <w:r w:rsidRPr="00C01956">
        <w:rPr>
          <w:rFonts w:ascii="Times New Roman" w:hAnsi="Times New Roman" w:cs="Times New Roman"/>
          <w:iCs/>
          <w:color w:val="000000" w:themeColor="text1"/>
          <w:sz w:val="24"/>
          <w:szCs w:val="24"/>
        </w:rPr>
        <w:t xml:space="preserve"> method. </w:t>
      </w:r>
    </w:p>
    <w:sectPr w:rsidR="00A41FAB" w:rsidRPr="00A41FAB" w:rsidSect="00C01956">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A34" w:rsidRDefault="008A5A34" w:rsidP="008A5A34">
      <w:pPr>
        <w:spacing w:after="0" w:line="240" w:lineRule="auto"/>
      </w:pPr>
      <w:r>
        <w:separator/>
      </w:r>
    </w:p>
  </w:endnote>
  <w:endnote w:type="continuationSeparator" w:id="0">
    <w:p w:rsidR="008A5A34" w:rsidRDefault="008A5A34" w:rsidP="008A5A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A34" w:rsidRDefault="008A5A34" w:rsidP="008A5A34">
      <w:pPr>
        <w:spacing w:after="0" w:line="240" w:lineRule="auto"/>
      </w:pPr>
      <w:r>
        <w:separator/>
      </w:r>
    </w:p>
  </w:footnote>
  <w:footnote w:type="continuationSeparator" w:id="0">
    <w:p w:rsidR="008A5A34" w:rsidRDefault="008A5A34" w:rsidP="008A5A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5973225"/>
      <w:docPartObj>
        <w:docPartGallery w:val="Page Numbers (Top of Page)"/>
        <w:docPartUnique/>
      </w:docPartObj>
    </w:sdtPr>
    <w:sdtEndPr>
      <w:rPr>
        <w:noProof/>
      </w:rPr>
    </w:sdtEndPr>
    <w:sdtContent>
      <w:p w:rsidR="008A5A34" w:rsidRDefault="008A5A34">
        <w:pPr>
          <w:pStyle w:val="Header"/>
          <w:jc w:val="right"/>
        </w:pPr>
        <w:r>
          <w:fldChar w:fldCharType="begin"/>
        </w:r>
        <w:r>
          <w:instrText xml:space="preserve"> PAGE   \* MERGEFORMAT </w:instrText>
        </w:r>
        <w:r>
          <w:fldChar w:fldCharType="separate"/>
        </w:r>
        <w:r>
          <w:rPr>
            <w:noProof/>
          </w:rPr>
          <w:t>3</w:t>
        </w:r>
        <w:r>
          <w:rPr>
            <w:noProof/>
          </w:rPr>
          <w:fldChar w:fldCharType="end"/>
        </w:r>
      </w:p>
    </w:sdtContent>
  </w:sdt>
  <w:p w:rsidR="008A5A34" w:rsidRDefault="008A5A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s9rpa2xtfzrs3e2wf7vfad4tsxp0fdt29ta&quot;&gt;ADAM ENDNOTE LIBRARY&lt;record-ids&gt;&lt;item&gt;184&lt;/item&gt;&lt;/record-ids&gt;&lt;/item&gt;&lt;/Libraries&gt;"/>
  </w:docVars>
  <w:rsids>
    <w:rsidRoot w:val="00A41FAB"/>
    <w:rsid w:val="000C643E"/>
    <w:rsid w:val="00103A89"/>
    <w:rsid w:val="007028CE"/>
    <w:rsid w:val="008A5A34"/>
    <w:rsid w:val="00A41FAB"/>
    <w:rsid w:val="00AD349C"/>
    <w:rsid w:val="00B201AA"/>
    <w:rsid w:val="00C01956"/>
    <w:rsid w:val="00C21639"/>
    <w:rsid w:val="00C704A1"/>
    <w:rsid w:val="00CF0B91"/>
    <w:rsid w:val="00D35041"/>
    <w:rsid w:val="00EC0DA2"/>
    <w:rsid w:val="00F423F1"/>
    <w:rsid w:val="00FC4A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2188D0-1783-4F89-8D9A-379840A8E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50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5041"/>
    <w:rPr>
      <w:rFonts w:ascii="Segoe UI" w:hAnsi="Segoe UI" w:cs="Segoe UI"/>
      <w:sz w:val="18"/>
      <w:szCs w:val="18"/>
    </w:rPr>
  </w:style>
  <w:style w:type="paragraph" w:customStyle="1" w:styleId="EndNoteBibliographyTitle">
    <w:name w:val="EndNote Bibliography Title"/>
    <w:basedOn w:val="Normal"/>
    <w:link w:val="EndNoteBibliographyTitleChar"/>
    <w:rsid w:val="00D35041"/>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D35041"/>
    <w:rPr>
      <w:rFonts w:ascii="Calibri" w:hAnsi="Calibri" w:cs="Calibri"/>
      <w:noProof/>
      <w:lang w:val="en-US"/>
    </w:rPr>
  </w:style>
  <w:style w:type="paragraph" w:customStyle="1" w:styleId="EndNoteBibliography">
    <w:name w:val="EndNote Bibliography"/>
    <w:basedOn w:val="Normal"/>
    <w:link w:val="EndNoteBibliographyChar"/>
    <w:rsid w:val="00D35041"/>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D35041"/>
    <w:rPr>
      <w:rFonts w:ascii="Calibri" w:hAnsi="Calibri" w:cs="Calibri"/>
      <w:noProof/>
      <w:lang w:val="en-US"/>
    </w:rPr>
  </w:style>
  <w:style w:type="paragraph" w:styleId="Header">
    <w:name w:val="header"/>
    <w:basedOn w:val="Normal"/>
    <w:link w:val="HeaderChar"/>
    <w:uiPriority w:val="99"/>
    <w:unhideWhenUsed/>
    <w:rsid w:val="008A5A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A5A34"/>
  </w:style>
  <w:style w:type="paragraph" w:styleId="Footer">
    <w:name w:val="footer"/>
    <w:basedOn w:val="Normal"/>
    <w:link w:val="FooterChar"/>
    <w:uiPriority w:val="99"/>
    <w:unhideWhenUsed/>
    <w:rsid w:val="008A5A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A5A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1190</Words>
  <Characters>6787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Walker</dc:creator>
  <cp:keywords/>
  <dc:description/>
  <cp:lastModifiedBy>Adam Walker</cp:lastModifiedBy>
  <cp:revision>3</cp:revision>
  <dcterms:created xsi:type="dcterms:W3CDTF">2021-07-19T01:52:00Z</dcterms:created>
  <dcterms:modified xsi:type="dcterms:W3CDTF">2021-08-05T03:44:00Z</dcterms:modified>
</cp:coreProperties>
</file>