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27BA" w:rsidRDefault="00B727BA" w:rsidP="00B727BA">
      <w:pPr>
        <w:spacing w:before="100" w:after="100" w:line="480" w:lineRule="auto"/>
        <w:jc w:val="both"/>
        <w:outlineLvl w:val="0"/>
        <w:rPr>
          <w:b/>
          <w:noProof/>
        </w:rPr>
      </w:pPr>
      <w:r>
        <w:rPr>
          <w:noProof/>
          <w:lang w:val="en-US" w:eastAsia="en-US"/>
        </w:rPr>
        <w:drawing>
          <wp:inline distT="0" distB="0" distL="0" distR="0" wp14:anchorId="3F737A15" wp14:editId="4C1F4002">
            <wp:extent cx="5681345" cy="3598545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1345" cy="359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7BA" w:rsidRDefault="00B727BA" w:rsidP="00B727BA">
      <w:pPr>
        <w:spacing w:line="480" w:lineRule="auto"/>
        <w:jc w:val="both"/>
      </w:pPr>
      <w:r w:rsidRPr="00E97C12">
        <w:rPr>
          <w:rStyle w:val="Heading2Char"/>
        </w:rPr>
        <w:t>Supplementary Figure 1</w:t>
      </w:r>
      <w:r>
        <w:rPr>
          <w:b/>
        </w:rPr>
        <w:t xml:space="preserve"> </w:t>
      </w:r>
      <w:r w:rsidRPr="00495B02">
        <w:t>Control</w:t>
      </w:r>
      <w:r>
        <w:t xml:space="preserve"> experiment</w:t>
      </w:r>
      <w:r w:rsidRPr="00495B02">
        <w:t>s illustrating that VSVG</w:t>
      </w:r>
      <w:r w:rsidRPr="00495B02">
        <w:rPr>
          <w:vertAlign w:val="superscript"/>
        </w:rPr>
        <w:t>ts045</w:t>
      </w:r>
      <w:r w:rsidRPr="00495B02">
        <w:t xml:space="preserve"> is retained in the ER at 40°C</w:t>
      </w:r>
    </w:p>
    <w:p w:rsidR="00B727BA" w:rsidRDefault="00B727BA" w:rsidP="00B727BA">
      <w:pPr>
        <w:spacing w:line="480" w:lineRule="auto"/>
        <w:jc w:val="both"/>
      </w:pPr>
      <w:r>
        <w:t>(</w:t>
      </w:r>
      <w:r w:rsidRPr="00B36D7D">
        <w:rPr>
          <w:b/>
        </w:rPr>
        <w:t>A</w:t>
      </w:r>
      <w:r>
        <w:t>) Experimental designed for control cells: cells expressing VSVG</w:t>
      </w:r>
      <w:r>
        <w:rPr>
          <w:vertAlign w:val="superscript"/>
        </w:rPr>
        <w:t>ts045</w:t>
      </w:r>
      <w:r>
        <w:t xml:space="preserve"> for 24h were incubated at 40°C overnight to misfold VSVG</w:t>
      </w:r>
      <w:r>
        <w:rPr>
          <w:vertAlign w:val="superscript"/>
        </w:rPr>
        <w:t>ts045</w:t>
      </w:r>
      <w:r>
        <w:t>. Cells are then fixed without incubating the cells at the permissive temperature (32°C) to refold VSVG</w:t>
      </w:r>
      <w:r>
        <w:rPr>
          <w:vertAlign w:val="superscript"/>
        </w:rPr>
        <w:t>ts045</w:t>
      </w:r>
      <w:r>
        <w:t>.</w:t>
      </w:r>
    </w:p>
    <w:p w:rsidR="00B727BA" w:rsidRDefault="00B727BA" w:rsidP="00B727BA">
      <w:pPr>
        <w:spacing w:before="100" w:after="100" w:line="480" w:lineRule="auto"/>
        <w:jc w:val="both"/>
      </w:pPr>
      <w:r>
        <w:t>(</w:t>
      </w:r>
      <w:r w:rsidRPr="00045C5F">
        <w:rPr>
          <w:b/>
        </w:rPr>
        <w:t>B</w:t>
      </w:r>
      <w:r>
        <w:t xml:space="preserve">) </w:t>
      </w:r>
      <w:r>
        <w:rPr>
          <w:shd w:val="clear" w:color="auto" w:fill="FFFFFF"/>
        </w:rPr>
        <w:t>I</w:t>
      </w:r>
      <w:r w:rsidRPr="00553AD6">
        <w:rPr>
          <w:shd w:val="clear" w:color="auto" w:fill="FFFFFF"/>
        </w:rPr>
        <w:t>mmunocytochemistry</w:t>
      </w:r>
      <w:r>
        <w:rPr>
          <w:shd w:val="clear" w:color="auto" w:fill="FFFFFF"/>
        </w:rPr>
        <w:t xml:space="preserve"> of C</w:t>
      </w:r>
      <w:r w:rsidRPr="00553AD6">
        <w:rPr>
          <w:shd w:val="clear" w:color="auto" w:fill="FFFFFF"/>
        </w:rPr>
        <w:t>alnexin</w:t>
      </w:r>
      <w:r>
        <w:rPr>
          <w:shd w:val="clear" w:color="auto" w:fill="FFFFFF"/>
        </w:rPr>
        <w:t xml:space="preserve"> in</w:t>
      </w:r>
      <w:r w:rsidRPr="00553AD6">
        <w:rPr>
          <w:shd w:val="clear" w:color="auto" w:fill="FFFFFF"/>
        </w:rPr>
        <w:t xml:space="preserve"> undifferentiated SH-SY5Y cells co-expressing GFP-tagged VSVG</w:t>
      </w:r>
      <w:r w:rsidRPr="00553AD6">
        <w:rPr>
          <w:shd w:val="clear" w:color="auto" w:fill="FFFFFF"/>
          <w:vertAlign w:val="superscript"/>
        </w:rPr>
        <w:t>ts045</w:t>
      </w:r>
      <w:r>
        <w:rPr>
          <w:shd w:val="clear" w:color="auto" w:fill="FFFFFF"/>
          <w:vertAlign w:val="superscript"/>
        </w:rPr>
        <w:t xml:space="preserve"> </w:t>
      </w:r>
      <w:r>
        <w:rPr>
          <w:shd w:val="clear" w:color="auto" w:fill="FFFFFF"/>
        </w:rPr>
        <w:t xml:space="preserve">(VSVG) </w:t>
      </w:r>
      <w:r w:rsidRPr="00553AD6">
        <w:rPr>
          <w:shd w:val="clear" w:color="auto" w:fill="FFFFFF"/>
        </w:rPr>
        <w:t xml:space="preserve">and mCherry-tagged </w:t>
      </w:r>
      <w:r>
        <w:rPr>
          <w:shd w:val="clear" w:color="auto" w:fill="FFFFFF"/>
        </w:rPr>
        <w:t>empty vector (</w:t>
      </w:r>
      <w:r w:rsidRPr="00553AD6">
        <w:rPr>
          <w:shd w:val="clear" w:color="auto" w:fill="FFFFFF"/>
        </w:rPr>
        <w:t>EV</w:t>
      </w:r>
      <w:r>
        <w:rPr>
          <w:shd w:val="clear" w:color="auto" w:fill="FFFFFF"/>
        </w:rPr>
        <w:t>)</w:t>
      </w:r>
      <w:r w:rsidRPr="00553AD6">
        <w:rPr>
          <w:shd w:val="clear" w:color="auto" w:fill="FFFFFF"/>
        </w:rPr>
        <w:t xml:space="preserve">, </w:t>
      </w:r>
      <w:r>
        <w:rPr>
          <w:shd w:val="clear" w:color="auto" w:fill="FFFFFF"/>
        </w:rPr>
        <w:t>wild-type (</w:t>
      </w:r>
      <w:r w:rsidRPr="00553AD6">
        <w:rPr>
          <w:shd w:val="clear" w:color="auto" w:fill="FFFFFF"/>
        </w:rPr>
        <w:t>WT</w:t>
      </w:r>
      <w:r>
        <w:rPr>
          <w:shd w:val="clear" w:color="auto" w:fill="FFFFFF"/>
        </w:rPr>
        <w:t>)</w:t>
      </w:r>
      <w:r w:rsidRPr="00553AD6">
        <w:rPr>
          <w:shd w:val="clear" w:color="auto" w:fill="FFFFFF"/>
        </w:rPr>
        <w:t xml:space="preserve"> or </w:t>
      </w:r>
      <w:r>
        <w:rPr>
          <w:shd w:val="clear" w:color="auto" w:fill="FFFFFF"/>
        </w:rPr>
        <w:t>cyclin F</w:t>
      </w:r>
      <w:r w:rsidRPr="008E7951">
        <w:rPr>
          <w:shd w:val="clear" w:color="auto" w:fill="FFFFFF"/>
          <w:vertAlign w:val="superscript"/>
        </w:rPr>
        <w:t>S621G</w:t>
      </w:r>
      <w:r w:rsidRPr="00553AD6">
        <w:rPr>
          <w:shd w:val="clear" w:color="auto" w:fill="FFFFFF"/>
        </w:rPr>
        <w:t xml:space="preserve">, after incubation at 40°C. </w:t>
      </w:r>
      <w:r w:rsidRPr="00553AD6">
        <w:t xml:space="preserve">Scale bar = </w:t>
      </w:r>
      <w:r>
        <w:t>10</w:t>
      </w:r>
      <w:r w:rsidRPr="00553AD6">
        <w:t xml:space="preserve"> </w:t>
      </w:r>
      <w:r w:rsidRPr="00553AD6">
        <w:rPr>
          <w:i/>
        </w:rPr>
        <w:t>µ</w:t>
      </w:r>
      <w:r w:rsidRPr="00553AD6">
        <w:t>m.</w:t>
      </w:r>
    </w:p>
    <w:p w:rsidR="00B727BA" w:rsidRDefault="00B727BA" w:rsidP="00B727BA">
      <w:pPr>
        <w:spacing w:before="100" w:after="100" w:line="480" w:lineRule="auto"/>
        <w:jc w:val="both"/>
        <w:rPr>
          <w:shd w:val="clear" w:color="auto" w:fill="FFFFFF"/>
        </w:rPr>
      </w:pPr>
      <w:r>
        <w:t>(</w:t>
      </w:r>
      <w:r w:rsidRPr="0085767F">
        <w:rPr>
          <w:b/>
          <w:bCs/>
        </w:rPr>
        <w:t>C</w:t>
      </w:r>
      <w:r>
        <w:t xml:space="preserve">) </w:t>
      </w:r>
      <w:r w:rsidRPr="007F25D5">
        <w:rPr>
          <w:shd w:val="clear" w:color="auto" w:fill="FFFFFF"/>
        </w:rPr>
        <w:t>The degree of co-localisation of VSVG</w:t>
      </w:r>
      <w:r w:rsidRPr="007F25D5">
        <w:rPr>
          <w:shd w:val="clear" w:color="auto" w:fill="FFFFFF"/>
          <w:vertAlign w:val="superscript"/>
        </w:rPr>
        <w:t>ts045</w:t>
      </w:r>
      <w:r w:rsidRPr="007F25D5">
        <w:rPr>
          <w:shd w:val="clear" w:color="auto" w:fill="FFFFFF"/>
        </w:rPr>
        <w:t xml:space="preserve"> with Calnexin was quantified using Mander’s coefficient. </w:t>
      </w:r>
    </w:p>
    <w:p w:rsidR="00B727BA" w:rsidRDefault="00B727BA" w:rsidP="00B727BA">
      <w:pPr>
        <w:spacing w:before="100" w:after="100" w:line="480" w:lineRule="auto"/>
        <w:jc w:val="both"/>
      </w:pPr>
      <w:r>
        <w:t>The g</w:t>
      </w:r>
      <w:r w:rsidRPr="009F7201">
        <w:rPr>
          <w:shd w:val="clear" w:color="auto" w:fill="FFFFFF"/>
        </w:rPr>
        <w:t xml:space="preserve">raph </w:t>
      </w:r>
      <w:r>
        <w:t>r</w:t>
      </w:r>
      <w:r w:rsidRPr="009F7201">
        <w:rPr>
          <w:shd w:val="clear" w:color="auto" w:fill="FFFFFF"/>
        </w:rPr>
        <w:t>epresent</w:t>
      </w:r>
      <w:r>
        <w:rPr>
          <w:shd w:val="clear" w:color="auto" w:fill="FFFFFF"/>
        </w:rPr>
        <w:t>s</w:t>
      </w:r>
      <w:r w:rsidRPr="009F7201">
        <w:rPr>
          <w:shd w:val="clear" w:color="auto" w:fill="FFFFFF"/>
        </w:rPr>
        <w:t xml:space="preserve"> </w:t>
      </w:r>
      <w:r>
        <w:rPr>
          <w:shd w:val="clear" w:color="auto" w:fill="FFFFFF"/>
        </w:rPr>
        <w:t>median (centre lines) and plot whiskers down to the minimum and up to the maximum value. C</w:t>
      </w:r>
      <w:r w:rsidRPr="00522C10">
        <w:rPr>
          <w:shd w:val="clear" w:color="auto" w:fill="FFFFFF"/>
        </w:rPr>
        <w:t>ircles represent</w:t>
      </w:r>
      <w:r>
        <w:rPr>
          <w:shd w:val="clear" w:color="auto" w:fill="FFFFFF"/>
        </w:rPr>
        <w:t xml:space="preserve"> for EV: n=65, WT: n=61, cyclin F</w:t>
      </w:r>
      <w:r w:rsidRPr="00F748AF">
        <w:rPr>
          <w:shd w:val="clear" w:color="auto" w:fill="FFFFFF"/>
          <w:vertAlign w:val="superscript"/>
        </w:rPr>
        <w:t>S621G</w:t>
      </w:r>
      <w:r>
        <w:rPr>
          <w:shd w:val="clear" w:color="auto" w:fill="FFFFFF"/>
        </w:rPr>
        <w:t>: n=68 cells; ns, non-significant, one-way ANOVA</w:t>
      </w:r>
      <w:r w:rsidRPr="00EA42A2">
        <w:t xml:space="preserve">. </w:t>
      </w:r>
    </w:p>
    <w:p w:rsidR="00B727BA" w:rsidRDefault="00B727BA" w:rsidP="00B727BA">
      <w:pPr>
        <w:spacing w:after="160" w:line="480" w:lineRule="auto"/>
      </w:pPr>
      <w:r>
        <w:rPr>
          <w:noProof/>
        </w:rPr>
        <w:lastRenderedPageBreak/>
        <w:br w:type="page"/>
      </w:r>
    </w:p>
    <w:p w:rsidR="00B727BA" w:rsidRDefault="00B727BA" w:rsidP="00B727BA">
      <w:pPr>
        <w:spacing w:after="160" w:line="480" w:lineRule="auto"/>
        <w:jc w:val="center"/>
      </w:pPr>
      <w:r>
        <w:rPr>
          <w:noProof/>
          <w:lang w:val="en-US" w:eastAsia="en-US"/>
        </w:rPr>
        <w:lastRenderedPageBreak/>
        <w:drawing>
          <wp:inline distT="0" distB="0" distL="0" distR="0" wp14:anchorId="65E77866" wp14:editId="7C02BB91">
            <wp:extent cx="2955925" cy="6779260"/>
            <wp:effectExtent l="0" t="0" r="0" b="254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925" cy="677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7BA" w:rsidRDefault="00B727BA" w:rsidP="00B727BA">
      <w:pPr>
        <w:spacing w:before="100" w:after="100" w:line="480" w:lineRule="auto"/>
        <w:jc w:val="both"/>
        <w:rPr>
          <w:shd w:val="clear" w:color="auto" w:fill="FFFFFF"/>
        </w:rPr>
      </w:pPr>
      <w:r w:rsidRPr="00E97C12">
        <w:rPr>
          <w:rStyle w:val="Heading2Char"/>
        </w:rPr>
        <w:t>Supplementary Figure 2</w:t>
      </w:r>
      <w:r>
        <w:rPr>
          <w:b/>
          <w:shd w:val="clear" w:color="auto" w:fill="FFFFFF"/>
        </w:rPr>
        <w:t xml:space="preserve"> </w:t>
      </w:r>
      <w:r w:rsidRPr="00553AD6">
        <w:rPr>
          <w:shd w:val="clear" w:color="auto" w:fill="FFFFFF"/>
        </w:rPr>
        <w:t xml:space="preserve">ALS/FTD mutant </w:t>
      </w:r>
      <w:r>
        <w:rPr>
          <w:shd w:val="clear" w:color="auto" w:fill="FFFFFF"/>
        </w:rPr>
        <w:t>cyclin F</w:t>
      </w:r>
      <w:r w:rsidRPr="00553AD6">
        <w:rPr>
          <w:shd w:val="clear" w:color="auto" w:fill="FFFFFF"/>
        </w:rPr>
        <w:t xml:space="preserve"> induces Golgi fragmentation</w:t>
      </w:r>
      <w:r>
        <w:rPr>
          <w:shd w:val="clear" w:color="auto" w:fill="FFFFFF"/>
        </w:rPr>
        <w:t xml:space="preserve"> in HEK293T cells</w:t>
      </w:r>
    </w:p>
    <w:p w:rsidR="00B727BA" w:rsidRDefault="00B727BA" w:rsidP="00B727BA">
      <w:pPr>
        <w:spacing w:before="100" w:after="100" w:line="480" w:lineRule="auto"/>
        <w:jc w:val="both"/>
        <w:rPr>
          <w:shd w:val="clear" w:color="auto" w:fill="FFFFFF"/>
        </w:rPr>
      </w:pPr>
      <w:r w:rsidRPr="00553AD6">
        <w:rPr>
          <w:b/>
        </w:rPr>
        <w:t>(</w:t>
      </w:r>
      <w:r>
        <w:rPr>
          <w:b/>
        </w:rPr>
        <w:t>A</w:t>
      </w:r>
      <w:r>
        <w:t xml:space="preserve">) </w:t>
      </w:r>
      <w:r w:rsidRPr="00553AD6">
        <w:rPr>
          <w:shd w:val="clear" w:color="auto" w:fill="FFFFFF"/>
        </w:rPr>
        <w:t xml:space="preserve">Fluorescent confocal microscopy images of EV or </w:t>
      </w:r>
      <w:r>
        <w:rPr>
          <w:shd w:val="clear" w:color="auto" w:fill="FFFFFF"/>
        </w:rPr>
        <w:t>cyclin F</w:t>
      </w:r>
      <w:r w:rsidRPr="00553AD6">
        <w:rPr>
          <w:shd w:val="clear" w:color="auto" w:fill="FFFFFF"/>
        </w:rPr>
        <w:t xml:space="preserve">, following immunocytochemistry for GM130 and Hoechst staining, </w:t>
      </w:r>
      <w:r w:rsidRPr="00553AD6">
        <w:t>of HEK293</w:t>
      </w:r>
      <w:r>
        <w:t>T</w:t>
      </w:r>
      <w:r w:rsidRPr="00553AD6">
        <w:t xml:space="preserve"> cells expressing</w:t>
      </w:r>
      <w:r>
        <w:rPr>
          <w:shd w:val="clear" w:color="auto" w:fill="FFFFFF"/>
        </w:rPr>
        <w:t xml:space="preserve"> EV or cyclin F. Arrows:</w:t>
      </w:r>
      <w:r w:rsidRPr="00553AD6">
        <w:rPr>
          <w:shd w:val="clear" w:color="auto" w:fill="FFFFFF"/>
        </w:rPr>
        <w:t xml:space="preserve"> Golgi fragment</w:t>
      </w:r>
      <w:r>
        <w:rPr>
          <w:shd w:val="clear" w:color="auto" w:fill="FFFFFF"/>
        </w:rPr>
        <w:t>s</w:t>
      </w:r>
      <w:r w:rsidRPr="00553AD6">
        <w:rPr>
          <w:shd w:val="clear" w:color="auto" w:fill="FFFFFF"/>
        </w:rPr>
        <w:t xml:space="preserve">. Scale bar = 10 </w:t>
      </w:r>
      <w:r w:rsidRPr="00553AD6">
        <w:rPr>
          <w:i/>
          <w:shd w:val="clear" w:color="auto" w:fill="FFFFFF"/>
        </w:rPr>
        <w:t>µ</w:t>
      </w:r>
      <w:r w:rsidRPr="00553AD6">
        <w:rPr>
          <w:shd w:val="clear" w:color="auto" w:fill="FFFFFF"/>
        </w:rPr>
        <w:t xml:space="preserve">m </w:t>
      </w:r>
    </w:p>
    <w:p w:rsidR="00B727BA" w:rsidRDefault="00B727BA" w:rsidP="00B727BA">
      <w:pPr>
        <w:spacing w:before="100" w:after="100" w:line="480" w:lineRule="auto"/>
        <w:jc w:val="both"/>
        <w:rPr>
          <w:shd w:val="clear" w:color="auto" w:fill="FFFFFF"/>
        </w:rPr>
      </w:pPr>
      <w:r>
        <w:rPr>
          <w:shd w:val="clear" w:color="auto" w:fill="FFFFFF"/>
        </w:rPr>
        <w:lastRenderedPageBreak/>
        <w:t>(</w:t>
      </w:r>
      <w:r w:rsidRPr="002E6C88">
        <w:rPr>
          <w:b/>
          <w:shd w:val="clear" w:color="auto" w:fill="FFFFFF"/>
        </w:rPr>
        <w:t>B</w:t>
      </w:r>
      <w:r>
        <w:rPr>
          <w:shd w:val="clear" w:color="auto" w:fill="FFFFFF"/>
        </w:rPr>
        <w:t xml:space="preserve">) </w:t>
      </w:r>
      <w:r w:rsidRPr="00553AD6">
        <w:rPr>
          <w:shd w:val="clear" w:color="auto" w:fill="FFFFFF"/>
        </w:rPr>
        <w:t xml:space="preserve">The proportion of cells with fragmented Golgi in </w:t>
      </w:r>
      <w:r>
        <w:rPr>
          <w:b/>
          <w:shd w:val="clear" w:color="auto" w:fill="FFFFFF"/>
        </w:rPr>
        <w:t>A</w:t>
      </w:r>
      <w:r w:rsidRPr="00553AD6">
        <w:rPr>
          <w:shd w:val="clear" w:color="auto" w:fill="FFFFFF"/>
        </w:rPr>
        <w:t xml:space="preserve"> was quantified. </w:t>
      </w:r>
    </w:p>
    <w:p w:rsidR="00B727BA" w:rsidRDefault="00B727BA" w:rsidP="00B727BA">
      <w:pPr>
        <w:spacing w:before="100" w:after="100" w:line="480" w:lineRule="auto"/>
        <w:jc w:val="both"/>
        <w:rPr>
          <w:shd w:val="clear" w:color="auto" w:fill="FFFFFF"/>
        </w:rPr>
      </w:pPr>
      <w:r>
        <w:rPr>
          <w:shd w:val="clear" w:color="auto" w:fill="FFFFFF"/>
        </w:rPr>
        <w:t>The g</w:t>
      </w:r>
      <w:r w:rsidRPr="009F7201">
        <w:rPr>
          <w:shd w:val="clear" w:color="auto" w:fill="FFFFFF"/>
        </w:rPr>
        <w:t>raph represent</w:t>
      </w:r>
      <w:r>
        <w:rPr>
          <w:shd w:val="clear" w:color="auto" w:fill="FFFFFF"/>
        </w:rPr>
        <w:t>s</w:t>
      </w:r>
      <w:r w:rsidRPr="009F7201">
        <w:rPr>
          <w:shd w:val="clear" w:color="auto" w:fill="FFFFFF"/>
        </w:rPr>
        <w:t xml:space="preserve"> </w:t>
      </w:r>
      <w:r>
        <w:rPr>
          <w:shd w:val="clear" w:color="auto" w:fill="FFFFFF"/>
        </w:rPr>
        <w:t xml:space="preserve">mean ± SEM, n = </w:t>
      </w:r>
      <w:r w:rsidRPr="00553AD6">
        <w:t>50</w:t>
      </w:r>
      <w:r>
        <w:t>+</w:t>
      </w:r>
      <w:r w:rsidRPr="00553AD6">
        <w:t xml:space="preserve"> cells per group</w:t>
      </w:r>
      <w:r>
        <w:t xml:space="preserve"> were analysed from 3 </w:t>
      </w:r>
      <w:r w:rsidRPr="00307BEA">
        <w:t>independent experiments</w:t>
      </w:r>
      <w:r>
        <w:t xml:space="preserve">, one-way ANOVA followed by a post-hoc Tukey test for multiple comparisons, </w:t>
      </w:r>
      <w:r w:rsidRPr="00553AD6">
        <w:rPr>
          <w:shd w:val="clear" w:color="auto" w:fill="FFFFFF"/>
        </w:rPr>
        <w:t>**</w:t>
      </w:r>
      <w:r w:rsidRPr="00AD275C">
        <w:rPr>
          <w:i/>
          <w:iCs/>
          <w:shd w:val="clear" w:color="auto" w:fill="FFFFFF"/>
        </w:rPr>
        <w:t>p</w:t>
      </w:r>
      <w:r w:rsidRPr="00553AD6">
        <w:rPr>
          <w:shd w:val="clear" w:color="auto" w:fill="FFFFFF"/>
        </w:rPr>
        <w:t>&lt;0.01 and ***</w:t>
      </w:r>
      <w:r w:rsidRPr="00AD275C">
        <w:rPr>
          <w:i/>
          <w:iCs/>
          <w:shd w:val="clear" w:color="auto" w:fill="FFFFFF"/>
        </w:rPr>
        <w:t>p</w:t>
      </w:r>
      <w:r w:rsidRPr="00553AD6">
        <w:rPr>
          <w:shd w:val="clear" w:color="auto" w:fill="FFFFFF"/>
        </w:rPr>
        <w:t xml:space="preserve">&lt;0.001 </w:t>
      </w:r>
      <w:r w:rsidRPr="00E71024">
        <w:rPr>
          <w:i/>
          <w:shd w:val="clear" w:color="auto" w:fill="FFFFFF"/>
        </w:rPr>
        <w:t>vs</w:t>
      </w:r>
      <w:r w:rsidRPr="00553AD6">
        <w:rPr>
          <w:shd w:val="clear" w:color="auto" w:fill="FFFFFF"/>
        </w:rPr>
        <w:t xml:space="preserve"> UT and EV;</w:t>
      </w:r>
      <w:r>
        <w:rPr>
          <w:shd w:val="clear" w:color="auto" w:fill="FFFFFF"/>
        </w:rPr>
        <w:t xml:space="preserve"> </w:t>
      </w:r>
      <w:r w:rsidRPr="00553AD6">
        <w:rPr>
          <w:shd w:val="clear" w:color="auto" w:fill="FFFFFF"/>
          <w:vertAlign w:val="superscript"/>
        </w:rPr>
        <w:t>##</w:t>
      </w:r>
      <w:r w:rsidRPr="00AD275C">
        <w:rPr>
          <w:i/>
          <w:iCs/>
          <w:shd w:val="clear" w:color="auto" w:fill="FFFFFF"/>
        </w:rPr>
        <w:t>p</w:t>
      </w:r>
      <w:r w:rsidRPr="00553AD6">
        <w:rPr>
          <w:shd w:val="clear" w:color="auto" w:fill="FFFFFF"/>
        </w:rPr>
        <w:t>&lt;0.01</w:t>
      </w:r>
      <w:r>
        <w:rPr>
          <w:shd w:val="clear" w:color="auto" w:fill="FFFFFF"/>
        </w:rPr>
        <w:t xml:space="preserve"> </w:t>
      </w:r>
      <w:r w:rsidRPr="00E71024">
        <w:rPr>
          <w:i/>
        </w:rPr>
        <w:t>vs</w:t>
      </w:r>
      <w:r w:rsidRPr="00553AD6">
        <w:t xml:space="preserve"> cells expressing </w:t>
      </w:r>
      <w:r>
        <w:t>WT</w:t>
      </w:r>
      <w:r>
        <w:rPr>
          <w:shd w:val="clear" w:color="auto" w:fill="FFFFFF"/>
        </w:rPr>
        <w:t>.</w:t>
      </w:r>
    </w:p>
    <w:p w:rsidR="00B727BA" w:rsidRDefault="00B727BA" w:rsidP="00B727BA">
      <w:pPr>
        <w:spacing w:before="100" w:after="100" w:line="480" w:lineRule="auto"/>
        <w:jc w:val="both"/>
        <w:rPr>
          <w:shd w:val="clear" w:color="auto" w:fill="FFFFFF"/>
        </w:rPr>
      </w:pPr>
    </w:p>
    <w:p w:rsidR="00B727BA" w:rsidRDefault="00B727BA" w:rsidP="00B727BA">
      <w:pPr>
        <w:spacing w:before="100" w:after="100" w:line="480" w:lineRule="auto"/>
        <w:jc w:val="both"/>
        <w:rPr>
          <w:b/>
          <w:noProof/>
          <w:shd w:val="clear" w:color="auto" w:fill="FFFFFF"/>
        </w:rPr>
      </w:pPr>
      <w:r>
        <w:rPr>
          <w:b/>
          <w:noProof/>
          <w:shd w:val="clear" w:color="auto" w:fill="FFFFFF"/>
        </w:rPr>
        <w:br w:type="page"/>
      </w:r>
    </w:p>
    <w:p w:rsidR="00B727BA" w:rsidRDefault="00B727BA" w:rsidP="00B727BA">
      <w:pPr>
        <w:spacing w:before="100" w:after="100" w:line="480" w:lineRule="auto"/>
        <w:jc w:val="both"/>
        <w:rPr>
          <w:b/>
          <w:shd w:val="clear" w:color="auto" w:fill="FFFFFF"/>
        </w:rPr>
      </w:pPr>
      <w:r>
        <w:rPr>
          <w:b/>
          <w:noProof/>
          <w:shd w:val="clear" w:color="auto" w:fill="FFFFFF"/>
          <w:lang w:val="en-US" w:eastAsia="en-US"/>
        </w:rPr>
        <w:lastRenderedPageBreak/>
        <w:drawing>
          <wp:inline distT="0" distB="0" distL="0" distR="0" wp14:anchorId="0FE293B4" wp14:editId="024914C5">
            <wp:extent cx="5162550" cy="21336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7BA" w:rsidRDefault="00B727BA" w:rsidP="00B727BA">
      <w:pPr>
        <w:spacing w:before="100" w:after="100" w:line="480" w:lineRule="auto"/>
        <w:jc w:val="both"/>
        <w:rPr>
          <w:shd w:val="clear" w:color="auto" w:fill="FFFFFF"/>
        </w:rPr>
      </w:pPr>
      <w:r w:rsidRPr="00E97C12">
        <w:rPr>
          <w:rStyle w:val="Heading2Char"/>
        </w:rPr>
        <w:t>Supplementary Figure 3</w:t>
      </w:r>
      <w:r>
        <w:rPr>
          <w:b/>
          <w:shd w:val="clear" w:color="auto" w:fill="FFFFFF"/>
        </w:rPr>
        <w:t xml:space="preserve"> </w:t>
      </w:r>
      <w:r w:rsidRPr="00553AD6">
        <w:rPr>
          <w:shd w:val="clear" w:color="auto" w:fill="FFFFFF"/>
        </w:rPr>
        <w:t xml:space="preserve">ALS/FTD mutant </w:t>
      </w:r>
      <w:r>
        <w:rPr>
          <w:shd w:val="clear" w:color="auto" w:fill="FFFFFF"/>
        </w:rPr>
        <w:t>cyclin F</w:t>
      </w:r>
      <w:r w:rsidRPr="00553AD6">
        <w:rPr>
          <w:shd w:val="clear" w:color="auto" w:fill="FFFFFF"/>
        </w:rPr>
        <w:t xml:space="preserve"> induces Golgi fragmentation</w:t>
      </w:r>
      <w:r>
        <w:rPr>
          <w:shd w:val="clear" w:color="auto" w:fill="FFFFFF"/>
        </w:rPr>
        <w:t xml:space="preserve"> in HEK293T cells co-expressing cyclin F and VSVG and incubated at 40</w:t>
      </w:r>
      <w:r w:rsidRPr="00C268E8">
        <w:rPr>
          <w:shd w:val="clear" w:color="auto" w:fill="FFFFFF"/>
          <w:vertAlign w:val="superscript"/>
        </w:rPr>
        <w:t>o</w:t>
      </w:r>
      <w:r>
        <w:rPr>
          <w:shd w:val="clear" w:color="auto" w:fill="FFFFFF"/>
        </w:rPr>
        <w:t xml:space="preserve">C overnight (see </w:t>
      </w:r>
      <w:r w:rsidRPr="00C268E8">
        <w:rPr>
          <w:b/>
          <w:bCs/>
          <w:shd w:val="clear" w:color="auto" w:fill="FFFFFF"/>
        </w:rPr>
        <w:t>Figure 1</w:t>
      </w:r>
      <w:r>
        <w:rPr>
          <w:shd w:val="clear" w:color="auto" w:fill="FFFFFF"/>
        </w:rPr>
        <w:t>)</w:t>
      </w:r>
    </w:p>
    <w:p w:rsidR="00B727BA" w:rsidRDefault="00B727BA" w:rsidP="00B727BA">
      <w:pPr>
        <w:spacing w:before="100" w:after="100" w:line="480" w:lineRule="auto"/>
        <w:jc w:val="both"/>
        <w:rPr>
          <w:shd w:val="clear" w:color="auto" w:fill="FFFFFF"/>
        </w:rPr>
      </w:pPr>
      <w:r>
        <w:rPr>
          <w:shd w:val="clear" w:color="auto" w:fill="FFFFFF"/>
        </w:rPr>
        <w:t>(</w:t>
      </w:r>
      <w:r w:rsidRPr="00C268E8">
        <w:rPr>
          <w:b/>
          <w:bCs/>
          <w:shd w:val="clear" w:color="auto" w:fill="FFFFFF"/>
        </w:rPr>
        <w:t>A</w:t>
      </w:r>
      <w:r>
        <w:rPr>
          <w:shd w:val="clear" w:color="auto" w:fill="FFFFFF"/>
        </w:rPr>
        <w:t>)</w:t>
      </w:r>
      <w:r w:rsidRPr="00C268E8">
        <w:rPr>
          <w:shd w:val="clear" w:color="auto" w:fill="FFFFFF"/>
        </w:rPr>
        <w:t xml:space="preserve"> </w:t>
      </w:r>
      <w:r w:rsidRPr="00553AD6">
        <w:rPr>
          <w:shd w:val="clear" w:color="auto" w:fill="FFFFFF"/>
        </w:rPr>
        <w:t xml:space="preserve">The proportion of cells with fragmented Golgi in </w:t>
      </w:r>
      <w:r>
        <w:rPr>
          <w:b/>
          <w:shd w:val="clear" w:color="auto" w:fill="FFFFFF"/>
        </w:rPr>
        <w:t>Figure 1</w:t>
      </w:r>
      <w:r w:rsidRPr="00553AD6">
        <w:rPr>
          <w:shd w:val="clear" w:color="auto" w:fill="FFFFFF"/>
        </w:rPr>
        <w:t xml:space="preserve"> was quantified.</w:t>
      </w:r>
    </w:p>
    <w:p w:rsidR="00B727BA" w:rsidRDefault="00B727BA" w:rsidP="00B727BA">
      <w:pPr>
        <w:spacing w:before="100" w:after="100" w:line="480" w:lineRule="auto"/>
        <w:jc w:val="both"/>
        <w:rPr>
          <w:shd w:val="clear" w:color="auto" w:fill="FFFFFF"/>
        </w:rPr>
      </w:pPr>
      <w:r>
        <w:rPr>
          <w:shd w:val="clear" w:color="auto" w:fill="FFFFFF"/>
        </w:rPr>
        <w:t>(</w:t>
      </w:r>
      <w:r w:rsidRPr="00C268E8">
        <w:rPr>
          <w:b/>
          <w:bCs/>
          <w:shd w:val="clear" w:color="auto" w:fill="FFFFFF"/>
        </w:rPr>
        <w:t>B</w:t>
      </w:r>
      <w:r>
        <w:rPr>
          <w:shd w:val="clear" w:color="auto" w:fill="FFFFFF"/>
        </w:rPr>
        <w:t>) The area covered by Golgi fragments was measured in each cell.</w:t>
      </w:r>
    </w:p>
    <w:p w:rsidR="00B727BA" w:rsidRDefault="00B727BA" w:rsidP="00B727BA">
      <w:pPr>
        <w:spacing w:before="100" w:after="100" w:line="480" w:lineRule="auto"/>
        <w:jc w:val="both"/>
        <w:rPr>
          <w:shd w:val="clear" w:color="auto" w:fill="FFFFFF"/>
        </w:rPr>
      </w:pPr>
      <w:r>
        <w:rPr>
          <w:shd w:val="clear" w:color="auto" w:fill="FFFFFF"/>
        </w:rPr>
        <w:t>The g</w:t>
      </w:r>
      <w:r w:rsidRPr="009F7201">
        <w:rPr>
          <w:shd w:val="clear" w:color="auto" w:fill="FFFFFF"/>
        </w:rPr>
        <w:t>raph represent</w:t>
      </w:r>
      <w:r>
        <w:rPr>
          <w:shd w:val="clear" w:color="auto" w:fill="FFFFFF"/>
        </w:rPr>
        <w:t>s</w:t>
      </w:r>
      <w:r w:rsidRPr="009F7201">
        <w:rPr>
          <w:shd w:val="clear" w:color="auto" w:fill="FFFFFF"/>
        </w:rPr>
        <w:t xml:space="preserve"> </w:t>
      </w:r>
      <w:r>
        <w:rPr>
          <w:shd w:val="clear" w:color="auto" w:fill="FFFFFF"/>
        </w:rPr>
        <w:t>mean ± SEM</w:t>
      </w:r>
      <w:r w:rsidRPr="00644886">
        <w:rPr>
          <w:shd w:val="clear" w:color="auto" w:fill="FFFFFF"/>
        </w:rPr>
        <w:t xml:space="preserve">, n = </w:t>
      </w:r>
      <w:r w:rsidRPr="00644886">
        <w:t>30+</w:t>
      </w:r>
      <w:r w:rsidRPr="00553AD6">
        <w:t xml:space="preserve"> cells per group</w:t>
      </w:r>
      <w:r>
        <w:t xml:space="preserve"> were analysed from 3 </w:t>
      </w:r>
      <w:r w:rsidRPr="00307BEA">
        <w:t>independent experiments</w:t>
      </w:r>
      <w:r>
        <w:t xml:space="preserve">, one-way ANOVA followed by a post-hoc Tukey test for multiple comparisons, </w:t>
      </w:r>
      <w:r>
        <w:rPr>
          <w:shd w:val="clear" w:color="auto" w:fill="FFFFFF"/>
        </w:rPr>
        <w:t xml:space="preserve">ns, non-significant, </w:t>
      </w:r>
      <w:r w:rsidRPr="00553AD6">
        <w:rPr>
          <w:shd w:val="clear" w:color="auto" w:fill="FFFFFF"/>
        </w:rPr>
        <w:t>**</w:t>
      </w:r>
      <w:r w:rsidRPr="00AD275C">
        <w:rPr>
          <w:i/>
          <w:iCs/>
          <w:shd w:val="clear" w:color="auto" w:fill="FFFFFF"/>
        </w:rPr>
        <w:t>p</w:t>
      </w:r>
      <w:r w:rsidRPr="00553AD6">
        <w:rPr>
          <w:shd w:val="clear" w:color="auto" w:fill="FFFFFF"/>
        </w:rPr>
        <w:t>&lt;0.01 and ***</w:t>
      </w:r>
      <w:r w:rsidRPr="00AD275C">
        <w:rPr>
          <w:i/>
          <w:iCs/>
          <w:shd w:val="clear" w:color="auto" w:fill="FFFFFF"/>
        </w:rPr>
        <w:t>p</w:t>
      </w:r>
      <w:r w:rsidRPr="00553AD6">
        <w:rPr>
          <w:shd w:val="clear" w:color="auto" w:fill="FFFFFF"/>
        </w:rPr>
        <w:t xml:space="preserve">&lt;0.001 </w:t>
      </w:r>
      <w:r w:rsidRPr="00E71024">
        <w:rPr>
          <w:i/>
          <w:shd w:val="clear" w:color="auto" w:fill="FFFFFF"/>
        </w:rPr>
        <w:t>vs</w:t>
      </w:r>
      <w:r w:rsidRPr="00553AD6">
        <w:rPr>
          <w:shd w:val="clear" w:color="auto" w:fill="FFFFFF"/>
        </w:rPr>
        <w:t xml:space="preserve"> UT and EV;</w:t>
      </w:r>
      <w:r>
        <w:rPr>
          <w:shd w:val="clear" w:color="auto" w:fill="FFFFFF"/>
        </w:rPr>
        <w:t xml:space="preserve"> </w:t>
      </w:r>
      <w:r w:rsidRPr="00553AD6">
        <w:rPr>
          <w:shd w:val="clear" w:color="auto" w:fill="FFFFFF"/>
          <w:vertAlign w:val="superscript"/>
        </w:rPr>
        <w:t>#</w:t>
      </w:r>
      <w:r w:rsidRPr="00AD275C">
        <w:rPr>
          <w:i/>
          <w:iCs/>
          <w:shd w:val="clear" w:color="auto" w:fill="FFFFFF"/>
        </w:rPr>
        <w:t>p</w:t>
      </w:r>
      <w:r w:rsidRPr="00553AD6">
        <w:rPr>
          <w:shd w:val="clear" w:color="auto" w:fill="FFFFFF"/>
        </w:rPr>
        <w:t>&lt;0.0</w:t>
      </w:r>
      <w:r>
        <w:rPr>
          <w:shd w:val="clear" w:color="auto" w:fill="FFFFFF"/>
        </w:rPr>
        <w:t xml:space="preserve">5, </w:t>
      </w:r>
      <w:r w:rsidRPr="00644886">
        <w:rPr>
          <w:shd w:val="clear" w:color="auto" w:fill="FFFFFF"/>
          <w:vertAlign w:val="superscript"/>
        </w:rPr>
        <w:t>##</w:t>
      </w:r>
      <w:r w:rsidRPr="00553AD6">
        <w:rPr>
          <w:shd w:val="clear" w:color="auto" w:fill="FFFFFF"/>
          <w:vertAlign w:val="superscript"/>
        </w:rPr>
        <w:t>#</w:t>
      </w:r>
      <w:r w:rsidRPr="00AD275C">
        <w:rPr>
          <w:i/>
          <w:iCs/>
          <w:shd w:val="clear" w:color="auto" w:fill="FFFFFF"/>
        </w:rPr>
        <w:t>p</w:t>
      </w:r>
      <w:r w:rsidRPr="00553AD6">
        <w:rPr>
          <w:shd w:val="clear" w:color="auto" w:fill="FFFFFF"/>
        </w:rPr>
        <w:t>&lt;0.0</w:t>
      </w:r>
      <w:r>
        <w:rPr>
          <w:shd w:val="clear" w:color="auto" w:fill="FFFFFF"/>
        </w:rPr>
        <w:t xml:space="preserve">01 </w:t>
      </w:r>
      <w:r w:rsidRPr="00E71024">
        <w:rPr>
          <w:i/>
        </w:rPr>
        <w:t>vs</w:t>
      </w:r>
      <w:r w:rsidRPr="00553AD6">
        <w:t xml:space="preserve"> cells expressing </w:t>
      </w:r>
      <w:r>
        <w:t>WT</w:t>
      </w:r>
      <w:r>
        <w:rPr>
          <w:shd w:val="clear" w:color="auto" w:fill="FFFFFF"/>
        </w:rPr>
        <w:t>.</w:t>
      </w:r>
    </w:p>
    <w:p w:rsidR="00B727BA" w:rsidRDefault="00B727BA" w:rsidP="00B727BA">
      <w:pPr>
        <w:spacing w:before="100" w:after="100" w:line="480" w:lineRule="auto"/>
        <w:jc w:val="both"/>
        <w:rPr>
          <w:shd w:val="clear" w:color="auto" w:fill="FFFFFF"/>
        </w:rPr>
      </w:pPr>
    </w:p>
    <w:p w:rsidR="00B727BA" w:rsidRPr="00065C61" w:rsidRDefault="00B727BA" w:rsidP="00B727BA">
      <w:pPr>
        <w:spacing w:before="100" w:after="100" w:line="480" w:lineRule="auto"/>
        <w:jc w:val="both"/>
      </w:pPr>
    </w:p>
    <w:p w:rsidR="00F4526F" w:rsidRDefault="00F4526F">
      <w:bookmarkStart w:id="0" w:name="_GoBack"/>
      <w:bookmarkEnd w:id="0"/>
    </w:p>
    <w:sectPr w:rsidR="00F4526F" w:rsidSect="00D93E8A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6675222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F35FC" w:rsidRDefault="00B727BA">
        <w:pPr>
          <w:pStyle w:val="Footer"/>
          <w:jc w:val="center"/>
        </w:pPr>
        <w:r>
          <w:rPr>
            <w:noProof/>
          </w:rPr>
          <w:t>1</w:t>
        </w:r>
      </w:p>
    </w:sdtContent>
  </w:sdt>
  <w:p w:rsidR="00EF35FC" w:rsidRDefault="00B727B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7BA"/>
    <w:rsid w:val="003A0A23"/>
    <w:rsid w:val="009C003D"/>
    <w:rsid w:val="00B727BA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CC91F9-2963-49BD-ABBE-D72829CB1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27BA"/>
    <w:pPr>
      <w:spacing w:after="0" w:line="240" w:lineRule="auto"/>
    </w:pPr>
    <w:rPr>
      <w:rFonts w:ascii="Times New Roman" w:hAnsi="Times New Roman" w:cs="Times New Roman"/>
      <w:sz w:val="24"/>
      <w:szCs w:val="24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727BA"/>
    <w:pPr>
      <w:keepNext/>
      <w:keepLines/>
      <w:spacing w:before="40"/>
      <w:outlineLvl w:val="1"/>
    </w:pPr>
    <w:rPr>
      <w:rFonts w:eastAsiaTheme="majorEastAsia" w:cstheme="majorBidi"/>
      <w:b/>
      <w:color w:val="000000" w:themeColor="text1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727BA"/>
    <w:rPr>
      <w:rFonts w:ascii="Times New Roman" w:eastAsiaTheme="majorEastAsia" w:hAnsi="Times New Roman" w:cstheme="majorBidi"/>
      <w:b/>
      <w:color w:val="000000" w:themeColor="text1"/>
      <w:sz w:val="24"/>
      <w:szCs w:val="26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B727BA"/>
    <w:pPr>
      <w:tabs>
        <w:tab w:val="center" w:pos="4513"/>
        <w:tab w:val="right" w:pos="9026"/>
      </w:tabs>
    </w:pPr>
    <w:rPr>
      <w:rFonts w:asciiTheme="minorHAnsi" w:hAnsiTheme="minorHAnsi" w:cstheme="minorBidi"/>
      <w:sz w:val="22"/>
      <w:szCs w:val="22"/>
      <w:lang w:val="en-AU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B727BA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317</Words>
  <Characters>1810</Characters>
  <Application>Microsoft Office Word</Application>
  <DocSecurity>0</DocSecurity>
  <Lines>15</Lines>
  <Paragraphs>4</Paragraphs>
  <ScaleCrop>false</ScaleCrop>
  <Company>Springer Nature</Company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2021-08-17T06:36:00Z</dcterms:created>
  <dcterms:modified xsi:type="dcterms:W3CDTF">2021-08-17T06:36:00Z</dcterms:modified>
</cp:coreProperties>
</file>