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1958" w14:textId="13F0301F" w:rsidR="000C371F" w:rsidRPr="00B769DD" w:rsidRDefault="00B769DD" w:rsidP="000C371F">
      <w:r w:rsidRPr="00B769DD">
        <w:t>Supplementary Table S5. Item-wise Content Validity Index (CVI) and Content Validity Ratio (CVR) Results for the PSAT-TR</w:t>
      </w:r>
    </w:p>
    <w:tbl>
      <w:tblPr>
        <w:tblStyle w:val="TabloKlavuzu"/>
        <w:tblW w:w="4859" w:type="pct"/>
        <w:tblLook w:val="04A0" w:firstRow="1" w:lastRow="0" w:firstColumn="1" w:lastColumn="0" w:noHBand="0" w:noVBand="1"/>
      </w:tblPr>
      <w:tblGrid>
        <w:gridCol w:w="1828"/>
        <w:gridCol w:w="1830"/>
        <w:gridCol w:w="2575"/>
        <w:gridCol w:w="2573"/>
      </w:tblGrid>
      <w:tr w:rsidR="00B769DD" w:rsidRPr="00B769DD" w14:paraId="25D52314" w14:textId="6A95C172" w:rsidTr="00B769DD">
        <w:trPr>
          <w:trHeight w:val="271"/>
        </w:trPr>
        <w:tc>
          <w:tcPr>
            <w:tcW w:w="1038" w:type="pct"/>
            <w:vAlign w:val="center"/>
          </w:tcPr>
          <w:p w14:paraId="6804E902" w14:textId="0A6191EA" w:rsidR="00B769DD" w:rsidRPr="00B769DD" w:rsidRDefault="00B769DD" w:rsidP="00B769DD">
            <w:r w:rsidRPr="00B769DD">
              <w:t>Item</w:t>
            </w:r>
          </w:p>
        </w:tc>
        <w:tc>
          <w:tcPr>
            <w:tcW w:w="1039" w:type="pct"/>
            <w:vAlign w:val="center"/>
          </w:tcPr>
          <w:p w14:paraId="3A5F145B" w14:textId="70D450C0" w:rsidR="00B769DD" w:rsidRPr="00B769DD" w:rsidRDefault="00B769DD" w:rsidP="00B769DD">
            <w:r w:rsidRPr="00B769DD">
              <w:t>I-CVI</w:t>
            </w:r>
          </w:p>
        </w:tc>
        <w:tc>
          <w:tcPr>
            <w:tcW w:w="1462" w:type="pct"/>
            <w:vAlign w:val="center"/>
          </w:tcPr>
          <w:p w14:paraId="520BB2BF" w14:textId="2E7F1015" w:rsidR="00B769DD" w:rsidRPr="00B769DD" w:rsidRDefault="00B769DD" w:rsidP="00B769DD">
            <w:r w:rsidRPr="00B769DD">
              <w:t>CVR</w:t>
            </w:r>
          </w:p>
        </w:tc>
        <w:tc>
          <w:tcPr>
            <w:tcW w:w="1461" w:type="pct"/>
            <w:vAlign w:val="center"/>
          </w:tcPr>
          <w:p w14:paraId="0E2B292E" w14:textId="5B98B8EA" w:rsidR="00B769DD" w:rsidRPr="00B769DD" w:rsidRDefault="00B769DD" w:rsidP="00B769DD">
            <w:r w:rsidRPr="00B769DD">
              <w:t>Acceptable Thresholds (≥ 0.78)</w:t>
            </w:r>
          </w:p>
        </w:tc>
      </w:tr>
      <w:tr w:rsidR="00B769DD" w:rsidRPr="00B769DD" w14:paraId="7722CBFE" w14:textId="28D7795E" w:rsidTr="00B769DD">
        <w:trPr>
          <w:trHeight w:val="271"/>
        </w:trPr>
        <w:tc>
          <w:tcPr>
            <w:tcW w:w="1038" w:type="pct"/>
            <w:vAlign w:val="center"/>
          </w:tcPr>
          <w:p w14:paraId="7CAF79FF" w14:textId="0BB88902" w:rsidR="00B769DD" w:rsidRPr="00B769DD" w:rsidRDefault="00B769DD" w:rsidP="00B769DD">
            <w:r w:rsidRPr="00B769DD">
              <w:t>1–9</w:t>
            </w:r>
          </w:p>
        </w:tc>
        <w:tc>
          <w:tcPr>
            <w:tcW w:w="1039" w:type="pct"/>
            <w:vAlign w:val="center"/>
          </w:tcPr>
          <w:p w14:paraId="2B839842" w14:textId="0371BD9A" w:rsidR="00B769DD" w:rsidRPr="00B769DD" w:rsidRDefault="00B769DD" w:rsidP="00B769DD">
            <w:r w:rsidRPr="00B769DD">
              <w:t>1.000</w:t>
            </w:r>
          </w:p>
        </w:tc>
        <w:tc>
          <w:tcPr>
            <w:tcW w:w="1462" w:type="pct"/>
            <w:vAlign w:val="center"/>
          </w:tcPr>
          <w:p w14:paraId="72490A73" w14:textId="7842DC78" w:rsidR="00B769DD" w:rsidRPr="00B769DD" w:rsidRDefault="00B769DD" w:rsidP="00B769DD">
            <w:r w:rsidRPr="00B769DD">
              <w:t>1.000</w:t>
            </w:r>
          </w:p>
        </w:tc>
        <w:tc>
          <w:tcPr>
            <w:tcW w:w="1461" w:type="pct"/>
            <w:vAlign w:val="center"/>
          </w:tcPr>
          <w:p w14:paraId="6D57D2B4" w14:textId="3810E865" w:rsidR="00B769DD" w:rsidRPr="00B769DD" w:rsidRDefault="00B769DD" w:rsidP="00B769DD">
            <w:r w:rsidRPr="00B769DD">
              <w:rPr>
                <w:rFonts w:ascii="Segoe UI Symbol" w:hAnsi="Segoe UI Symbol" w:cs="Segoe UI Symbol"/>
              </w:rPr>
              <w:t>✓</w:t>
            </w:r>
          </w:p>
        </w:tc>
      </w:tr>
      <w:tr w:rsidR="00B769DD" w:rsidRPr="00B769DD" w14:paraId="4644C86E" w14:textId="5D3B2F23" w:rsidTr="00B769DD">
        <w:trPr>
          <w:trHeight w:val="271"/>
        </w:trPr>
        <w:tc>
          <w:tcPr>
            <w:tcW w:w="1038" w:type="pct"/>
            <w:vAlign w:val="center"/>
          </w:tcPr>
          <w:p w14:paraId="0CF8D6F9" w14:textId="35A6570B" w:rsidR="00B769DD" w:rsidRPr="00B769DD" w:rsidRDefault="00B769DD" w:rsidP="00B769DD">
            <w:r w:rsidRPr="00B769DD">
              <w:t>10</w:t>
            </w:r>
          </w:p>
        </w:tc>
        <w:tc>
          <w:tcPr>
            <w:tcW w:w="1039" w:type="pct"/>
            <w:vAlign w:val="center"/>
          </w:tcPr>
          <w:p w14:paraId="6AC45726" w14:textId="6B3D6B23" w:rsidR="00B769DD" w:rsidRPr="00B769DD" w:rsidRDefault="00B769DD" w:rsidP="00B769DD">
            <w:r w:rsidRPr="00B769DD">
              <w:t>1.000</w:t>
            </w:r>
          </w:p>
        </w:tc>
        <w:tc>
          <w:tcPr>
            <w:tcW w:w="1462" w:type="pct"/>
            <w:vAlign w:val="center"/>
          </w:tcPr>
          <w:p w14:paraId="3826DEF9" w14:textId="06704FCB" w:rsidR="00B769DD" w:rsidRPr="00B769DD" w:rsidRDefault="00B769DD" w:rsidP="00B769DD">
            <w:r w:rsidRPr="00B769DD">
              <w:t>0.714</w:t>
            </w:r>
          </w:p>
        </w:tc>
        <w:tc>
          <w:tcPr>
            <w:tcW w:w="1461" w:type="pct"/>
            <w:vAlign w:val="center"/>
          </w:tcPr>
          <w:p w14:paraId="428C3359" w14:textId="1DB1DB4A" w:rsidR="00B769DD" w:rsidRPr="00B769DD" w:rsidRDefault="00B769DD" w:rsidP="00B769DD">
            <w:r w:rsidRPr="00B769DD">
              <w:rPr>
                <w:rFonts w:ascii="Segoe UI Symbol" w:hAnsi="Segoe UI Symbol" w:cs="Segoe UI Symbol"/>
              </w:rPr>
              <w:t>✓</w:t>
            </w:r>
          </w:p>
        </w:tc>
      </w:tr>
      <w:tr w:rsidR="00B769DD" w:rsidRPr="00B769DD" w14:paraId="04E88EC7" w14:textId="179AAAD0" w:rsidTr="00B769DD">
        <w:trPr>
          <w:trHeight w:val="271"/>
        </w:trPr>
        <w:tc>
          <w:tcPr>
            <w:tcW w:w="1038" w:type="pct"/>
            <w:vAlign w:val="center"/>
          </w:tcPr>
          <w:p w14:paraId="57C9F2DC" w14:textId="0375BD67" w:rsidR="00B769DD" w:rsidRPr="00B769DD" w:rsidRDefault="00B769DD" w:rsidP="00B769DD">
            <w:r w:rsidRPr="00B769DD">
              <w:t>11–14</w:t>
            </w:r>
          </w:p>
        </w:tc>
        <w:tc>
          <w:tcPr>
            <w:tcW w:w="1039" w:type="pct"/>
            <w:vAlign w:val="center"/>
          </w:tcPr>
          <w:p w14:paraId="45D89B13" w14:textId="47BBA9E2" w:rsidR="00B769DD" w:rsidRPr="00B769DD" w:rsidRDefault="00B769DD" w:rsidP="00B769DD">
            <w:r w:rsidRPr="00B769DD">
              <w:t>1.000</w:t>
            </w:r>
          </w:p>
        </w:tc>
        <w:tc>
          <w:tcPr>
            <w:tcW w:w="1462" w:type="pct"/>
            <w:vAlign w:val="center"/>
          </w:tcPr>
          <w:p w14:paraId="56047AD1" w14:textId="5D6AB280" w:rsidR="00B769DD" w:rsidRPr="00B769DD" w:rsidRDefault="00B769DD" w:rsidP="00B769DD">
            <w:r w:rsidRPr="00B769DD">
              <w:t>1.000</w:t>
            </w:r>
          </w:p>
        </w:tc>
        <w:tc>
          <w:tcPr>
            <w:tcW w:w="1461" w:type="pct"/>
            <w:vAlign w:val="center"/>
          </w:tcPr>
          <w:p w14:paraId="239799FF" w14:textId="614EBEC7" w:rsidR="00B769DD" w:rsidRPr="00B769DD" w:rsidRDefault="00B769DD" w:rsidP="00B769DD">
            <w:r w:rsidRPr="00B769DD">
              <w:rPr>
                <w:rFonts w:ascii="Segoe UI Symbol" w:hAnsi="Segoe UI Symbol" w:cs="Segoe UI Symbol"/>
              </w:rPr>
              <w:t>✓</w:t>
            </w:r>
          </w:p>
        </w:tc>
      </w:tr>
      <w:tr w:rsidR="00B769DD" w:rsidRPr="00B769DD" w14:paraId="48A26D4C" w14:textId="09FB9A77" w:rsidTr="00B769DD">
        <w:trPr>
          <w:trHeight w:val="271"/>
        </w:trPr>
        <w:tc>
          <w:tcPr>
            <w:tcW w:w="1038" w:type="pct"/>
            <w:vAlign w:val="center"/>
          </w:tcPr>
          <w:p w14:paraId="68BA1C84" w14:textId="19DA7809" w:rsidR="00B769DD" w:rsidRPr="00B769DD" w:rsidRDefault="00B769DD" w:rsidP="00B769DD">
            <w:r w:rsidRPr="00B769DD">
              <w:t>15</w:t>
            </w:r>
          </w:p>
        </w:tc>
        <w:tc>
          <w:tcPr>
            <w:tcW w:w="1039" w:type="pct"/>
            <w:vAlign w:val="center"/>
          </w:tcPr>
          <w:p w14:paraId="07DBD07B" w14:textId="26008FFB" w:rsidR="00B769DD" w:rsidRPr="00B769DD" w:rsidRDefault="00B769DD" w:rsidP="00B769DD">
            <w:r w:rsidRPr="00B769DD">
              <w:t>1.000</w:t>
            </w:r>
          </w:p>
        </w:tc>
        <w:tc>
          <w:tcPr>
            <w:tcW w:w="1462" w:type="pct"/>
            <w:vAlign w:val="center"/>
          </w:tcPr>
          <w:p w14:paraId="3DE300CC" w14:textId="68139C40" w:rsidR="00B769DD" w:rsidRPr="00B769DD" w:rsidRDefault="00B769DD" w:rsidP="00B769DD">
            <w:r w:rsidRPr="00B769DD">
              <w:t>0.714</w:t>
            </w:r>
          </w:p>
        </w:tc>
        <w:tc>
          <w:tcPr>
            <w:tcW w:w="1461" w:type="pct"/>
            <w:vAlign w:val="center"/>
          </w:tcPr>
          <w:p w14:paraId="14617E02" w14:textId="535E32AB" w:rsidR="00B769DD" w:rsidRPr="00B769DD" w:rsidRDefault="00B769DD" w:rsidP="00B769DD">
            <w:r w:rsidRPr="00B769DD">
              <w:rPr>
                <w:rFonts w:ascii="Segoe UI Symbol" w:hAnsi="Segoe UI Symbol" w:cs="Segoe UI Symbol"/>
              </w:rPr>
              <w:t>✓</w:t>
            </w:r>
          </w:p>
        </w:tc>
      </w:tr>
      <w:tr w:rsidR="00B769DD" w:rsidRPr="00B769DD" w14:paraId="4FAAB2E3" w14:textId="7B2BBDBB" w:rsidTr="00B769DD">
        <w:trPr>
          <w:trHeight w:val="271"/>
        </w:trPr>
        <w:tc>
          <w:tcPr>
            <w:tcW w:w="1038" w:type="pct"/>
            <w:vAlign w:val="center"/>
          </w:tcPr>
          <w:p w14:paraId="1A47D8A0" w14:textId="7C937F71" w:rsidR="00B769DD" w:rsidRPr="00B769DD" w:rsidRDefault="00B769DD" w:rsidP="00B769DD">
            <w:r w:rsidRPr="00B769DD">
              <w:t>16–18</w:t>
            </w:r>
          </w:p>
        </w:tc>
        <w:tc>
          <w:tcPr>
            <w:tcW w:w="1039" w:type="pct"/>
            <w:vAlign w:val="center"/>
          </w:tcPr>
          <w:p w14:paraId="7D8C59B9" w14:textId="593099BF" w:rsidR="00B769DD" w:rsidRPr="00B769DD" w:rsidRDefault="00B769DD" w:rsidP="00B769DD">
            <w:r w:rsidRPr="00B769DD">
              <w:t>1.000</w:t>
            </w:r>
          </w:p>
        </w:tc>
        <w:tc>
          <w:tcPr>
            <w:tcW w:w="1462" w:type="pct"/>
            <w:vAlign w:val="center"/>
          </w:tcPr>
          <w:p w14:paraId="5248D89C" w14:textId="2FF1BBFA" w:rsidR="00B769DD" w:rsidRPr="00B769DD" w:rsidRDefault="00B769DD" w:rsidP="00B769DD">
            <w:r w:rsidRPr="00B769DD">
              <w:t>1.000</w:t>
            </w:r>
          </w:p>
        </w:tc>
        <w:tc>
          <w:tcPr>
            <w:tcW w:w="1461" w:type="pct"/>
            <w:vAlign w:val="center"/>
          </w:tcPr>
          <w:p w14:paraId="581AB92D" w14:textId="67C53325" w:rsidR="00B769DD" w:rsidRPr="00B769DD" w:rsidRDefault="00B769DD" w:rsidP="00B769DD">
            <w:r w:rsidRPr="00B769DD">
              <w:rPr>
                <w:rFonts w:ascii="Segoe UI Symbol" w:hAnsi="Segoe UI Symbol" w:cs="Segoe UI Symbol"/>
              </w:rPr>
              <w:t>✓</w:t>
            </w:r>
          </w:p>
        </w:tc>
      </w:tr>
      <w:tr w:rsidR="00B769DD" w:rsidRPr="00B769DD" w14:paraId="372E18CD" w14:textId="143ED223" w:rsidTr="00B769DD">
        <w:trPr>
          <w:trHeight w:val="271"/>
        </w:trPr>
        <w:tc>
          <w:tcPr>
            <w:tcW w:w="1038" w:type="pct"/>
            <w:vAlign w:val="center"/>
          </w:tcPr>
          <w:p w14:paraId="629D7C9D" w14:textId="4BDB39D3" w:rsidR="00B769DD" w:rsidRPr="00B769DD" w:rsidRDefault="00B769DD" w:rsidP="00B769DD">
            <w:r w:rsidRPr="00B769DD">
              <w:t>19</w:t>
            </w:r>
          </w:p>
        </w:tc>
        <w:tc>
          <w:tcPr>
            <w:tcW w:w="1039" w:type="pct"/>
            <w:vAlign w:val="center"/>
          </w:tcPr>
          <w:p w14:paraId="5386F57E" w14:textId="03ADC80D" w:rsidR="00B769DD" w:rsidRPr="00B769DD" w:rsidRDefault="00B769DD" w:rsidP="00B769DD">
            <w:r w:rsidRPr="00B769DD">
              <w:t>1.000</w:t>
            </w:r>
          </w:p>
        </w:tc>
        <w:tc>
          <w:tcPr>
            <w:tcW w:w="1462" w:type="pct"/>
            <w:vAlign w:val="center"/>
          </w:tcPr>
          <w:p w14:paraId="7564CD8A" w14:textId="061335F6" w:rsidR="00B769DD" w:rsidRPr="00B769DD" w:rsidRDefault="00B769DD" w:rsidP="00B769DD">
            <w:r w:rsidRPr="00B769DD">
              <w:t>0.714</w:t>
            </w:r>
          </w:p>
        </w:tc>
        <w:tc>
          <w:tcPr>
            <w:tcW w:w="1461" w:type="pct"/>
            <w:vAlign w:val="center"/>
          </w:tcPr>
          <w:p w14:paraId="49103393" w14:textId="2A09BF1D" w:rsidR="00B769DD" w:rsidRPr="00B769DD" w:rsidRDefault="00B769DD" w:rsidP="00B769DD">
            <w:r w:rsidRPr="00B769DD">
              <w:rPr>
                <w:rFonts w:ascii="Segoe UI Symbol" w:hAnsi="Segoe UI Symbol" w:cs="Segoe UI Symbol"/>
              </w:rPr>
              <w:t>✓</w:t>
            </w:r>
          </w:p>
        </w:tc>
      </w:tr>
      <w:tr w:rsidR="00B769DD" w:rsidRPr="00B769DD" w14:paraId="4A008B3C" w14:textId="0D976459" w:rsidTr="00B769DD">
        <w:trPr>
          <w:trHeight w:val="271"/>
        </w:trPr>
        <w:tc>
          <w:tcPr>
            <w:tcW w:w="1038" w:type="pct"/>
            <w:vAlign w:val="center"/>
          </w:tcPr>
          <w:p w14:paraId="7E7A3913" w14:textId="2EDB5ECE" w:rsidR="00B769DD" w:rsidRPr="00B769DD" w:rsidRDefault="00B769DD" w:rsidP="00B769DD">
            <w:r w:rsidRPr="00B769DD">
              <w:t>20–25</w:t>
            </w:r>
          </w:p>
        </w:tc>
        <w:tc>
          <w:tcPr>
            <w:tcW w:w="1039" w:type="pct"/>
            <w:vAlign w:val="center"/>
          </w:tcPr>
          <w:p w14:paraId="61FF2086" w14:textId="53B435CB" w:rsidR="00B769DD" w:rsidRPr="00B769DD" w:rsidRDefault="00B769DD" w:rsidP="00B769DD">
            <w:r w:rsidRPr="00B769DD">
              <w:t>1.000</w:t>
            </w:r>
          </w:p>
        </w:tc>
        <w:tc>
          <w:tcPr>
            <w:tcW w:w="1462" w:type="pct"/>
            <w:vAlign w:val="center"/>
          </w:tcPr>
          <w:p w14:paraId="7ED199A7" w14:textId="343C5FBA" w:rsidR="00B769DD" w:rsidRPr="00B769DD" w:rsidRDefault="00B769DD" w:rsidP="00B769DD">
            <w:r w:rsidRPr="00B769DD">
              <w:t>1.000</w:t>
            </w:r>
          </w:p>
        </w:tc>
        <w:tc>
          <w:tcPr>
            <w:tcW w:w="1461" w:type="pct"/>
            <w:vAlign w:val="center"/>
          </w:tcPr>
          <w:p w14:paraId="03F16AED" w14:textId="0B312D5A" w:rsidR="00B769DD" w:rsidRPr="00B769DD" w:rsidRDefault="00B769DD" w:rsidP="00B769DD">
            <w:r w:rsidRPr="00B769DD">
              <w:rPr>
                <w:rFonts w:ascii="Segoe UI Symbol" w:hAnsi="Segoe UI Symbol" w:cs="Segoe UI Symbol"/>
              </w:rPr>
              <w:t>✓</w:t>
            </w:r>
          </w:p>
        </w:tc>
      </w:tr>
      <w:tr w:rsidR="00B769DD" w:rsidRPr="00B769DD" w14:paraId="6D8D6CD1" w14:textId="5F9FA93D" w:rsidTr="00B769DD">
        <w:trPr>
          <w:trHeight w:val="271"/>
        </w:trPr>
        <w:tc>
          <w:tcPr>
            <w:tcW w:w="1038" w:type="pct"/>
            <w:vAlign w:val="center"/>
          </w:tcPr>
          <w:p w14:paraId="11EA6879" w14:textId="03245C4C" w:rsidR="00B769DD" w:rsidRPr="00B769DD" w:rsidRDefault="00B769DD" w:rsidP="00B769DD">
            <w:r w:rsidRPr="00B769DD">
              <w:t>26</w:t>
            </w:r>
          </w:p>
        </w:tc>
        <w:tc>
          <w:tcPr>
            <w:tcW w:w="1039" w:type="pct"/>
            <w:vAlign w:val="center"/>
          </w:tcPr>
          <w:p w14:paraId="60BBD50A" w14:textId="782BC640" w:rsidR="00B769DD" w:rsidRPr="00B769DD" w:rsidRDefault="00B769DD" w:rsidP="00B769DD">
            <w:r w:rsidRPr="00B769DD">
              <w:t>1.000</w:t>
            </w:r>
          </w:p>
        </w:tc>
        <w:tc>
          <w:tcPr>
            <w:tcW w:w="1462" w:type="pct"/>
            <w:vAlign w:val="center"/>
          </w:tcPr>
          <w:p w14:paraId="57F85979" w14:textId="336BD7C0" w:rsidR="00B769DD" w:rsidRPr="00B769DD" w:rsidRDefault="00B769DD" w:rsidP="00B769DD">
            <w:r w:rsidRPr="00B769DD">
              <w:t>0.714</w:t>
            </w:r>
          </w:p>
        </w:tc>
        <w:tc>
          <w:tcPr>
            <w:tcW w:w="1461" w:type="pct"/>
            <w:vAlign w:val="center"/>
          </w:tcPr>
          <w:p w14:paraId="0B2C6A45" w14:textId="4B40BFE9" w:rsidR="00B769DD" w:rsidRPr="00B769DD" w:rsidRDefault="00B769DD" w:rsidP="00B769DD">
            <w:r w:rsidRPr="00B769DD">
              <w:rPr>
                <w:rFonts w:ascii="Segoe UI Symbol" w:hAnsi="Segoe UI Symbol" w:cs="Segoe UI Symbol"/>
              </w:rPr>
              <w:t>✓</w:t>
            </w:r>
          </w:p>
        </w:tc>
      </w:tr>
      <w:tr w:rsidR="00B769DD" w:rsidRPr="00B769DD" w14:paraId="74F8A216" w14:textId="41F59C21" w:rsidTr="00B769DD">
        <w:trPr>
          <w:trHeight w:val="271"/>
        </w:trPr>
        <w:tc>
          <w:tcPr>
            <w:tcW w:w="1038" w:type="pct"/>
            <w:vAlign w:val="center"/>
          </w:tcPr>
          <w:p w14:paraId="65948369" w14:textId="7498E6AB" w:rsidR="00B769DD" w:rsidRPr="00B769DD" w:rsidRDefault="00B769DD" w:rsidP="00B769DD">
            <w:r w:rsidRPr="00B769DD">
              <w:t>27–30</w:t>
            </w:r>
          </w:p>
        </w:tc>
        <w:tc>
          <w:tcPr>
            <w:tcW w:w="1039" w:type="pct"/>
            <w:vAlign w:val="center"/>
          </w:tcPr>
          <w:p w14:paraId="3AAFFD40" w14:textId="383B2040" w:rsidR="00B769DD" w:rsidRPr="00B769DD" w:rsidRDefault="00B769DD" w:rsidP="00B769DD">
            <w:r w:rsidRPr="00B769DD">
              <w:t>1.000</w:t>
            </w:r>
          </w:p>
        </w:tc>
        <w:tc>
          <w:tcPr>
            <w:tcW w:w="1462" w:type="pct"/>
            <w:vAlign w:val="center"/>
          </w:tcPr>
          <w:p w14:paraId="72BA6D1B" w14:textId="723AA5D9" w:rsidR="00B769DD" w:rsidRPr="00B769DD" w:rsidRDefault="00B769DD" w:rsidP="00B769DD">
            <w:r w:rsidRPr="00B769DD">
              <w:t>1.000</w:t>
            </w:r>
          </w:p>
        </w:tc>
        <w:tc>
          <w:tcPr>
            <w:tcW w:w="1461" w:type="pct"/>
            <w:vAlign w:val="center"/>
          </w:tcPr>
          <w:p w14:paraId="06736746" w14:textId="4EF95A89" w:rsidR="00B769DD" w:rsidRPr="00B769DD" w:rsidRDefault="00B769DD" w:rsidP="00B769DD">
            <w:r w:rsidRPr="00B769DD">
              <w:rPr>
                <w:rFonts w:ascii="Segoe UI Symbol" w:hAnsi="Segoe UI Symbol" w:cs="Segoe UI Symbol"/>
              </w:rPr>
              <w:t>✓</w:t>
            </w:r>
          </w:p>
        </w:tc>
      </w:tr>
      <w:tr w:rsidR="00B769DD" w:rsidRPr="00B769DD" w14:paraId="716C7BC3" w14:textId="144D8E45" w:rsidTr="00B769DD">
        <w:trPr>
          <w:trHeight w:val="271"/>
        </w:trPr>
        <w:tc>
          <w:tcPr>
            <w:tcW w:w="1038" w:type="pct"/>
            <w:vAlign w:val="center"/>
          </w:tcPr>
          <w:p w14:paraId="016F1ACF" w14:textId="2A9C1112" w:rsidR="00B769DD" w:rsidRPr="00B769DD" w:rsidRDefault="00B769DD" w:rsidP="00B769DD">
            <w:r w:rsidRPr="00B769DD">
              <w:t>31</w:t>
            </w:r>
          </w:p>
        </w:tc>
        <w:tc>
          <w:tcPr>
            <w:tcW w:w="1039" w:type="pct"/>
            <w:vAlign w:val="center"/>
          </w:tcPr>
          <w:p w14:paraId="7F5CE125" w14:textId="15868AA1" w:rsidR="00B769DD" w:rsidRPr="00B769DD" w:rsidRDefault="00B769DD" w:rsidP="00B769DD">
            <w:r w:rsidRPr="00B769DD">
              <w:t>1.000</w:t>
            </w:r>
          </w:p>
        </w:tc>
        <w:tc>
          <w:tcPr>
            <w:tcW w:w="1462" w:type="pct"/>
            <w:vAlign w:val="center"/>
          </w:tcPr>
          <w:p w14:paraId="7A32296F" w14:textId="1E046671" w:rsidR="00B769DD" w:rsidRPr="00B769DD" w:rsidRDefault="00B769DD" w:rsidP="00B769DD">
            <w:r w:rsidRPr="00B769DD">
              <w:t>0.714</w:t>
            </w:r>
          </w:p>
        </w:tc>
        <w:tc>
          <w:tcPr>
            <w:tcW w:w="1461" w:type="pct"/>
            <w:vAlign w:val="center"/>
          </w:tcPr>
          <w:p w14:paraId="7E57BC7D" w14:textId="29DABC5E" w:rsidR="00B769DD" w:rsidRPr="00B769DD" w:rsidRDefault="00B769DD" w:rsidP="00B769DD">
            <w:r w:rsidRPr="00B769DD">
              <w:rPr>
                <w:rFonts w:ascii="Segoe UI Symbol" w:hAnsi="Segoe UI Symbol" w:cs="Segoe UI Symbol"/>
              </w:rPr>
              <w:t>✓</w:t>
            </w:r>
          </w:p>
        </w:tc>
      </w:tr>
      <w:tr w:rsidR="00B769DD" w:rsidRPr="00B769DD" w14:paraId="059EBB7A" w14:textId="06E6F5EF" w:rsidTr="00B769DD">
        <w:trPr>
          <w:trHeight w:val="271"/>
        </w:trPr>
        <w:tc>
          <w:tcPr>
            <w:tcW w:w="1038" w:type="pct"/>
            <w:vAlign w:val="center"/>
          </w:tcPr>
          <w:p w14:paraId="69D4CC2B" w14:textId="0E0B2C99" w:rsidR="00B769DD" w:rsidRPr="00B769DD" w:rsidRDefault="00B769DD" w:rsidP="00B769DD">
            <w:r w:rsidRPr="00B769DD">
              <w:t>32–33</w:t>
            </w:r>
          </w:p>
        </w:tc>
        <w:tc>
          <w:tcPr>
            <w:tcW w:w="1039" w:type="pct"/>
            <w:vAlign w:val="center"/>
          </w:tcPr>
          <w:p w14:paraId="25113A47" w14:textId="5C89AA36" w:rsidR="00B769DD" w:rsidRPr="00B769DD" w:rsidRDefault="00B769DD" w:rsidP="00B769DD">
            <w:r w:rsidRPr="00B769DD">
              <w:t>1.000</w:t>
            </w:r>
          </w:p>
        </w:tc>
        <w:tc>
          <w:tcPr>
            <w:tcW w:w="1462" w:type="pct"/>
            <w:vAlign w:val="center"/>
          </w:tcPr>
          <w:p w14:paraId="6CD01411" w14:textId="328D8DD6" w:rsidR="00B769DD" w:rsidRPr="00B769DD" w:rsidRDefault="00B769DD" w:rsidP="00B769DD">
            <w:r w:rsidRPr="00B769DD">
              <w:t>1.000</w:t>
            </w:r>
          </w:p>
        </w:tc>
        <w:tc>
          <w:tcPr>
            <w:tcW w:w="1461" w:type="pct"/>
            <w:vAlign w:val="center"/>
          </w:tcPr>
          <w:p w14:paraId="6575824D" w14:textId="7B870B54" w:rsidR="00B769DD" w:rsidRPr="00B769DD" w:rsidRDefault="00B769DD" w:rsidP="00B769DD">
            <w:r w:rsidRPr="00B769DD">
              <w:rPr>
                <w:rFonts w:ascii="Segoe UI Symbol" w:hAnsi="Segoe UI Symbol" w:cs="Segoe UI Symbol"/>
              </w:rPr>
              <w:t>✓</w:t>
            </w:r>
          </w:p>
        </w:tc>
      </w:tr>
    </w:tbl>
    <w:p w14:paraId="226424EA" w14:textId="77777777" w:rsidR="000C371F" w:rsidRPr="00B769DD" w:rsidRDefault="000C371F" w:rsidP="000C371F">
      <w:r w:rsidRPr="00B769DD">
        <w:t>S-CVI/Ave = 1.000</w:t>
      </w:r>
    </w:p>
    <w:p w14:paraId="76E8EDAF" w14:textId="77777777" w:rsidR="000C371F" w:rsidRPr="00B769DD" w:rsidRDefault="000C371F" w:rsidP="000C371F">
      <w:r w:rsidRPr="00B769DD">
        <w:t>S-CVI/UA = 1.000</w:t>
      </w:r>
    </w:p>
    <w:p w14:paraId="60F35A1E" w14:textId="77777777" w:rsidR="000C371F" w:rsidRPr="00B769DD" w:rsidRDefault="000C371F" w:rsidP="000C371F">
      <w:r w:rsidRPr="00B769DD">
        <w:t>Mean CVR (Lawshe) = 0.957</w:t>
      </w:r>
    </w:p>
    <w:p w14:paraId="02C92629" w14:textId="06B068D4" w:rsidR="009A0A01" w:rsidRPr="00B769DD" w:rsidRDefault="006C47C4" w:rsidP="00B769DD">
      <w:r w:rsidRPr="006C47C4">
        <w:rPr>
          <w:i/>
          <w:iCs/>
        </w:rPr>
        <w:t>Legend.</w:t>
      </w:r>
      <w:r w:rsidR="00B769DD" w:rsidRPr="00B769DD">
        <w:t xml:space="preserve"> Seven experts (four obstetricians and three psychiatrists) evaluated each item for relevance and necessity. I-CVI represents the proportion of experts rating an item as “appropriate” (3) or “very appropriate” (4). CVR values were calculated according to Lawshe’s method (1975). All items exceeded the minimum acceptable thresholds (CVI ≥ 0.78, CVR ≥ 0.78), indicating strong content validity.</w:t>
      </w:r>
      <w:r w:rsidR="00B769DD" w:rsidRPr="00B769DD">
        <w:br/>
        <w:t>Abbreviations: CVI = Content Validity Index; CVR = Content Validity Ratio; I-CVI = Item-level CVI; S-CVI = Scale-level CVI; PSAT-TR = Turkish version of the Pregnancy-Specific Anxiety Tool.</w:t>
      </w:r>
    </w:p>
    <w:sectPr w:rsidR="009A0A01" w:rsidRPr="00B76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C6A4E"/>
    <w:multiLevelType w:val="multilevel"/>
    <w:tmpl w:val="F1DE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0187D"/>
    <w:multiLevelType w:val="multilevel"/>
    <w:tmpl w:val="6BC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393184">
    <w:abstractNumId w:val="0"/>
  </w:num>
  <w:num w:numId="2" w16cid:durableId="57698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B4"/>
    <w:rsid w:val="000C371F"/>
    <w:rsid w:val="003060FF"/>
    <w:rsid w:val="00334860"/>
    <w:rsid w:val="004148CD"/>
    <w:rsid w:val="00437026"/>
    <w:rsid w:val="0045599C"/>
    <w:rsid w:val="00640C40"/>
    <w:rsid w:val="006C47C4"/>
    <w:rsid w:val="008D0625"/>
    <w:rsid w:val="009A0A01"/>
    <w:rsid w:val="009D35F1"/>
    <w:rsid w:val="00AB2A78"/>
    <w:rsid w:val="00B769DD"/>
    <w:rsid w:val="00B94FB4"/>
    <w:rsid w:val="00CC2539"/>
    <w:rsid w:val="00CC3D2D"/>
    <w:rsid w:val="00D1318D"/>
    <w:rsid w:val="00FD0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B284"/>
  <w15:chartTrackingRefBased/>
  <w15:docId w15:val="{AAD7BF35-8C5E-4023-B8AE-A7934355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B4"/>
    <w:pPr>
      <w:spacing w:after="160" w:line="259" w:lineRule="auto"/>
    </w:pPr>
    <w:rPr>
      <w:noProof/>
    </w:rPr>
  </w:style>
  <w:style w:type="paragraph" w:styleId="Balk1">
    <w:name w:val="heading 1"/>
    <w:basedOn w:val="Normal"/>
    <w:next w:val="Normal"/>
    <w:link w:val="Balk1Char"/>
    <w:uiPriority w:val="9"/>
    <w:qFormat/>
    <w:rsid w:val="00B94F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B94F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B94FB4"/>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B94FB4"/>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B94FB4"/>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B94F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4F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4F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4F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4FB4"/>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B94FB4"/>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B94FB4"/>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B94FB4"/>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B94FB4"/>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B94F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4F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4F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4FB4"/>
    <w:rPr>
      <w:rFonts w:eastAsiaTheme="majorEastAsia" w:cstheme="majorBidi"/>
      <w:color w:val="272727" w:themeColor="text1" w:themeTint="D8"/>
    </w:rPr>
  </w:style>
  <w:style w:type="paragraph" w:styleId="KonuBal">
    <w:name w:val="Title"/>
    <w:basedOn w:val="Normal"/>
    <w:next w:val="Normal"/>
    <w:link w:val="KonuBalChar"/>
    <w:uiPriority w:val="10"/>
    <w:qFormat/>
    <w:rsid w:val="00B94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4F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4F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4F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4F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4FB4"/>
    <w:rPr>
      <w:i/>
      <w:iCs/>
      <w:color w:val="404040" w:themeColor="text1" w:themeTint="BF"/>
    </w:rPr>
  </w:style>
  <w:style w:type="paragraph" w:styleId="ListeParagraf">
    <w:name w:val="List Paragraph"/>
    <w:basedOn w:val="Normal"/>
    <w:uiPriority w:val="34"/>
    <w:qFormat/>
    <w:rsid w:val="00B94FB4"/>
    <w:pPr>
      <w:ind w:left="720"/>
      <w:contextualSpacing/>
    </w:pPr>
  </w:style>
  <w:style w:type="character" w:styleId="GlVurgulama">
    <w:name w:val="Intense Emphasis"/>
    <w:basedOn w:val="VarsaylanParagrafYazTipi"/>
    <w:uiPriority w:val="21"/>
    <w:qFormat/>
    <w:rsid w:val="00B94FB4"/>
    <w:rPr>
      <w:i/>
      <w:iCs/>
      <w:color w:val="365F91" w:themeColor="accent1" w:themeShade="BF"/>
    </w:rPr>
  </w:style>
  <w:style w:type="paragraph" w:styleId="GlAlnt">
    <w:name w:val="Intense Quote"/>
    <w:basedOn w:val="Normal"/>
    <w:next w:val="Normal"/>
    <w:link w:val="GlAlntChar"/>
    <w:uiPriority w:val="30"/>
    <w:qFormat/>
    <w:rsid w:val="00B94F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B94FB4"/>
    <w:rPr>
      <w:i/>
      <w:iCs/>
      <w:color w:val="365F91" w:themeColor="accent1" w:themeShade="BF"/>
    </w:rPr>
  </w:style>
  <w:style w:type="character" w:styleId="GlBavuru">
    <w:name w:val="Intense Reference"/>
    <w:basedOn w:val="VarsaylanParagrafYazTipi"/>
    <w:uiPriority w:val="32"/>
    <w:qFormat/>
    <w:rsid w:val="00B94FB4"/>
    <w:rPr>
      <w:b/>
      <w:bCs/>
      <w:smallCaps/>
      <w:color w:val="365F91" w:themeColor="accent1" w:themeShade="BF"/>
      <w:spacing w:val="5"/>
    </w:rPr>
  </w:style>
  <w:style w:type="table" w:styleId="TabloKlavuzu">
    <w:name w:val="Table Grid"/>
    <w:basedOn w:val="NormalTablo"/>
    <w:uiPriority w:val="39"/>
    <w:rsid w:val="00B9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FB4"/>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Gl">
    <w:name w:val="Strong"/>
    <w:basedOn w:val="VarsaylanParagrafYazTipi"/>
    <w:uiPriority w:val="22"/>
    <w:qFormat/>
    <w:rsid w:val="00AB2A78"/>
    <w:rPr>
      <w:b/>
      <w:bCs/>
    </w:rPr>
  </w:style>
  <w:style w:type="character" w:styleId="Vurgu">
    <w:name w:val="Emphasis"/>
    <w:basedOn w:val="VarsaylanParagrafYazTipi"/>
    <w:uiPriority w:val="20"/>
    <w:qFormat/>
    <w:rsid w:val="008D0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879</Characters>
  <Application>Microsoft Office Word</Application>
  <DocSecurity>0</DocSecurity>
  <Lines>7</Lines>
  <Paragraphs>2</Paragraphs>
  <ScaleCrop>false</ScaleCrop>
  <Company>HP</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Serhat COŞKUN</dc:creator>
  <cp:keywords/>
  <dc:description/>
  <cp:lastModifiedBy>Enes Serhat COŞKUN</cp:lastModifiedBy>
  <cp:revision>5</cp:revision>
  <dcterms:created xsi:type="dcterms:W3CDTF">2025-10-08T17:51:00Z</dcterms:created>
  <dcterms:modified xsi:type="dcterms:W3CDTF">2025-10-11T07:44:00Z</dcterms:modified>
</cp:coreProperties>
</file>