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8716E" w14:textId="3315BF5D" w:rsidR="0045599C" w:rsidRPr="00F85F7A" w:rsidRDefault="00F85F7A" w:rsidP="0045599C">
      <w:r w:rsidRPr="00F85F7A">
        <w:t>Supplementary Table S3. Factor Covariances among PSAT-TR Subscales (Confirmatory Factor Analysis)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1"/>
        <w:gridCol w:w="1394"/>
        <w:gridCol w:w="1066"/>
        <w:gridCol w:w="851"/>
        <w:gridCol w:w="716"/>
        <w:gridCol w:w="2222"/>
      </w:tblGrid>
      <w:tr w:rsidR="0045599C" w:rsidRPr="00F85F7A" w14:paraId="4696B5F5" w14:textId="77777777" w:rsidTr="00F85F7A">
        <w:tc>
          <w:tcPr>
            <w:tcW w:w="0" w:type="auto"/>
            <w:vAlign w:val="center"/>
          </w:tcPr>
          <w:p w14:paraId="25A44A73" w14:textId="77777777" w:rsidR="0045599C" w:rsidRPr="00F85F7A" w:rsidRDefault="0045599C" w:rsidP="00E401B9">
            <w:pPr>
              <w:jc w:val="center"/>
              <w:rPr>
                <w:noProof w:val="0"/>
              </w:rPr>
            </w:pPr>
            <w:r w:rsidRPr="00F85F7A">
              <w:t>Variables</w:t>
            </w:r>
          </w:p>
        </w:tc>
        <w:tc>
          <w:tcPr>
            <w:tcW w:w="0" w:type="auto"/>
            <w:vAlign w:val="center"/>
          </w:tcPr>
          <w:p w14:paraId="2AC8EE2D" w14:textId="77777777" w:rsidR="0045599C" w:rsidRPr="00F85F7A" w:rsidRDefault="0045599C" w:rsidP="00E401B9">
            <w:pPr>
              <w:jc w:val="center"/>
            </w:pPr>
            <w:r w:rsidRPr="00F85F7A">
              <w:t>Std. Estimate</w:t>
            </w:r>
          </w:p>
        </w:tc>
        <w:tc>
          <w:tcPr>
            <w:tcW w:w="0" w:type="auto"/>
            <w:vAlign w:val="center"/>
          </w:tcPr>
          <w:p w14:paraId="79660A5D" w14:textId="77777777" w:rsidR="0045599C" w:rsidRPr="00F85F7A" w:rsidRDefault="0045599C" w:rsidP="00E401B9">
            <w:pPr>
              <w:jc w:val="center"/>
            </w:pPr>
            <w:r w:rsidRPr="00F85F7A">
              <w:t>Std. Error</w:t>
            </w:r>
          </w:p>
        </w:tc>
        <w:tc>
          <w:tcPr>
            <w:tcW w:w="0" w:type="auto"/>
            <w:vAlign w:val="center"/>
          </w:tcPr>
          <w:p w14:paraId="5AA87FB4" w14:textId="77777777" w:rsidR="0045599C" w:rsidRPr="00F85F7A" w:rsidRDefault="0045599C" w:rsidP="00E401B9">
            <w:pPr>
              <w:jc w:val="center"/>
            </w:pPr>
            <w:r w:rsidRPr="00F85F7A">
              <w:t>z-value</w:t>
            </w:r>
          </w:p>
        </w:tc>
        <w:tc>
          <w:tcPr>
            <w:tcW w:w="0" w:type="auto"/>
            <w:vAlign w:val="center"/>
          </w:tcPr>
          <w:p w14:paraId="0D380837" w14:textId="77777777" w:rsidR="0045599C" w:rsidRPr="00F85F7A" w:rsidRDefault="0045599C" w:rsidP="00E401B9">
            <w:pPr>
              <w:jc w:val="center"/>
            </w:pPr>
            <w:r w:rsidRPr="00F85F7A">
              <w:t>p</w:t>
            </w:r>
          </w:p>
        </w:tc>
        <w:tc>
          <w:tcPr>
            <w:tcW w:w="0" w:type="auto"/>
            <w:vAlign w:val="center"/>
          </w:tcPr>
          <w:p w14:paraId="399FE811" w14:textId="77777777" w:rsidR="0045599C" w:rsidRPr="00F85F7A" w:rsidRDefault="0045599C" w:rsidP="00E401B9">
            <w:pPr>
              <w:jc w:val="center"/>
            </w:pPr>
            <w:r w:rsidRPr="00F85F7A">
              <w:t>95% CI (Lower–Upper)</w:t>
            </w:r>
          </w:p>
        </w:tc>
      </w:tr>
      <w:tr w:rsidR="0045599C" w:rsidRPr="00F85F7A" w14:paraId="5E7D4995" w14:textId="77777777" w:rsidTr="00F85F7A">
        <w:tc>
          <w:tcPr>
            <w:tcW w:w="0" w:type="auto"/>
            <w:vAlign w:val="center"/>
          </w:tcPr>
          <w:p w14:paraId="1ECF536B" w14:textId="77777777" w:rsidR="0045599C" w:rsidRPr="00F85F7A" w:rsidRDefault="0045599C" w:rsidP="00E401B9">
            <w:r w:rsidRPr="00F85F7A">
              <w:t>F1–F2</w:t>
            </w:r>
          </w:p>
        </w:tc>
        <w:tc>
          <w:tcPr>
            <w:tcW w:w="0" w:type="auto"/>
            <w:vAlign w:val="center"/>
          </w:tcPr>
          <w:p w14:paraId="12BFFA6E" w14:textId="77777777" w:rsidR="0045599C" w:rsidRPr="00F85F7A" w:rsidRDefault="0045599C" w:rsidP="00E401B9">
            <w:r w:rsidRPr="00F85F7A">
              <w:t>0.757</w:t>
            </w:r>
          </w:p>
        </w:tc>
        <w:tc>
          <w:tcPr>
            <w:tcW w:w="0" w:type="auto"/>
            <w:vAlign w:val="center"/>
          </w:tcPr>
          <w:p w14:paraId="69F6F72B" w14:textId="77777777" w:rsidR="0045599C" w:rsidRPr="00F85F7A" w:rsidRDefault="0045599C" w:rsidP="00E401B9">
            <w:r w:rsidRPr="00F85F7A">
              <w:t>0.026</w:t>
            </w:r>
          </w:p>
        </w:tc>
        <w:tc>
          <w:tcPr>
            <w:tcW w:w="0" w:type="auto"/>
            <w:vAlign w:val="center"/>
          </w:tcPr>
          <w:p w14:paraId="42752914" w14:textId="77777777" w:rsidR="0045599C" w:rsidRPr="00F85F7A" w:rsidRDefault="0045599C" w:rsidP="00E401B9">
            <w:r w:rsidRPr="00F85F7A">
              <w:t>29.510</w:t>
            </w:r>
          </w:p>
        </w:tc>
        <w:tc>
          <w:tcPr>
            <w:tcW w:w="0" w:type="auto"/>
            <w:vAlign w:val="center"/>
          </w:tcPr>
          <w:p w14:paraId="23B5B2CB" w14:textId="77777777" w:rsidR="0045599C" w:rsidRPr="00F85F7A" w:rsidRDefault="0045599C" w:rsidP="00E401B9">
            <w:r w:rsidRPr="00F85F7A">
              <w:t>&lt;.001</w:t>
            </w:r>
          </w:p>
        </w:tc>
        <w:tc>
          <w:tcPr>
            <w:tcW w:w="0" w:type="auto"/>
            <w:vAlign w:val="center"/>
          </w:tcPr>
          <w:p w14:paraId="0C98D703" w14:textId="77777777" w:rsidR="0045599C" w:rsidRPr="00F85F7A" w:rsidRDefault="0045599C" w:rsidP="00E401B9">
            <w:r w:rsidRPr="00F85F7A">
              <w:t>0.706–0.807</w:t>
            </w:r>
          </w:p>
        </w:tc>
      </w:tr>
      <w:tr w:rsidR="0045599C" w:rsidRPr="00F85F7A" w14:paraId="227FAB27" w14:textId="77777777" w:rsidTr="00F85F7A">
        <w:tc>
          <w:tcPr>
            <w:tcW w:w="0" w:type="auto"/>
            <w:vAlign w:val="center"/>
          </w:tcPr>
          <w:p w14:paraId="077CBB83" w14:textId="77777777" w:rsidR="0045599C" w:rsidRPr="00F85F7A" w:rsidRDefault="0045599C" w:rsidP="00E401B9">
            <w:r w:rsidRPr="00F85F7A">
              <w:t>F1–F3</w:t>
            </w:r>
          </w:p>
        </w:tc>
        <w:tc>
          <w:tcPr>
            <w:tcW w:w="0" w:type="auto"/>
            <w:vAlign w:val="center"/>
          </w:tcPr>
          <w:p w14:paraId="57325705" w14:textId="77777777" w:rsidR="0045599C" w:rsidRPr="00F85F7A" w:rsidRDefault="0045599C" w:rsidP="00E401B9">
            <w:r w:rsidRPr="00F85F7A">
              <w:t>0.722</w:t>
            </w:r>
          </w:p>
        </w:tc>
        <w:tc>
          <w:tcPr>
            <w:tcW w:w="0" w:type="auto"/>
            <w:vAlign w:val="center"/>
          </w:tcPr>
          <w:p w14:paraId="41415121" w14:textId="77777777" w:rsidR="0045599C" w:rsidRPr="00F85F7A" w:rsidRDefault="0045599C" w:rsidP="00E401B9">
            <w:r w:rsidRPr="00F85F7A">
              <w:t>0.024</w:t>
            </w:r>
          </w:p>
        </w:tc>
        <w:tc>
          <w:tcPr>
            <w:tcW w:w="0" w:type="auto"/>
            <w:vAlign w:val="center"/>
          </w:tcPr>
          <w:p w14:paraId="01D23190" w14:textId="77777777" w:rsidR="0045599C" w:rsidRPr="00F85F7A" w:rsidRDefault="0045599C" w:rsidP="00E401B9">
            <w:r w:rsidRPr="00F85F7A">
              <w:t>29.892</w:t>
            </w:r>
          </w:p>
        </w:tc>
        <w:tc>
          <w:tcPr>
            <w:tcW w:w="0" w:type="auto"/>
            <w:vAlign w:val="center"/>
          </w:tcPr>
          <w:p w14:paraId="77C41B3B" w14:textId="77777777" w:rsidR="0045599C" w:rsidRPr="00F85F7A" w:rsidRDefault="0045599C" w:rsidP="00E401B9">
            <w:r w:rsidRPr="00F85F7A">
              <w:t>&lt;.001</w:t>
            </w:r>
          </w:p>
        </w:tc>
        <w:tc>
          <w:tcPr>
            <w:tcW w:w="0" w:type="auto"/>
            <w:vAlign w:val="center"/>
          </w:tcPr>
          <w:p w14:paraId="39558FF0" w14:textId="77777777" w:rsidR="0045599C" w:rsidRPr="00F85F7A" w:rsidRDefault="0045599C" w:rsidP="00E401B9">
            <w:r w:rsidRPr="00F85F7A">
              <w:t>0.675–0.770</w:t>
            </w:r>
          </w:p>
        </w:tc>
      </w:tr>
      <w:tr w:rsidR="0045599C" w:rsidRPr="00F85F7A" w14:paraId="545B9266" w14:textId="77777777" w:rsidTr="00F85F7A">
        <w:tc>
          <w:tcPr>
            <w:tcW w:w="0" w:type="auto"/>
            <w:vAlign w:val="center"/>
          </w:tcPr>
          <w:p w14:paraId="16D5BD27" w14:textId="77777777" w:rsidR="0045599C" w:rsidRPr="00F85F7A" w:rsidRDefault="0045599C" w:rsidP="00E401B9">
            <w:r w:rsidRPr="00F85F7A">
              <w:t>F1–F4</w:t>
            </w:r>
          </w:p>
        </w:tc>
        <w:tc>
          <w:tcPr>
            <w:tcW w:w="0" w:type="auto"/>
            <w:vAlign w:val="center"/>
          </w:tcPr>
          <w:p w14:paraId="20C64DAC" w14:textId="77777777" w:rsidR="0045599C" w:rsidRPr="00F85F7A" w:rsidRDefault="0045599C" w:rsidP="00E401B9">
            <w:r w:rsidRPr="00F85F7A">
              <w:t>0.801</w:t>
            </w:r>
          </w:p>
        </w:tc>
        <w:tc>
          <w:tcPr>
            <w:tcW w:w="0" w:type="auto"/>
            <w:vAlign w:val="center"/>
          </w:tcPr>
          <w:p w14:paraId="729E846A" w14:textId="77777777" w:rsidR="0045599C" w:rsidRPr="00F85F7A" w:rsidRDefault="0045599C" w:rsidP="00E401B9">
            <w:r w:rsidRPr="00F85F7A">
              <w:t>0.054</w:t>
            </w:r>
          </w:p>
        </w:tc>
        <w:tc>
          <w:tcPr>
            <w:tcW w:w="0" w:type="auto"/>
            <w:vAlign w:val="center"/>
          </w:tcPr>
          <w:p w14:paraId="464ADAE8" w14:textId="77777777" w:rsidR="0045599C" w:rsidRPr="00F85F7A" w:rsidRDefault="0045599C" w:rsidP="00E401B9">
            <w:r w:rsidRPr="00F85F7A">
              <w:t>14.739</w:t>
            </w:r>
          </w:p>
        </w:tc>
        <w:tc>
          <w:tcPr>
            <w:tcW w:w="0" w:type="auto"/>
            <w:vAlign w:val="center"/>
          </w:tcPr>
          <w:p w14:paraId="40BCCE9F" w14:textId="77777777" w:rsidR="0045599C" w:rsidRPr="00F85F7A" w:rsidRDefault="0045599C" w:rsidP="00E401B9">
            <w:r w:rsidRPr="00F85F7A">
              <w:t>&lt;.001</w:t>
            </w:r>
          </w:p>
        </w:tc>
        <w:tc>
          <w:tcPr>
            <w:tcW w:w="0" w:type="auto"/>
            <w:vAlign w:val="center"/>
          </w:tcPr>
          <w:p w14:paraId="264F8986" w14:textId="77777777" w:rsidR="0045599C" w:rsidRPr="00F85F7A" w:rsidRDefault="0045599C" w:rsidP="00E401B9">
            <w:r w:rsidRPr="00F85F7A">
              <w:t>0.695–0.908</w:t>
            </w:r>
          </w:p>
        </w:tc>
      </w:tr>
      <w:tr w:rsidR="0045599C" w:rsidRPr="00F85F7A" w14:paraId="084B624F" w14:textId="77777777" w:rsidTr="00F85F7A">
        <w:tc>
          <w:tcPr>
            <w:tcW w:w="0" w:type="auto"/>
            <w:vAlign w:val="center"/>
          </w:tcPr>
          <w:p w14:paraId="580C4026" w14:textId="77777777" w:rsidR="0045599C" w:rsidRPr="00F85F7A" w:rsidRDefault="0045599C" w:rsidP="00E401B9">
            <w:r w:rsidRPr="00F85F7A">
              <w:t>F1–F5</w:t>
            </w:r>
          </w:p>
        </w:tc>
        <w:tc>
          <w:tcPr>
            <w:tcW w:w="0" w:type="auto"/>
            <w:vAlign w:val="center"/>
          </w:tcPr>
          <w:p w14:paraId="6905DDA0" w14:textId="77777777" w:rsidR="0045599C" w:rsidRPr="00F85F7A" w:rsidRDefault="0045599C" w:rsidP="00E401B9">
            <w:r w:rsidRPr="00F85F7A">
              <w:t>0.561</w:t>
            </w:r>
          </w:p>
        </w:tc>
        <w:tc>
          <w:tcPr>
            <w:tcW w:w="0" w:type="auto"/>
            <w:vAlign w:val="center"/>
          </w:tcPr>
          <w:p w14:paraId="21142B94" w14:textId="77777777" w:rsidR="0045599C" w:rsidRPr="00F85F7A" w:rsidRDefault="0045599C" w:rsidP="00E401B9">
            <w:r w:rsidRPr="00F85F7A">
              <w:t>0.041</w:t>
            </w:r>
          </w:p>
        </w:tc>
        <w:tc>
          <w:tcPr>
            <w:tcW w:w="0" w:type="auto"/>
            <w:vAlign w:val="center"/>
          </w:tcPr>
          <w:p w14:paraId="1DD88830" w14:textId="77777777" w:rsidR="0045599C" w:rsidRPr="00F85F7A" w:rsidRDefault="0045599C" w:rsidP="00E401B9">
            <w:r w:rsidRPr="00F85F7A">
              <w:t>13.371</w:t>
            </w:r>
          </w:p>
        </w:tc>
        <w:tc>
          <w:tcPr>
            <w:tcW w:w="0" w:type="auto"/>
            <w:vAlign w:val="center"/>
          </w:tcPr>
          <w:p w14:paraId="16ED4E7D" w14:textId="77777777" w:rsidR="0045599C" w:rsidRPr="00F85F7A" w:rsidRDefault="0045599C" w:rsidP="00E401B9">
            <w:r w:rsidRPr="00F85F7A">
              <w:t>&lt;.001</w:t>
            </w:r>
          </w:p>
        </w:tc>
        <w:tc>
          <w:tcPr>
            <w:tcW w:w="0" w:type="auto"/>
            <w:vAlign w:val="center"/>
          </w:tcPr>
          <w:p w14:paraId="28E8DBF7" w14:textId="77777777" w:rsidR="0045599C" w:rsidRPr="00F85F7A" w:rsidRDefault="0045599C" w:rsidP="00E401B9">
            <w:r w:rsidRPr="00F85F7A">
              <w:t>0.479–0.644</w:t>
            </w:r>
          </w:p>
        </w:tc>
      </w:tr>
      <w:tr w:rsidR="0045599C" w:rsidRPr="00F85F7A" w14:paraId="2ACA6CB3" w14:textId="77777777" w:rsidTr="00F85F7A">
        <w:tc>
          <w:tcPr>
            <w:tcW w:w="0" w:type="auto"/>
            <w:vAlign w:val="center"/>
          </w:tcPr>
          <w:p w14:paraId="4F07206E" w14:textId="77777777" w:rsidR="0045599C" w:rsidRPr="00F85F7A" w:rsidRDefault="0045599C" w:rsidP="00E401B9">
            <w:r w:rsidRPr="00F85F7A">
              <w:t>F1–F6</w:t>
            </w:r>
          </w:p>
        </w:tc>
        <w:tc>
          <w:tcPr>
            <w:tcW w:w="0" w:type="auto"/>
            <w:vAlign w:val="center"/>
          </w:tcPr>
          <w:p w14:paraId="5F73EA7C" w14:textId="77777777" w:rsidR="0045599C" w:rsidRPr="00F85F7A" w:rsidRDefault="0045599C" w:rsidP="00E401B9">
            <w:r w:rsidRPr="00F85F7A">
              <w:t>0.246</w:t>
            </w:r>
          </w:p>
        </w:tc>
        <w:tc>
          <w:tcPr>
            <w:tcW w:w="0" w:type="auto"/>
            <w:vAlign w:val="center"/>
          </w:tcPr>
          <w:p w14:paraId="7CF77EAB" w14:textId="77777777" w:rsidR="0045599C" w:rsidRPr="00F85F7A" w:rsidRDefault="0045599C" w:rsidP="00E401B9">
            <w:r w:rsidRPr="00F85F7A">
              <w:t>0.014</w:t>
            </w:r>
          </w:p>
        </w:tc>
        <w:tc>
          <w:tcPr>
            <w:tcW w:w="0" w:type="auto"/>
            <w:vAlign w:val="center"/>
          </w:tcPr>
          <w:p w14:paraId="3DC36E57" w14:textId="77777777" w:rsidR="0045599C" w:rsidRPr="00F85F7A" w:rsidRDefault="0045599C" w:rsidP="00E401B9">
            <w:r w:rsidRPr="00F85F7A">
              <w:t>17.519</w:t>
            </w:r>
          </w:p>
        </w:tc>
        <w:tc>
          <w:tcPr>
            <w:tcW w:w="0" w:type="auto"/>
            <w:vAlign w:val="center"/>
          </w:tcPr>
          <w:p w14:paraId="0D6CE224" w14:textId="77777777" w:rsidR="0045599C" w:rsidRPr="00F85F7A" w:rsidRDefault="0045599C" w:rsidP="00E401B9">
            <w:r w:rsidRPr="00F85F7A">
              <w:t>&lt;.001</w:t>
            </w:r>
          </w:p>
        </w:tc>
        <w:tc>
          <w:tcPr>
            <w:tcW w:w="0" w:type="auto"/>
            <w:vAlign w:val="center"/>
          </w:tcPr>
          <w:p w14:paraId="252C2D16" w14:textId="77777777" w:rsidR="0045599C" w:rsidRPr="00F85F7A" w:rsidRDefault="0045599C" w:rsidP="00E401B9">
            <w:r w:rsidRPr="00F85F7A">
              <w:t>0.219–0.274</w:t>
            </w:r>
          </w:p>
        </w:tc>
      </w:tr>
      <w:tr w:rsidR="0045599C" w:rsidRPr="00F85F7A" w14:paraId="72F78FE2" w14:textId="77777777" w:rsidTr="00F85F7A">
        <w:tc>
          <w:tcPr>
            <w:tcW w:w="0" w:type="auto"/>
            <w:vAlign w:val="center"/>
          </w:tcPr>
          <w:p w14:paraId="32B8E259" w14:textId="77777777" w:rsidR="0045599C" w:rsidRPr="00F85F7A" w:rsidRDefault="0045599C" w:rsidP="00E401B9">
            <w:r w:rsidRPr="00F85F7A">
              <w:t>F2–F3</w:t>
            </w:r>
          </w:p>
        </w:tc>
        <w:tc>
          <w:tcPr>
            <w:tcW w:w="0" w:type="auto"/>
            <w:vAlign w:val="center"/>
          </w:tcPr>
          <w:p w14:paraId="79D04992" w14:textId="77777777" w:rsidR="0045599C" w:rsidRPr="00F85F7A" w:rsidRDefault="0045599C" w:rsidP="00E401B9">
            <w:r w:rsidRPr="00F85F7A">
              <w:t>0.846</w:t>
            </w:r>
          </w:p>
        </w:tc>
        <w:tc>
          <w:tcPr>
            <w:tcW w:w="0" w:type="auto"/>
            <w:vAlign w:val="center"/>
          </w:tcPr>
          <w:p w14:paraId="46A34CB1" w14:textId="77777777" w:rsidR="0045599C" w:rsidRPr="00F85F7A" w:rsidRDefault="0045599C" w:rsidP="00E401B9">
            <w:r w:rsidRPr="00F85F7A">
              <w:t>0.042</w:t>
            </w:r>
          </w:p>
        </w:tc>
        <w:tc>
          <w:tcPr>
            <w:tcW w:w="0" w:type="auto"/>
            <w:vAlign w:val="center"/>
          </w:tcPr>
          <w:p w14:paraId="01C1F673" w14:textId="77777777" w:rsidR="0045599C" w:rsidRPr="00F85F7A" w:rsidRDefault="0045599C" w:rsidP="00E401B9">
            <w:r w:rsidRPr="00F85F7A">
              <w:t>19.929</w:t>
            </w:r>
          </w:p>
        </w:tc>
        <w:tc>
          <w:tcPr>
            <w:tcW w:w="0" w:type="auto"/>
            <w:vAlign w:val="center"/>
          </w:tcPr>
          <w:p w14:paraId="09184C95" w14:textId="77777777" w:rsidR="0045599C" w:rsidRPr="00F85F7A" w:rsidRDefault="0045599C" w:rsidP="00E401B9">
            <w:r w:rsidRPr="00F85F7A">
              <w:t>&lt;.001</w:t>
            </w:r>
          </w:p>
        </w:tc>
        <w:tc>
          <w:tcPr>
            <w:tcW w:w="0" w:type="auto"/>
            <w:vAlign w:val="center"/>
          </w:tcPr>
          <w:p w14:paraId="043EA975" w14:textId="77777777" w:rsidR="0045599C" w:rsidRPr="00F85F7A" w:rsidRDefault="0045599C" w:rsidP="00E401B9">
            <w:r w:rsidRPr="00F85F7A">
              <w:t>0.763–0.929</w:t>
            </w:r>
          </w:p>
        </w:tc>
      </w:tr>
      <w:tr w:rsidR="0045599C" w:rsidRPr="00F85F7A" w14:paraId="018EAA01" w14:textId="77777777" w:rsidTr="00F85F7A">
        <w:tc>
          <w:tcPr>
            <w:tcW w:w="0" w:type="auto"/>
            <w:vAlign w:val="center"/>
          </w:tcPr>
          <w:p w14:paraId="1E57D05C" w14:textId="77777777" w:rsidR="0045599C" w:rsidRPr="00F85F7A" w:rsidRDefault="0045599C" w:rsidP="00E401B9">
            <w:r w:rsidRPr="00F85F7A">
              <w:t>F2–F4</w:t>
            </w:r>
          </w:p>
        </w:tc>
        <w:tc>
          <w:tcPr>
            <w:tcW w:w="0" w:type="auto"/>
            <w:vAlign w:val="center"/>
          </w:tcPr>
          <w:p w14:paraId="29E124BA" w14:textId="77777777" w:rsidR="0045599C" w:rsidRPr="00F85F7A" w:rsidRDefault="0045599C" w:rsidP="00E401B9">
            <w:r w:rsidRPr="00F85F7A">
              <w:t>0.775</w:t>
            </w:r>
          </w:p>
        </w:tc>
        <w:tc>
          <w:tcPr>
            <w:tcW w:w="0" w:type="auto"/>
            <w:vAlign w:val="center"/>
          </w:tcPr>
          <w:p w14:paraId="3D4ABC1A" w14:textId="77777777" w:rsidR="0045599C" w:rsidRPr="00F85F7A" w:rsidRDefault="0045599C" w:rsidP="00E401B9">
            <w:r w:rsidRPr="00F85F7A">
              <w:t>0.067</w:t>
            </w:r>
          </w:p>
        </w:tc>
        <w:tc>
          <w:tcPr>
            <w:tcW w:w="0" w:type="auto"/>
            <w:vAlign w:val="center"/>
          </w:tcPr>
          <w:p w14:paraId="771F04B0" w14:textId="77777777" w:rsidR="0045599C" w:rsidRPr="00F85F7A" w:rsidRDefault="0045599C" w:rsidP="00E401B9">
            <w:r w:rsidRPr="00F85F7A">
              <w:t>11.608</w:t>
            </w:r>
          </w:p>
        </w:tc>
        <w:tc>
          <w:tcPr>
            <w:tcW w:w="0" w:type="auto"/>
            <w:vAlign w:val="center"/>
          </w:tcPr>
          <w:p w14:paraId="7C03CC92" w14:textId="77777777" w:rsidR="0045599C" w:rsidRPr="00F85F7A" w:rsidRDefault="0045599C" w:rsidP="00E401B9">
            <w:r w:rsidRPr="00F85F7A">
              <w:t>&lt;.001</w:t>
            </w:r>
          </w:p>
        </w:tc>
        <w:tc>
          <w:tcPr>
            <w:tcW w:w="0" w:type="auto"/>
            <w:vAlign w:val="center"/>
          </w:tcPr>
          <w:p w14:paraId="38CBE7F6" w14:textId="77777777" w:rsidR="0045599C" w:rsidRPr="00F85F7A" w:rsidRDefault="0045599C" w:rsidP="00E401B9">
            <w:r w:rsidRPr="00F85F7A">
              <w:t>0.644–0.905</w:t>
            </w:r>
          </w:p>
        </w:tc>
      </w:tr>
      <w:tr w:rsidR="0045599C" w:rsidRPr="00F85F7A" w14:paraId="0AB0CE37" w14:textId="77777777" w:rsidTr="00F85F7A">
        <w:tc>
          <w:tcPr>
            <w:tcW w:w="0" w:type="auto"/>
            <w:vAlign w:val="center"/>
          </w:tcPr>
          <w:p w14:paraId="591C8F7A" w14:textId="77777777" w:rsidR="0045599C" w:rsidRPr="00F85F7A" w:rsidRDefault="0045599C" w:rsidP="00E401B9">
            <w:r w:rsidRPr="00F85F7A">
              <w:t>F2–F5</w:t>
            </w:r>
          </w:p>
        </w:tc>
        <w:tc>
          <w:tcPr>
            <w:tcW w:w="0" w:type="auto"/>
            <w:vAlign w:val="center"/>
          </w:tcPr>
          <w:p w14:paraId="37B90E1E" w14:textId="77777777" w:rsidR="0045599C" w:rsidRPr="00F85F7A" w:rsidRDefault="0045599C" w:rsidP="00E401B9">
            <w:r w:rsidRPr="00F85F7A">
              <w:t>0.549</w:t>
            </w:r>
          </w:p>
        </w:tc>
        <w:tc>
          <w:tcPr>
            <w:tcW w:w="0" w:type="auto"/>
            <w:vAlign w:val="center"/>
          </w:tcPr>
          <w:p w14:paraId="515F6F30" w14:textId="77777777" w:rsidR="0045599C" w:rsidRPr="00F85F7A" w:rsidRDefault="0045599C" w:rsidP="00E401B9">
            <w:r w:rsidRPr="00F85F7A">
              <w:t>0.058</w:t>
            </w:r>
          </w:p>
        </w:tc>
        <w:tc>
          <w:tcPr>
            <w:tcW w:w="0" w:type="auto"/>
            <w:vAlign w:val="center"/>
          </w:tcPr>
          <w:p w14:paraId="5539598E" w14:textId="77777777" w:rsidR="0045599C" w:rsidRPr="00F85F7A" w:rsidRDefault="0045599C" w:rsidP="00E401B9">
            <w:r w:rsidRPr="00F85F7A">
              <w:t>9.388</w:t>
            </w:r>
          </w:p>
        </w:tc>
        <w:tc>
          <w:tcPr>
            <w:tcW w:w="0" w:type="auto"/>
            <w:vAlign w:val="center"/>
          </w:tcPr>
          <w:p w14:paraId="142D839E" w14:textId="77777777" w:rsidR="0045599C" w:rsidRPr="00F85F7A" w:rsidRDefault="0045599C" w:rsidP="00E401B9">
            <w:r w:rsidRPr="00F85F7A">
              <w:t>&lt;.001</w:t>
            </w:r>
          </w:p>
        </w:tc>
        <w:tc>
          <w:tcPr>
            <w:tcW w:w="0" w:type="auto"/>
            <w:vAlign w:val="center"/>
          </w:tcPr>
          <w:p w14:paraId="311EEE82" w14:textId="77777777" w:rsidR="0045599C" w:rsidRPr="00F85F7A" w:rsidRDefault="0045599C" w:rsidP="00E401B9">
            <w:r w:rsidRPr="00F85F7A">
              <w:t>0.435–0.664</w:t>
            </w:r>
          </w:p>
        </w:tc>
      </w:tr>
      <w:tr w:rsidR="0045599C" w:rsidRPr="00F85F7A" w14:paraId="5B2D7392" w14:textId="77777777" w:rsidTr="00F85F7A">
        <w:tc>
          <w:tcPr>
            <w:tcW w:w="0" w:type="auto"/>
            <w:vAlign w:val="center"/>
          </w:tcPr>
          <w:p w14:paraId="3BE3D76B" w14:textId="77777777" w:rsidR="0045599C" w:rsidRPr="00F85F7A" w:rsidRDefault="0045599C" w:rsidP="00E401B9">
            <w:r w:rsidRPr="00F85F7A">
              <w:t>F2–F6</w:t>
            </w:r>
          </w:p>
        </w:tc>
        <w:tc>
          <w:tcPr>
            <w:tcW w:w="0" w:type="auto"/>
            <w:vAlign w:val="center"/>
          </w:tcPr>
          <w:p w14:paraId="2ECBE9A1" w14:textId="77777777" w:rsidR="0045599C" w:rsidRPr="00F85F7A" w:rsidRDefault="0045599C" w:rsidP="00E401B9">
            <w:r w:rsidRPr="00F85F7A">
              <w:t>0.217</w:t>
            </w:r>
          </w:p>
        </w:tc>
        <w:tc>
          <w:tcPr>
            <w:tcW w:w="0" w:type="auto"/>
            <w:vAlign w:val="center"/>
          </w:tcPr>
          <w:p w14:paraId="5FCEA372" w14:textId="77777777" w:rsidR="0045599C" w:rsidRPr="00F85F7A" w:rsidRDefault="0045599C" w:rsidP="00E401B9">
            <w:r w:rsidRPr="00F85F7A">
              <w:t>0.026</w:t>
            </w:r>
          </w:p>
        </w:tc>
        <w:tc>
          <w:tcPr>
            <w:tcW w:w="0" w:type="auto"/>
            <w:vAlign w:val="center"/>
          </w:tcPr>
          <w:p w14:paraId="15614414" w14:textId="77777777" w:rsidR="0045599C" w:rsidRPr="00F85F7A" w:rsidRDefault="0045599C" w:rsidP="00E401B9">
            <w:r w:rsidRPr="00F85F7A">
              <w:t>8.464</w:t>
            </w:r>
          </w:p>
        </w:tc>
        <w:tc>
          <w:tcPr>
            <w:tcW w:w="0" w:type="auto"/>
            <w:vAlign w:val="center"/>
          </w:tcPr>
          <w:p w14:paraId="4F7D69D0" w14:textId="77777777" w:rsidR="0045599C" w:rsidRPr="00F85F7A" w:rsidRDefault="0045599C" w:rsidP="00E401B9">
            <w:r w:rsidRPr="00F85F7A">
              <w:t>&lt;.001</w:t>
            </w:r>
          </w:p>
        </w:tc>
        <w:tc>
          <w:tcPr>
            <w:tcW w:w="0" w:type="auto"/>
            <w:vAlign w:val="center"/>
          </w:tcPr>
          <w:p w14:paraId="19513365" w14:textId="77777777" w:rsidR="0045599C" w:rsidRPr="00F85F7A" w:rsidRDefault="0045599C" w:rsidP="00E401B9">
            <w:r w:rsidRPr="00F85F7A">
              <w:t>0.167–0.266</w:t>
            </w:r>
          </w:p>
        </w:tc>
      </w:tr>
      <w:tr w:rsidR="0045599C" w:rsidRPr="00F85F7A" w14:paraId="78380EF0" w14:textId="77777777" w:rsidTr="00F85F7A">
        <w:tc>
          <w:tcPr>
            <w:tcW w:w="0" w:type="auto"/>
            <w:vAlign w:val="center"/>
          </w:tcPr>
          <w:p w14:paraId="79B7859F" w14:textId="77777777" w:rsidR="0045599C" w:rsidRPr="00F85F7A" w:rsidRDefault="0045599C" w:rsidP="00E401B9">
            <w:r w:rsidRPr="00F85F7A">
              <w:t>F3–F4</w:t>
            </w:r>
          </w:p>
        </w:tc>
        <w:tc>
          <w:tcPr>
            <w:tcW w:w="0" w:type="auto"/>
            <w:vAlign w:val="center"/>
          </w:tcPr>
          <w:p w14:paraId="108E1FF2" w14:textId="77777777" w:rsidR="0045599C" w:rsidRPr="00F85F7A" w:rsidRDefault="0045599C" w:rsidP="00E401B9">
            <w:r w:rsidRPr="00F85F7A">
              <w:t>0.839</w:t>
            </w:r>
          </w:p>
        </w:tc>
        <w:tc>
          <w:tcPr>
            <w:tcW w:w="0" w:type="auto"/>
            <w:vAlign w:val="center"/>
          </w:tcPr>
          <w:p w14:paraId="376C5211" w14:textId="77777777" w:rsidR="0045599C" w:rsidRPr="00F85F7A" w:rsidRDefault="0045599C" w:rsidP="00E401B9">
            <w:r w:rsidRPr="00F85F7A">
              <w:t>0.072</w:t>
            </w:r>
          </w:p>
        </w:tc>
        <w:tc>
          <w:tcPr>
            <w:tcW w:w="0" w:type="auto"/>
            <w:vAlign w:val="center"/>
          </w:tcPr>
          <w:p w14:paraId="51953722" w14:textId="77777777" w:rsidR="0045599C" w:rsidRPr="00F85F7A" w:rsidRDefault="0045599C" w:rsidP="00E401B9">
            <w:r w:rsidRPr="00F85F7A">
              <w:t>11.723</w:t>
            </w:r>
          </w:p>
        </w:tc>
        <w:tc>
          <w:tcPr>
            <w:tcW w:w="0" w:type="auto"/>
            <w:vAlign w:val="center"/>
          </w:tcPr>
          <w:p w14:paraId="6470EED6" w14:textId="77777777" w:rsidR="0045599C" w:rsidRPr="00F85F7A" w:rsidRDefault="0045599C" w:rsidP="00E401B9">
            <w:r w:rsidRPr="00F85F7A">
              <w:t>&lt;.001</w:t>
            </w:r>
          </w:p>
        </w:tc>
        <w:tc>
          <w:tcPr>
            <w:tcW w:w="0" w:type="auto"/>
            <w:vAlign w:val="center"/>
          </w:tcPr>
          <w:p w14:paraId="5B877FA0" w14:textId="77777777" w:rsidR="0045599C" w:rsidRPr="00F85F7A" w:rsidRDefault="0045599C" w:rsidP="00E401B9">
            <w:r w:rsidRPr="00F85F7A">
              <w:t>0.699–0.980</w:t>
            </w:r>
          </w:p>
        </w:tc>
      </w:tr>
      <w:tr w:rsidR="0045599C" w:rsidRPr="00F85F7A" w14:paraId="7140B605" w14:textId="77777777" w:rsidTr="00F85F7A">
        <w:tc>
          <w:tcPr>
            <w:tcW w:w="0" w:type="auto"/>
            <w:vAlign w:val="center"/>
          </w:tcPr>
          <w:p w14:paraId="19A20A05" w14:textId="77777777" w:rsidR="0045599C" w:rsidRPr="00F85F7A" w:rsidRDefault="0045599C" w:rsidP="00E401B9">
            <w:r w:rsidRPr="00F85F7A">
              <w:t>F3–F5</w:t>
            </w:r>
          </w:p>
        </w:tc>
        <w:tc>
          <w:tcPr>
            <w:tcW w:w="0" w:type="auto"/>
            <w:vAlign w:val="center"/>
          </w:tcPr>
          <w:p w14:paraId="78672CF7" w14:textId="77777777" w:rsidR="0045599C" w:rsidRPr="00F85F7A" w:rsidRDefault="0045599C" w:rsidP="00E401B9">
            <w:r w:rsidRPr="00F85F7A">
              <w:t>0.557</w:t>
            </w:r>
          </w:p>
        </w:tc>
        <w:tc>
          <w:tcPr>
            <w:tcW w:w="0" w:type="auto"/>
            <w:vAlign w:val="center"/>
          </w:tcPr>
          <w:p w14:paraId="2935070D" w14:textId="77777777" w:rsidR="0045599C" w:rsidRPr="00F85F7A" w:rsidRDefault="0045599C" w:rsidP="00E401B9">
            <w:r w:rsidRPr="00F85F7A">
              <w:t>0.058</w:t>
            </w:r>
          </w:p>
        </w:tc>
        <w:tc>
          <w:tcPr>
            <w:tcW w:w="0" w:type="auto"/>
            <w:vAlign w:val="center"/>
          </w:tcPr>
          <w:p w14:paraId="725C595B" w14:textId="77777777" w:rsidR="0045599C" w:rsidRPr="00F85F7A" w:rsidRDefault="0045599C" w:rsidP="00E401B9">
            <w:r w:rsidRPr="00F85F7A">
              <w:t>9.565</w:t>
            </w:r>
          </w:p>
        </w:tc>
        <w:tc>
          <w:tcPr>
            <w:tcW w:w="0" w:type="auto"/>
            <w:vAlign w:val="center"/>
          </w:tcPr>
          <w:p w14:paraId="5BDCFDE1" w14:textId="77777777" w:rsidR="0045599C" w:rsidRPr="00F85F7A" w:rsidRDefault="0045599C" w:rsidP="00E401B9">
            <w:r w:rsidRPr="00F85F7A">
              <w:t>&lt;.001</w:t>
            </w:r>
          </w:p>
        </w:tc>
        <w:tc>
          <w:tcPr>
            <w:tcW w:w="0" w:type="auto"/>
            <w:vAlign w:val="center"/>
          </w:tcPr>
          <w:p w14:paraId="48048A76" w14:textId="77777777" w:rsidR="0045599C" w:rsidRPr="00F85F7A" w:rsidRDefault="0045599C" w:rsidP="00E401B9">
            <w:r w:rsidRPr="00F85F7A">
              <w:t>0.443–0.671</w:t>
            </w:r>
          </w:p>
        </w:tc>
      </w:tr>
      <w:tr w:rsidR="0045599C" w:rsidRPr="00F85F7A" w14:paraId="7F114B8C" w14:textId="77777777" w:rsidTr="00F85F7A">
        <w:tc>
          <w:tcPr>
            <w:tcW w:w="0" w:type="auto"/>
            <w:vAlign w:val="center"/>
          </w:tcPr>
          <w:p w14:paraId="5A93BFE5" w14:textId="77777777" w:rsidR="0045599C" w:rsidRPr="00F85F7A" w:rsidRDefault="0045599C" w:rsidP="00E401B9">
            <w:r w:rsidRPr="00F85F7A">
              <w:t>F3–F6</w:t>
            </w:r>
          </w:p>
        </w:tc>
        <w:tc>
          <w:tcPr>
            <w:tcW w:w="0" w:type="auto"/>
            <w:vAlign w:val="center"/>
          </w:tcPr>
          <w:p w14:paraId="7135AB8D" w14:textId="77777777" w:rsidR="0045599C" w:rsidRPr="00F85F7A" w:rsidRDefault="0045599C" w:rsidP="00E401B9">
            <w:r w:rsidRPr="00F85F7A">
              <w:t>0.252</w:t>
            </w:r>
          </w:p>
        </w:tc>
        <w:tc>
          <w:tcPr>
            <w:tcW w:w="0" w:type="auto"/>
            <w:vAlign w:val="center"/>
          </w:tcPr>
          <w:p w14:paraId="330327A0" w14:textId="77777777" w:rsidR="0045599C" w:rsidRPr="00F85F7A" w:rsidRDefault="0045599C" w:rsidP="00E401B9">
            <w:r w:rsidRPr="00F85F7A">
              <w:t>0.027</w:t>
            </w:r>
          </w:p>
        </w:tc>
        <w:tc>
          <w:tcPr>
            <w:tcW w:w="0" w:type="auto"/>
            <w:vAlign w:val="center"/>
          </w:tcPr>
          <w:p w14:paraId="1B13F214" w14:textId="77777777" w:rsidR="0045599C" w:rsidRPr="00F85F7A" w:rsidRDefault="0045599C" w:rsidP="00E401B9">
            <w:r w:rsidRPr="00F85F7A">
              <w:t>9.206</w:t>
            </w:r>
          </w:p>
        </w:tc>
        <w:tc>
          <w:tcPr>
            <w:tcW w:w="0" w:type="auto"/>
            <w:vAlign w:val="center"/>
          </w:tcPr>
          <w:p w14:paraId="673AB1A5" w14:textId="77777777" w:rsidR="0045599C" w:rsidRPr="00F85F7A" w:rsidRDefault="0045599C" w:rsidP="00E401B9">
            <w:r w:rsidRPr="00F85F7A">
              <w:t>&lt;.001</w:t>
            </w:r>
          </w:p>
        </w:tc>
        <w:tc>
          <w:tcPr>
            <w:tcW w:w="0" w:type="auto"/>
            <w:vAlign w:val="center"/>
          </w:tcPr>
          <w:p w14:paraId="51BDF29D" w14:textId="77777777" w:rsidR="0045599C" w:rsidRPr="00F85F7A" w:rsidRDefault="0045599C" w:rsidP="00E401B9">
            <w:r w:rsidRPr="00F85F7A">
              <w:t>0.199–0.306</w:t>
            </w:r>
          </w:p>
        </w:tc>
      </w:tr>
      <w:tr w:rsidR="0045599C" w:rsidRPr="00F85F7A" w14:paraId="5F026966" w14:textId="77777777" w:rsidTr="00F85F7A">
        <w:tc>
          <w:tcPr>
            <w:tcW w:w="0" w:type="auto"/>
            <w:vAlign w:val="center"/>
          </w:tcPr>
          <w:p w14:paraId="558C23E2" w14:textId="77777777" w:rsidR="0045599C" w:rsidRPr="00F85F7A" w:rsidRDefault="0045599C" w:rsidP="00E401B9">
            <w:r w:rsidRPr="00F85F7A">
              <w:t>F4–F5</w:t>
            </w:r>
          </w:p>
        </w:tc>
        <w:tc>
          <w:tcPr>
            <w:tcW w:w="0" w:type="auto"/>
            <w:vAlign w:val="center"/>
          </w:tcPr>
          <w:p w14:paraId="7C496FD6" w14:textId="77777777" w:rsidR="0045599C" w:rsidRPr="00F85F7A" w:rsidRDefault="0045599C" w:rsidP="00E401B9">
            <w:r w:rsidRPr="00F85F7A">
              <w:t>0.788</w:t>
            </w:r>
          </w:p>
        </w:tc>
        <w:tc>
          <w:tcPr>
            <w:tcW w:w="0" w:type="auto"/>
            <w:vAlign w:val="center"/>
          </w:tcPr>
          <w:p w14:paraId="285463AC" w14:textId="77777777" w:rsidR="0045599C" w:rsidRPr="00F85F7A" w:rsidRDefault="0045599C" w:rsidP="00E401B9">
            <w:r w:rsidRPr="00F85F7A">
              <w:t>0.096</w:t>
            </w:r>
          </w:p>
        </w:tc>
        <w:tc>
          <w:tcPr>
            <w:tcW w:w="0" w:type="auto"/>
            <w:vAlign w:val="center"/>
          </w:tcPr>
          <w:p w14:paraId="48808BEF" w14:textId="77777777" w:rsidR="0045599C" w:rsidRPr="00F85F7A" w:rsidRDefault="0045599C" w:rsidP="00E401B9">
            <w:r w:rsidRPr="00F85F7A">
              <w:t>8.197</w:t>
            </w:r>
          </w:p>
        </w:tc>
        <w:tc>
          <w:tcPr>
            <w:tcW w:w="0" w:type="auto"/>
            <w:vAlign w:val="center"/>
          </w:tcPr>
          <w:p w14:paraId="0685307C" w14:textId="77777777" w:rsidR="0045599C" w:rsidRPr="00F85F7A" w:rsidRDefault="0045599C" w:rsidP="00E401B9">
            <w:r w:rsidRPr="00F85F7A">
              <w:t>&lt;.001</w:t>
            </w:r>
          </w:p>
        </w:tc>
        <w:tc>
          <w:tcPr>
            <w:tcW w:w="0" w:type="auto"/>
            <w:vAlign w:val="center"/>
          </w:tcPr>
          <w:p w14:paraId="3EA1C4A9" w14:textId="77777777" w:rsidR="0045599C" w:rsidRPr="00F85F7A" w:rsidRDefault="0045599C" w:rsidP="00E401B9">
            <w:r w:rsidRPr="00F85F7A">
              <w:t>0.599–0.978</w:t>
            </w:r>
          </w:p>
        </w:tc>
      </w:tr>
      <w:tr w:rsidR="0045599C" w:rsidRPr="00F85F7A" w14:paraId="1E11FAB0" w14:textId="77777777" w:rsidTr="00F85F7A">
        <w:tc>
          <w:tcPr>
            <w:tcW w:w="0" w:type="auto"/>
            <w:vAlign w:val="center"/>
          </w:tcPr>
          <w:p w14:paraId="7A925E5E" w14:textId="77777777" w:rsidR="0045599C" w:rsidRPr="00F85F7A" w:rsidRDefault="0045599C" w:rsidP="00E401B9">
            <w:r w:rsidRPr="00F85F7A">
              <w:t>F4–F6</w:t>
            </w:r>
          </w:p>
        </w:tc>
        <w:tc>
          <w:tcPr>
            <w:tcW w:w="0" w:type="auto"/>
            <w:vAlign w:val="center"/>
          </w:tcPr>
          <w:p w14:paraId="5C3B4710" w14:textId="77777777" w:rsidR="0045599C" w:rsidRPr="00F85F7A" w:rsidRDefault="0045599C" w:rsidP="00E401B9">
            <w:r w:rsidRPr="00F85F7A">
              <w:t>0.444</w:t>
            </w:r>
          </w:p>
        </w:tc>
        <w:tc>
          <w:tcPr>
            <w:tcW w:w="0" w:type="auto"/>
            <w:vAlign w:val="center"/>
          </w:tcPr>
          <w:p w14:paraId="69222805" w14:textId="77777777" w:rsidR="0045599C" w:rsidRPr="00F85F7A" w:rsidRDefault="0045599C" w:rsidP="00E401B9">
            <w:r w:rsidRPr="00F85F7A">
              <w:t>0.049</w:t>
            </w:r>
          </w:p>
        </w:tc>
        <w:tc>
          <w:tcPr>
            <w:tcW w:w="0" w:type="auto"/>
            <w:vAlign w:val="center"/>
          </w:tcPr>
          <w:p w14:paraId="5E6647A4" w14:textId="77777777" w:rsidR="0045599C" w:rsidRPr="00F85F7A" w:rsidRDefault="0045599C" w:rsidP="00E401B9">
            <w:r w:rsidRPr="00F85F7A">
              <w:t>9.044</w:t>
            </w:r>
          </w:p>
        </w:tc>
        <w:tc>
          <w:tcPr>
            <w:tcW w:w="0" w:type="auto"/>
            <w:vAlign w:val="center"/>
          </w:tcPr>
          <w:p w14:paraId="14D75A23" w14:textId="77777777" w:rsidR="0045599C" w:rsidRPr="00F85F7A" w:rsidRDefault="0045599C" w:rsidP="00E401B9">
            <w:r w:rsidRPr="00F85F7A">
              <w:t>&lt;.001</w:t>
            </w:r>
          </w:p>
        </w:tc>
        <w:tc>
          <w:tcPr>
            <w:tcW w:w="0" w:type="auto"/>
            <w:vAlign w:val="center"/>
          </w:tcPr>
          <w:p w14:paraId="24A9B859" w14:textId="77777777" w:rsidR="0045599C" w:rsidRPr="00F85F7A" w:rsidRDefault="0045599C" w:rsidP="00E401B9">
            <w:r w:rsidRPr="00F85F7A">
              <w:t>0.348–0.541</w:t>
            </w:r>
          </w:p>
        </w:tc>
      </w:tr>
      <w:tr w:rsidR="0045599C" w:rsidRPr="00F85F7A" w14:paraId="2B314C37" w14:textId="77777777" w:rsidTr="00F85F7A">
        <w:tc>
          <w:tcPr>
            <w:tcW w:w="0" w:type="auto"/>
            <w:vAlign w:val="center"/>
          </w:tcPr>
          <w:p w14:paraId="32CAE8F0" w14:textId="77777777" w:rsidR="0045599C" w:rsidRPr="00F85F7A" w:rsidRDefault="0045599C" w:rsidP="00E401B9">
            <w:r w:rsidRPr="00F85F7A">
              <w:t>F5–F6</w:t>
            </w:r>
          </w:p>
        </w:tc>
        <w:tc>
          <w:tcPr>
            <w:tcW w:w="0" w:type="auto"/>
            <w:vAlign w:val="center"/>
          </w:tcPr>
          <w:p w14:paraId="2D56FF1A" w14:textId="77777777" w:rsidR="0045599C" w:rsidRPr="00F85F7A" w:rsidRDefault="0045599C" w:rsidP="00E401B9">
            <w:r w:rsidRPr="00F85F7A">
              <w:t>0.458</w:t>
            </w:r>
          </w:p>
        </w:tc>
        <w:tc>
          <w:tcPr>
            <w:tcW w:w="0" w:type="auto"/>
            <w:vAlign w:val="center"/>
          </w:tcPr>
          <w:p w14:paraId="7D855FF5" w14:textId="77777777" w:rsidR="0045599C" w:rsidRPr="00F85F7A" w:rsidRDefault="0045599C" w:rsidP="00E401B9">
            <w:r w:rsidRPr="00F85F7A">
              <w:t>0.049</w:t>
            </w:r>
          </w:p>
        </w:tc>
        <w:tc>
          <w:tcPr>
            <w:tcW w:w="0" w:type="auto"/>
            <w:vAlign w:val="center"/>
          </w:tcPr>
          <w:p w14:paraId="00BF4034" w14:textId="77777777" w:rsidR="0045599C" w:rsidRPr="00F85F7A" w:rsidRDefault="0045599C" w:rsidP="00E401B9">
            <w:r w:rsidRPr="00F85F7A">
              <w:t>9.365</w:t>
            </w:r>
          </w:p>
        </w:tc>
        <w:tc>
          <w:tcPr>
            <w:tcW w:w="0" w:type="auto"/>
            <w:vAlign w:val="center"/>
          </w:tcPr>
          <w:p w14:paraId="440ECAA8" w14:textId="77777777" w:rsidR="0045599C" w:rsidRPr="00F85F7A" w:rsidRDefault="0045599C" w:rsidP="00E401B9">
            <w:r w:rsidRPr="00F85F7A">
              <w:t>&lt;.001</w:t>
            </w:r>
          </w:p>
        </w:tc>
        <w:tc>
          <w:tcPr>
            <w:tcW w:w="0" w:type="auto"/>
            <w:vAlign w:val="center"/>
          </w:tcPr>
          <w:p w14:paraId="0681589E" w14:textId="77777777" w:rsidR="0045599C" w:rsidRPr="00F85F7A" w:rsidRDefault="0045599C" w:rsidP="00E401B9">
            <w:r w:rsidRPr="00F85F7A">
              <w:t>0.362–0.554</w:t>
            </w:r>
          </w:p>
        </w:tc>
      </w:tr>
    </w:tbl>
    <w:p w14:paraId="02C92629" w14:textId="5630BB93" w:rsidR="009A0A01" w:rsidRPr="00F85F7A" w:rsidRDefault="004C4D74" w:rsidP="00F85F7A">
      <w:r>
        <w:rPr>
          <w:i/>
          <w:iCs/>
        </w:rPr>
        <w:t>Legend.</w:t>
      </w:r>
      <w:r w:rsidR="00F85F7A" w:rsidRPr="00F85F7A">
        <w:rPr>
          <w:i/>
          <w:iCs/>
        </w:rPr>
        <w:t xml:space="preserve"> All standardized covariances were positive and statistically significant (p &lt; .001). Covariance estimates ranged from 0.217 to 0.846 among the six PSAT-TR subscales.</w:t>
      </w:r>
      <w:r w:rsidR="00F85F7A" w:rsidRPr="00F85F7A">
        <w:rPr>
          <w:i/>
          <w:iCs/>
        </w:rPr>
        <w:br/>
        <w:t>Abbreviations: Std. Est. = Standardized Estimate; SE = Standard Error; CI = Confidence Interval; PSAT-TR = Turkish version of the Pregnancy-Specific Anxiety Tool.</w:t>
      </w:r>
    </w:p>
    <w:sectPr w:rsidR="009A0A01" w:rsidRPr="00F85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C6A4E"/>
    <w:multiLevelType w:val="multilevel"/>
    <w:tmpl w:val="F1DE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10187D"/>
    <w:multiLevelType w:val="multilevel"/>
    <w:tmpl w:val="6BC4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4393184">
    <w:abstractNumId w:val="0"/>
  </w:num>
  <w:num w:numId="2" w16cid:durableId="576987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B4"/>
    <w:rsid w:val="003060FF"/>
    <w:rsid w:val="00334860"/>
    <w:rsid w:val="004148CD"/>
    <w:rsid w:val="0045599C"/>
    <w:rsid w:val="004C4D74"/>
    <w:rsid w:val="005D2356"/>
    <w:rsid w:val="00640C40"/>
    <w:rsid w:val="006622E9"/>
    <w:rsid w:val="008D0625"/>
    <w:rsid w:val="009A0A01"/>
    <w:rsid w:val="009D35F1"/>
    <w:rsid w:val="00AB2A78"/>
    <w:rsid w:val="00B94FB4"/>
    <w:rsid w:val="00CC2539"/>
    <w:rsid w:val="00F85F7A"/>
    <w:rsid w:val="00FD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B284"/>
  <w15:chartTrackingRefBased/>
  <w15:docId w15:val="{AAD7BF35-8C5E-4023-B8AE-A7934355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FB4"/>
    <w:pPr>
      <w:spacing w:after="160" w:line="259" w:lineRule="auto"/>
    </w:pPr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B94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94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94FB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94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94FB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94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94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94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94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94FB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94F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94FB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94FB4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94FB4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94FB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94FB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94FB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94FB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94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94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94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94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94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94FB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94FB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94FB4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94FB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94FB4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94FB4"/>
    <w:rPr>
      <w:b/>
      <w:bCs/>
      <w:smallCaps/>
      <w:color w:val="365F91" w:themeColor="accent1" w:themeShade="BF"/>
      <w:spacing w:val="5"/>
    </w:rPr>
  </w:style>
  <w:style w:type="table" w:styleId="TabloKlavuzu">
    <w:name w:val="Table Grid"/>
    <w:basedOn w:val="NormalTablo"/>
    <w:uiPriority w:val="39"/>
    <w:rsid w:val="00B94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9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B2A78"/>
    <w:rPr>
      <w:b/>
      <w:bCs/>
    </w:rPr>
  </w:style>
  <w:style w:type="character" w:styleId="Vurgu">
    <w:name w:val="Emphasis"/>
    <w:basedOn w:val="VarsaylanParagrafYazTipi"/>
    <w:uiPriority w:val="20"/>
    <w:qFormat/>
    <w:rsid w:val="008D06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Company>HP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Serhat COŞKUN</dc:creator>
  <cp:keywords/>
  <dc:description/>
  <cp:lastModifiedBy>Enes Serhat COŞKUN</cp:lastModifiedBy>
  <cp:revision>5</cp:revision>
  <dcterms:created xsi:type="dcterms:W3CDTF">2025-10-08T17:50:00Z</dcterms:created>
  <dcterms:modified xsi:type="dcterms:W3CDTF">2025-10-11T07:43:00Z</dcterms:modified>
</cp:coreProperties>
</file>