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2B8CD7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Gene</w:t>
      </w:r>
      <w:r>
        <w:rPr>
          <w:rFonts w:hint="eastAsia" w:ascii="Arial" w:hAnsi="Arial" w:cs="Arial"/>
          <w:b/>
          <w:bCs/>
        </w:rPr>
        <w:t xml:space="preserve">-interaction </w:t>
      </w:r>
      <w:r>
        <w:rPr>
          <w:rFonts w:ascii="Arial" w:hAnsi="Arial" w:cs="Arial"/>
          <w:b/>
          <w:bCs/>
        </w:rPr>
        <w:t>perturbation</w:t>
      </w:r>
      <w:r>
        <w:rPr>
          <w:rFonts w:hint="eastAsia" w:ascii="Arial" w:hAnsi="Arial" w:cs="Arial"/>
          <w:b/>
          <w:bCs/>
        </w:rPr>
        <w:t xml:space="preserve"> network</w:t>
      </w:r>
      <w:r>
        <w:rPr>
          <w:rFonts w:ascii="Arial" w:hAnsi="Arial" w:cs="Arial"/>
          <w:b/>
          <w:bCs/>
        </w:rPr>
        <w:t xml:space="preserve"> analysis identifies</w:t>
      </w:r>
      <w:r>
        <w:rPr>
          <w:rFonts w:hint="eastAsia" w:ascii="Arial" w:hAnsi="Arial" w:cs="Arial"/>
          <w:b/>
          <w:bCs/>
        </w:rPr>
        <w:t xml:space="preserve"> distinct subtypes and actionable targets for aggressive thyroid cancer: an integrative multi-omics and machine learning approach for precise medicine</w:t>
      </w:r>
    </w:p>
    <w:p w14:paraId="32C6DB83">
      <w:pPr>
        <w:spacing w:line="360" w:lineRule="auto"/>
        <w:rPr>
          <w:rFonts w:ascii="Arial" w:hAnsi="Arial" w:cs="Arial"/>
        </w:rPr>
      </w:pPr>
      <w:r>
        <w:rPr>
          <w:rFonts w:hint="eastAsia" w:ascii="Arial" w:hAnsi="Arial" w:cs="Arial"/>
        </w:rPr>
        <w:t>Jing Sun</w:t>
      </w:r>
      <w:r>
        <w:rPr>
          <w:rFonts w:hint="eastAsia" w:ascii="Arial" w:hAnsi="Arial" w:cs="Arial"/>
          <w:vertAlign w:val="superscript"/>
        </w:rPr>
        <w:t>1,2</w:t>
      </w:r>
      <w:r>
        <w:rPr>
          <w:rFonts w:hint="eastAsia" w:ascii="Arial" w:hAnsi="Arial" w:cs="Arial"/>
          <w:b/>
          <w:bCs/>
          <w:vertAlign w:val="superscript"/>
        </w:rPr>
        <w:t>#</w:t>
      </w:r>
      <w:r>
        <w:rPr>
          <w:rFonts w:hint="eastAsia" w:ascii="Arial" w:hAnsi="Arial" w:cs="Arial"/>
        </w:rPr>
        <w:t>, Jiaxuan Huai</w:t>
      </w:r>
      <w:r>
        <w:rPr>
          <w:rFonts w:hint="eastAsia" w:ascii="Arial" w:hAnsi="Arial" w:cs="Arial"/>
          <w:vertAlign w:val="superscript"/>
        </w:rPr>
        <w:t>1,2</w:t>
      </w:r>
      <w:r>
        <w:rPr>
          <w:rFonts w:hint="eastAsia" w:ascii="Arial" w:hAnsi="Arial" w:cs="Arial"/>
          <w:b/>
          <w:bCs/>
          <w:vertAlign w:val="superscript"/>
        </w:rPr>
        <w:t>#</w:t>
      </w:r>
      <w:r>
        <w:rPr>
          <w:rFonts w:hint="eastAsia" w:ascii="Arial" w:hAnsi="Arial" w:cs="Arial"/>
        </w:rPr>
        <w:t>, Jianpeng Zhang</w:t>
      </w:r>
      <w:r>
        <w:rPr>
          <w:rFonts w:hint="eastAsia" w:ascii="Arial" w:hAnsi="Arial" w:cs="Arial"/>
          <w:vertAlign w:val="superscript"/>
        </w:rPr>
        <w:t>3</w:t>
      </w:r>
      <w:r>
        <w:rPr>
          <w:rFonts w:hint="eastAsia" w:ascii="Arial" w:hAnsi="Arial" w:cs="Arial"/>
          <w:b/>
          <w:bCs/>
          <w:vertAlign w:val="superscript"/>
        </w:rPr>
        <w:t>#</w:t>
      </w:r>
      <w:r>
        <w:rPr>
          <w:rFonts w:hint="eastAsia" w:ascii="Arial" w:hAnsi="Arial" w:cs="Arial"/>
        </w:rPr>
        <w:t>, Qi Wang</w:t>
      </w:r>
      <w:r>
        <w:rPr>
          <w:rFonts w:hint="eastAsia" w:ascii="Arial" w:hAnsi="Arial" w:cs="Arial"/>
          <w:vertAlign w:val="superscript"/>
        </w:rPr>
        <w:t>4,5</w:t>
      </w:r>
      <w:r>
        <w:rPr>
          <w:rFonts w:hint="eastAsia" w:ascii="Arial" w:hAnsi="Arial" w:cs="Arial"/>
          <w:b/>
          <w:bCs/>
          <w:vertAlign w:val="superscript"/>
        </w:rPr>
        <w:t>#</w:t>
      </w:r>
      <w:r>
        <w:rPr>
          <w:rFonts w:hint="eastAsia" w:ascii="Arial" w:hAnsi="Arial" w:cs="Arial"/>
        </w:rPr>
        <w:t>, Zhaokai Zhou</w:t>
      </w:r>
      <w:r>
        <w:rPr>
          <w:rFonts w:hint="eastAsia" w:ascii="Arial" w:hAnsi="Arial" w:cs="Arial"/>
          <w:vertAlign w:val="superscript"/>
        </w:rPr>
        <w:t>6</w:t>
      </w:r>
      <w:r>
        <w:rPr>
          <w:rFonts w:hint="eastAsia" w:ascii="Arial" w:hAnsi="Arial" w:cs="Arial"/>
        </w:rPr>
        <w:t>, Shaohui Xu</w:t>
      </w:r>
      <w:r>
        <w:rPr>
          <w:rFonts w:hint="eastAsia" w:ascii="Arial" w:hAnsi="Arial" w:cs="Arial"/>
          <w:vertAlign w:val="superscript"/>
        </w:rPr>
        <w:t>7</w:t>
      </w:r>
      <w:r>
        <w:rPr>
          <w:rFonts w:hint="eastAsia" w:ascii="Arial" w:hAnsi="Arial" w:cs="Arial"/>
        </w:rPr>
        <w:t>, Tianyu Zhao</w:t>
      </w:r>
      <w:r>
        <w:rPr>
          <w:rFonts w:hint="eastAsia" w:ascii="Arial" w:hAnsi="Arial" w:cs="Arial"/>
          <w:vertAlign w:val="superscript"/>
        </w:rPr>
        <w:t>8</w:t>
      </w:r>
      <w:r>
        <w:rPr>
          <w:rFonts w:hint="eastAsia" w:ascii="Arial" w:hAnsi="Arial" w:cs="Arial"/>
        </w:rPr>
        <w:t>, Xin Wang</w:t>
      </w:r>
      <w:r>
        <w:rPr>
          <w:rFonts w:hint="eastAsia" w:ascii="Arial" w:hAnsi="Arial" w:cs="Arial"/>
          <w:vertAlign w:val="superscript"/>
        </w:rPr>
        <w:t>9</w:t>
      </w:r>
      <w:r>
        <w:rPr>
          <w:rFonts w:hint="eastAsia" w:ascii="Arial" w:hAnsi="Arial" w:cs="Arial"/>
        </w:rPr>
        <w:t>, Zhe Cheng</w:t>
      </w:r>
      <w:r>
        <w:rPr>
          <w:rFonts w:hint="eastAsia" w:ascii="Arial" w:hAnsi="Arial" w:cs="Arial"/>
          <w:vertAlign w:val="superscript"/>
        </w:rPr>
        <w:t>1,2</w:t>
      </w:r>
      <w:r>
        <w:rPr>
          <w:rFonts w:hint="eastAsia" w:ascii="Arial" w:hAnsi="Arial" w:cs="Arial"/>
        </w:rPr>
        <w:t>, Xuanbin Wang</w:t>
      </w:r>
      <w:r>
        <w:rPr>
          <w:rFonts w:hint="eastAsia" w:ascii="Arial" w:hAnsi="Arial" w:cs="Arial"/>
          <w:vertAlign w:val="superscript"/>
        </w:rPr>
        <w:t>10</w:t>
      </w:r>
      <w:r>
        <w:rPr>
          <w:rFonts w:hint="eastAsia" w:ascii="Arial" w:hAnsi="Arial" w:cs="Arial"/>
          <w:b/>
          <w:bCs/>
          <w:sz w:val="24"/>
          <w:szCs w:val="28"/>
        </w:rPr>
        <w:t>*</w:t>
      </w:r>
      <w:r>
        <w:rPr>
          <w:rFonts w:hint="eastAsia" w:ascii="Arial" w:hAnsi="Arial" w:cs="Arial"/>
        </w:rPr>
        <w:t>, Run Shi</w:t>
      </w:r>
      <w:r>
        <w:rPr>
          <w:rFonts w:hint="eastAsia" w:ascii="Arial" w:hAnsi="Arial" w:cs="Arial"/>
          <w:vertAlign w:val="superscript"/>
        </w:rPr>
        <w:t>11</w:t>
      </w:r>
      <w:r>
        <w:rPr>
          <w:rFonts w:hint="eastAsia" w:ascii="Arial" w:hAnsi="Arial" w:cs="Arial"/>
          <w:b/>
          <w:bCs/>
          <w:sz w:val="24"/>
          <w:szCs w:val="28"/>
        </w:rPr>
        <w:t>*</w:t>
      </w:r>
      <w:r>
        <w:rPr>
          <w:rFonts w:hint="eastAsia" w:ascii="Arial" w:hAnsi="Arial" w:cs="Arial"/>
        </w:rPr>
        <w:t>, Xiqiao Zhou</w:t>
      </w:r>
      <w:r>
        <w:rPr>
          <w:rFonts w:hint="eastAsia" w:ascii="Arial" w:hAnsi="Arial" w:cs="Arial"/>
          <w:vertAlign w:val="superscript"/>
        </w:rPr>
        <w:t>1,2</w:t>
      </w:r>
      <w:r>
        <w:rPr>
          <w:rFonts w:hint="eastAsia" w:ascii="Arial" w:hAnsi="Arial" w:cs="Arial"/>
          <w:b/>
          <w:bCs/>
          <w:sz w:val="24"/>
          <w:szCs w:val="28"/>
        </w:rPr>
        <w:t>*</w:t>
      </w:r>
    </w:p>
    <w:p w14:paraId="66D9EDD5">
      <w:pPr>
        <w:pStyle w:val="31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Department of Endocrinology, Jiangsu Province Hospital of Chinese Medicine, Affiliated Hospital of Nanjing University of Chinese Medicine, Nanjing, China, </w:t>
      </w:r>
      <w:r>
        <w:rPr>
          <w:rFonts w:hint="eastAsia" w:ascii="Arial" w:hAnsi="Arial" w:cs="Arial"/>
          <w:lang w:val="en-US" w:eastAsia="zh-CN"/>
        </w:rPr>
        <w:t>210029</w:t>
      </w:r>
      <w:r>
        <w:rPr>
          <w:rFonts w:hint="eastAsia" w:ascii="Arial" w:hAnsi="Arial" w:cs="Arial"/>
        </w:rPr>
        <w:t>.</w:t>
      </w:r>
    </w:p>
    <w:p w14:paraId="2EDA2DE9">
      <w:pPr>
        <w:pStyle w:val="31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The First School of Clinical Medicine, Nanjing University of Chinese Medicine, Nanjing, China, </w:t>
      </w:r>
      <w:r>
        <w:rPr>
          <w:rFonts w:hint="eastAsia" w:ascii="Arial" w:hAnsi="Arial" w:cs="Arial"/>
          <w:lang w:val="en-US" w:eastAsia="zh-CN"/>
        </w:rPr>
        <w:t>210023</w:t>
      </w:r>
      <w:r>
        <w:rPr>
          <w:rFonts w:hint="eastAsia" w:ascii="Arial" w:hAnsi="Arial" w:cs="Arial"/>
        </w:rPr>
        <w:t>.</w:t>
      </w:r>
    </w:p>
    <w:p w14:paraId="01CA5337">
      <w:pPr>
        <w:pStyle w:val="31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Department of Urology, The First Affiliated Hospital of Guangzhou Medical University, Guangzhou, China, </w:t>
      </w:r>
      <w:r>
        <w:rPr>
          <w:rFonts w:hint="eastAsia" w:ascii="Arial" w:hAnsi="Arial" w:cs="Arial"/>
          <w:lang w:val="en-US" w:eastAsia="zh-CN"/>
        </w:rPr>
        <w:t>510120</w:t>
      </w:r>
      <w:r>
        <w:rPr>
          <w:rFonts w:hint="eastAsia" w:ascii="Arial" w:hAnsi="Arial" w:cs="Arial"/>
        </w:rPr>
        <w:t>.</w:t>
      </w:r>
    </w:p>
    <w:p w14:paraId="53397D7F">
      <w:pPr>
        <w:pStyle w:val="31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Department of Pathology, Renmin Hospital, Hubei University of Medicine, Shiyan, Hubei, China, </w:t>
      </w:r>
      <w:r>
        <w:rPr>
          <w:rFonts w:hint="eastAsia" w:ascii="Arial" w:hAnsi="Arial" w:cs="Arial"/>
          <w:lang w:val="en-US" w:eastAsia="zh-CN"/>
        </w:rPr>
        <w:t>442000</w:t>
      </w:r>
      <w:r>
        <w:rPr>
          <w:rFonts w:hint="eastAsia" w:ascii="Arial" w:hAnsi="Arial" w:cs="Arial"/>
        </w:rPr>
        <w:t>.</w:t>
      </w:r>
    </w:p>
    <w:p w14:paraId="12F93F57">
      <w:pPr>
        <w:pStyle w:val="31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Research Center for High-Altitude Medicine, Key Laboratory of High-Altitude Medicine, Ministry of Education, Laboratory for High Altitude Medicine of Qinghai Province, Key Laboratory of Application and Foundation for High Altitude Medicine Research in Qinghai Province (Qinghai-Utah Joint Research Key Lab for High-Altitude Medicine), Qinghai University, Xining, China, </w:t>
      </w:r>
      <w:r>
        <w:rPr>
          <w:rFonts w:hint="eastAsia" w:ascii="Arial" w:hAnsi="Arial" w:cs="Arial"/>
          <w:lang w:val="en-US" w:eastAsia="zh-CN"/>
        </w:rPr>
        <w:t>810016</w:t>
      </w:r>
      <w:r>
        <w:rPr>
          <w:rFonts w:hint="eastAsia" w:ascii="Arial" w:hAnsi="Arial" w:cs="Arial"/>
        </w:rPr>
        <w:t>.</w:t>
      </w:r>
    </w:p>
    <w:p w14:paraId="7AC87851">
      <w:pPr>
        <w:pStyle w:val="31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Department of Urology, The Second Xiangya Hospital of Central South University, Changsha, Hunan, China, </w:t>
      </w:r>
      <w:r>
        <w:rPr>
          <w:rFonts w:hint="eastAsia" w:ascii="Arial" w:hAnsi="Arial" w:cs="Arial"/>
          <w:lang w:val="en-US" w:eastAsia="zh-CN"/>
        </w:rPr>
        <w:t>410011</w:t>
      </w:r>
      <w:r>
        <w:rPr>
          <w:rFonts w:hint="eastAsia" w:ascii="Arial" w:hAnsi="Arial" w:cs="Arial"/>
        </w:rPr>
        <w:t>.</w:t>
      </w:r>
    </w:p>
    <w:p w14:paraId="1D737297">
      <w:pPr>
        <w:pStyle w:val="31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Institute of Functional Nano &amp; Soft Materials (FUNSOM), Soochow University, Suzhou, China, </w:t>
      </w:r>
      <w:r>
        <w:rPr>
          <w:rFonts w:hint="eastAsia" w:ascii="Arial" w:hAnsi="Arial" w:cs="Arial"/>
          <w:lang w:val="en-US" w:eastAsia="zh-CN"/>
        </w:rPr>
        <w:t>215123</w:t>
      </w:r>
      <w:r>
        <w:rPr>
          <w:rFonts w:hint="eastAsia" w:ascii="Arial" w:hAnsi="Arial" w:cs="Arial"/>
        </w:rPr>
        <w:t>.</w:t>
      </w:r>
    </w:p>
    <w:p w14:paraId="1B02FA8B">
      <w:pPr>
        <w:pStyle w:val="31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Institute and Clinic for Occupational, Social and Environmental Medicine, LMU University Hospital Munich, Munich, Germany</w:t>
      </w:r>
      <w:r>
        <w:rPr>
          <w:rFonts w:hint="eastAsia" w:ascii="Arial" w:hAnsi="Arial" w:cs="Arial"/>
        </w:rPr>
        <w:t xml:space="preserve">, </w:t>
      </w:r>
      <w:r>
        <w:rPr>
          <w:rFonts w:hint="eastAsia" w:ascii="Arial" w:hAnsi="Arial" w:cs="Arial"/>
          <w:lang w:val="en-US" w:eastAsia="zh-CN"/>
        </w:rPr>
        <w:t>81377</w:t>
      </w:r>
      <w:r>
        <w:rPr>
          <w:rFonts w:ascii="Arial" w:hAnsi="Arial" w:cs="Arial"/>
        </w:rPr>
        <w:t>.</w:t>
      </w:r>
    </w:p>
    <w:p w14:paraId="4725ADA1">
      <w:pPr>
        <w:pStyle w:val="31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Department of Oncology, Jiangsu Cancer Hospital, The Affiliated Cancer Hospital of Nanjing Medical University, Jiangsu Institute of Cancer Research, Nanjing, Chin</w:t>
      </w:r>
      <w:r>
        <w:rPr>
          <w:rFonts w:hint="eastAsia" w:ascii="Arial" w:hAnsi="Arial" w:cs="Arial"/>
        </w:rPr>
        <w:t xml:space="preserve">a, </w:t>
      </w:r>
      <w:r>
        <w:rPr>
          <w:rFonts w:hint="eastAsia" w:ascii="Arial" w:hAnsi="Arial" w:cs="Arial"/>
          <w:lang w:val="en-US" w:eastAsia="zh-CN"/>
        </w:rPr>
        <w:t>210009</w:t>
      </w:r>
      <w:r>
        <w:rPr>
          <w:rFonts w:hint="eastAsia" w:ascii="Arial" w:hAnsi="Arial" w:cs="Arial"/>
        </w:rPr>
        <w:t>.</w:t>
      </w:r>
    </w:p>
    <w:p w14:paraId="46E14842">
      <w:pPr>
        <w:pStyle w:val="31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Laboratory of Chinese Herbal Pharmacology, Department of Pharmacology, Hubei Key Laboratory of Wudang Local Chinese Medicine Research, Renmin Hospital, Hubei University of Medicine, Shiyan, Hubei, China</w:t>
      </w:r>
      <w:r>
        <w:rPr>
          <w:rFonts w:hint="eastAsia" w:ascii="Arial" w:hAnsi="Arial" w:cs="Arial"/>
        </w:rPr>
        <w:t xml:space="preserve">, </w:t>
      </w:r>
      <w:r>
        <w:rPr>
          <w:rFonts w:hint="eastAsia" w:ascii="Arial" w:hAnsi="Arial" w:cs="Arial"/>
          <w:lang w:val="en-US" w:eastAsia="zh-CN"/>
        </w:rPr>
        <w:t>442000</w:t>
      </w:r>
      <w:r>
        <w:rPr>
          <w:rFonts w:ascii="Arial" w:hAnsi="Arial" w:cs="Arial"/>
        </w:rPr>
        <w:t>.</w:t>
      </w:r>
    </w:p>
    <w:p w14:paraId="6BACC58F">
      <w:pPr>
        <w:pStyle w:val="31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Department of Oncology, The First Affiliated Hospital of Nanjing Medical University, Nanjing, Chin</w:t>
      </w:r>
      <w:r>
        <w:rPr>
          <w:rFonts w:hint="eastAsia" w:ascii="Arial" w:hAnsi="Arial" w:cs="Arial"/>
        </w:rPr>
        <w:t xml:space="preserve">a, </w:t>
      </w:r>
      <w:r>
        <w:rPr>
          <w:rFonts w:hint="eastAsia" w:ascii="Arial" w:hAnsi="Arial" w:cs="Arial"/>
          <w:lang w:val="en-US" w:eastAsia="zh-CN"/>
        </w:rPr>
        <w:t>210029</w:t>
      </w:r>
      <w:r>
        <w:rPr>
          <w:rFonts w:hint="eastAsia" w:ascii="Arial" w:hAnsi="Arial" w:cs="Arial"/>
        </w:rPr>
        <w:t>.</w:t>
      </w:r>
    </w:p>
    <w:p w14:paraId="52656AA4">
      <w:pPr>
        <w:spacing w:line="360" w:lineRule="auto"/>
        <w:rPr>
          <w:rFonts w:ascii="Arial" w:hAnsi="Arial" w:cs="Arial"/>
        </w:rPr>
      </w:pPr>
    </w:p>
    <w:p w14:paraId="39D8676B">
      <w:pPr>
        <w:spacing w:line="360" w:lineRule="auto"/>
        <w:rPr>
          <w:rFonts w:ascii="Arial" w:hAnsi="Arial" w:cs="Arial"/>
        </w:rPr>
      </w:pPr>
      <w:r>
        <w:rPr>
          <w:rFonts w:hint="eastAsia" w:ascii="Arial" w:hAnsi="Arial" w:cs="Arial"/>
          <w:b/>
          <w:bCs/>
        </w:rPr>
        <w:t>#</w:t>
      </w:r>
      <w:r>
        <w:rPr>
          <w:rFonts w:hint="eastAsia" w:ascii="Arial" w:hAnsi="Arial" w:cs="Arial"/>
        </w:rPr>
        <w:t xml:space="preserve"> These authors contributed equally to </w:t>
      </w:r>
      <w:r>
        <w:rPr>
          <w:rFonts w:ascii="Arial" w:hAnsi="Arial" w:cs="Arial"/>
        </w:rPr>
        <w:t>this</w:t>
      </w:r>
      <w:r>
        <w:rPr>
          <w:rFonts w:hint="eastAsia" w:ascii="Arial" w:hAnsi="Arial" w:cs="Arial"/>
        </w:rPr>
        <w:t xml:space="preserve"> work.</w:t>
      </w:r>
    </w:p>
    <w:p w14:paraId="3E043AD4">
      <w:pPr>
        <w:spacing w:line="360" w:lineRule="auto"/>
        <w:rPr>
          <w:rFonts w:ascii="Arial" w:hAnsi="Arial" w:cs="Arial"/>
        </w:rPr>
      </w:pPr>
      <w:r>
        <w:rPr>
          <w:rFonts w:hint="eastAsia" w:ascii="Arial" w:hAnsi="Arial" w:cs="Arial"/>
          <w:b/>
          <w:bCs/>
          <w:sz w:val="28"/>
          <w:szCs w:val="32"/>
        </w:rPr>
        <w:t>*</w:t>
      </w:r>
      <w:r>
        <w:rPr>
          <w:rFonts w:hint="eastAsia" w:ascii="Arial" w:hAnsi="Arial" w:cs="Arial"/>
        </w:rPr>
        <w:t xml:space="preserve"> Corresponding authors.</w:t>
      </w:r>
    </w:p>
    <w:p w14:paraId="4351B161">
      <w:pPr>
        <w:spacing w:line="360" w:lineRule="auto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Correspondence should be sent to: </w:t>
      </w:r>
    </w:p>
    <w:p w14:paraId="1E7EBF08">
      <w:pPr>
        <w:spacing w:line="360" w:lineRule="auto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Dr. Xiqiao Zhou. Department of Endocrinology, Jiangsu Province Hospital of Chinese Medicine, Affiliated Hospital of Nanjing University of Chinese Medicine, Nanjing, China, </w:t>
      </w:r>
      <w:r>
        <w:rPr>
          <w:rFonts w:hint="eastAsia" w:ascii="Arial" w:hAnsi="Arial" w:cs="Arial"/>
          <w:lang w:val="en-US" w:eastAsia="zh-CN"/>
        </w:rPr>
        <w:t>210029</w:t>
      </w:r>
      <w:r>
        <w:rPr>
          <w:rFonts w:hint="eastAsia" w:ascii="Arial" w:hAnsi="Arial" w:cs="Arial"/>
        </w:rPr>
        <w:t>.</w:t>
      </w:r>
    </w:p>
    <w:p w14:paraId="300EB254">
      <w:pPr>
        <w:spacing w:line="360" w:lineRule="auto"/>
        <w:rPr>
          <w:rFonts w:ascii="Arial" w:hAnsi="Arial" w:cs="Arial"/>
          <w:u w:val="single"/>
        </w:rPr>
      </w:pPr>
      <w:r>
        <w:rPr>
          <w:rFonts w:hint="eastAsia" w:ascii="Arial" w:hAnsi="Arial" w:cs="Arial"/>
        </w:rPr>
        <w:t xml:space="preserve">E-mail: </w:t>
      </w:r>
      <w:r>
        <w:fldChar w:fldCharType="begin"/>
      </w:r>
      <w:r>
        <w:instrText xml:space="preserve"> HYPERLINK "mailto:zhouxiqiao@njucm.edu.cn" </w:instrText>
      </w:r>
      <w:r>
        <w:fldChar w:fldCharType="separate"/>
      </w:r>
      <w:r>
        <w:rPr>
          <w:rFonts w:hint="eastAsia" w:ascii="Arial" w:hAnsi="Arial" w:cs="Arial"/>
          <w:u w:val="single"/>
        </w:rPr>
        <w:t>zhouxiqiao@njucm.edu.cn</w:t>
      </w:r>
      <w:r>
        <w:rPr>
          <w:rFonts w:hint="eastAsia" w:ascii="Arial" w:hAnsi="Arial" w:cs="Arial"/>
          <w:u w:val="single"/>
        </w:rPr>
        <w:fldChar w:fldCharType="end"/>
      </w:r>
      <w:bookmarkStart w:id="1" w:name="_GoBack"/>
      <w:bookmarkEnd w:id="1"/>
    </w:p>
    <w:p w14:paraId="08599DAB">
      <w:pPr>
        <w:spacing w:line="360" w:lineRule="auto"/>
        <w:rPr>
          <w:rFonts w:ascii="Arial" w:hAnsi="Arial" w:cs="Arial"/>
          <w:u w:val="single"/>
        </w:rPr>
      </w:pPr>
    </w:p>
    <w:p w14:paraId="3EDBFD0F">
      <w:pPr>
        <w:spacing w:line="360" w:lineRule="auto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Correspondence can also be sent to: </w:t>
      </w:r>
    </w:p>
    <w:p w14:paraId="20EDE4AA">
      <w:pPr>
        <w:spacing w:line="360" w:lineRule="auto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Dr. Run Shi. E-mail: </w:t>
      </w:r>
      <w:r>
        <w:fldChar w:fldCharType="begin"/>
      </w:r>
      <w:r>
        <w:instrText xml:space="preserve"> HYPERLINK "mailto:shirun@njmu.edu.cn" </w:instrText>
      </w:r>
      <w:r>
        <w:fldChar w:fldCharType="separate"/>
      </w:r>
      <w:r>
        <w:rPr>
          <w:rFonts w:hint="eastAsia" w:ascii="Arial" w:hAnsi="Arial" w:cs="Arial"/>
          <w:u w:val="single"/>
        </w:rPr>
        <w:t>shirun@njmu.edu.cn</w:t>
      </w:r>
      <w:r>
        <w:rPr>
          <w:rFonts w:hint="eastAsia" w:ascii="Arial" w:hAnsi="Arial" w:cs="Arial"/>
          <w:u w:val="single"/>
        </w:rPr>
        <w:fldChar w:fldCharType="end"/>
      </w:r>
      <w:r>
        <w:rPr>
          <w:rFonts w:hint="eastAsia" w:ascii="Arial" w:hAnsi="Arial" w:cs="Arial"/>
        </w:rPr>
        <w:t>;</w:t>
      </w:r>
    </w:p>
    <w:p w14:paraId="2E27481D">
      <w:pPr>
        <w:spacing w:line="360" w:lineRule="auto"/>
        <w:rPr>
          <w:rFonts w:ascii="Arial" w:hAnsi="Arial" w:cs="Arial"/>
          <w:u w:val="single"/>
        </w:rPr>
      </w:pPr>
      <w:r>
        <w:rPr>
          <w:rFonts w:hint="eastAsia" w:ascii="Arial" w:hAnsi="Arial" w:cs="Arial"/>
        </w:rPr>
        <w:t xml:space="preserve">Prof. Xuanbin Wang. E-mail: </w:t>
      </w:r>
      <w:r>
        <w:rPr>
          <w:rFonts w:ascii="Arial" w:hAnsi="Arial" w:cs="Arial"/>
          <w:u w:val="single"/>
        </w:rPr>
        <w:t>wangxb@hbmu.edu.cn</w:t>
      </w:r>
    </w:p>
    <w:p w14:paraId="6F508E60">
      <w:pPr>
        <w:spacing w:line="360" w:lineRule="auto"/>
        <w:jc w:val="center"/>
        <w:rPr>
          <w:rFonts w:hint="eastAsia"/>
        </w:rPr>
      </w:pPr>
    </w:p>
    <w:p w14:paraId="56378119">
      <w:pPr>
        <w:spacing w:line="360" w:lineRule="auto"/>
        <w:jc w:val="center"/>
        <w:rPr>
          <w:rFonts w:hint="eastAsia"/>
        </w:rPr>
      </w:pPr>
    </w:p>
    <w:p w14:paraId="521A160D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58428573">
      <w:pPr>
        <w:spacing w:line="360" w:lineRule="auto"/>
        <w:jc w:val="center"/>
        <w:rPr>
          <w:rFonts w:hint="eastAsia"/>
        </w:rPr>
      </w:pPr>
      <w:r>
        <w:drawing>
          <wp:inline distT="0" distB="0" distL="0" distR="0">
            <wp:extent cx="4038600" cy="2172335"/>
            <wp:effectExtent l="0" t="0" r="0" b="0"/>
            <wp:docPr id="10954396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39607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7775" cy="217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7AB15">
      <w:pPr>
        <w:spacing w:line="360" w:lineRule="auto"/>
        <w:rPr>
          <w:rFonts w:ascii="Arial" w:hAnsi="Arial" w:eastAsia="宋体" w:cs="Arial"/>
          <w:szCs w:val="21"/>
        </w:rPr>
      </w:pPr>
      <w:r>
        <w:rPr>
          <w:rFonts w:ascii="Arial" w:hAnsi="Arial" w:eastAsia="宋体" w:cs="Arial"/>
          <w:b/>
          <w:bCs/>
          <w:szCs w:val="21"/>
        </w:rPr>
        <w:t>Supplementary Fig</w:t>
      </w:r>
      <w:r>
        <w:rPr>
          <w:rFonts w:hint="eastAsia" w:ascii="Arial" w:hAnsi="Arial" w:eastAsia="宋体" w:cs="Arial"/>
          <w:b/>
          <w:bCs/>
          <w:szCs w:val="21"/>
        </w:rPr>
        <w:t>ure</w:t>
      </w:r>
      <w:r>
        <w:rPr>
          <w:rFonts w:ascii="Arial" w:hAnsi="Arial" w:eastAsia="宋体" w:cs="Arial"/>
          <w:b/>
          <w:bCs/>
          <w:szCs w:val="21"/>
        </w:rPr>
        <w:t xml:space="preserve"> S1:</w:t>
      </w:r>
      <w:r>
        <w:rPr>
          <w:rFonts w:ascii="Arial" w:hAnsi="Arial" w:eastAsia="宋体" w:cs="Arial"/>
          <w:szCs w:val="21"/>
        </w:rPr>
        <w:t xml:space="preserve"> </w:t>
      </w:r>
      <w:r>
        <w:rPr>
          <w:rFonts w:hint="eastAsia" w:ascii="Arial" w:hAnsi="Arial" w:cs="Arial"/>
        </w:rPr>
        <w:t>Marker genes for each subtype were identified and shown in a 3D volcano plot, and p</w:t>
      </w:r>
      <w:r>
        <w:rPr>
          <w:rFonts w:ascii="Arial" w:hAnsi="Arial" w:cs="Arial"/>
        </w:rPr>
        <w:t>rincipal component analysis (PCA)</w:t>
      </w:r>
      <w:r>
        <w:rPr>
          <w:rFonts w:hint="eastAsia" w:ascii="Arial" w:hAnsi="Arial" w:cs="Arial"/>
        </w:rPr>
        <w:t xml:space="preserve"> shows</w:t>
      </w:r>
      <w:r>
        <w:rPr>
          <w:rFonts w:ascii="Arial" w:hAnsi="Arial" w:cs="Arial"/>
        </w:rPr>
        <w:t xml:space="preserve"> clear dissimilarity among the three subtypes</w:t>
      </w:r>
      <w:r>
        <w:rPr>
          <w:rFonts w:hint="eastAsia" w:ascii="Arial" w:hAnsi="Arial" w:cs="Arial"/>
        </w:rPr>
        <w:t xml:space="preserve"> based on these marker genes.</w:t>
      </w:r>
    </w:p>
    <w:p w14:paraId="4D60DB0B">
      <w:pPr>
        <w:widowControl/>
        <w:spacing w:line="360" w:lineRule="auto"/>
        <w:rPr>
          <w:rFonts w:ascii="Arial" w:hAnsi="Arial" w:eastAsia="宋体" w:cs="Arial"/>
          <w:szCs w:val="21"/>
        </w:rPr>
      </w:pPr>
      <w:r>
        <w:rPr>
          <w:rFonts w:ascii="Arial" w:hAnsi="Arial" w:eastAsia="宋体" w:cs="Arial"/>
          <w:szCs w:val="21"/>
        </w:rPr>
        <w:br w:type="page"/>
      </w:r>
    </w:p>
    <w:p w14:paraId="3C84CABF">
      <w:pPr>
        <w:spacing w:line="360" w:lineRule="auto"/>
        <w:jc w:val="center"/>
        <w:rPr>
          <w:rFonts w:ascii="Arial" w:hAnsi="Arial" w:eastAsia="宋体" w:cs="Arial"/>
          <w:szCs w:val="21"/>
        </w:rPr>
      </w:pPr>
      <w:r>
        <w:drawing>
          <wp:inline distT="0" distB="0" distL="0" distR="0">
            <wp:extent cx="5359400" cy="4538980"/>
            <wp:effectExtent l="0" t="0" r="0" b="0"/>
            <wp:docPr id="5843038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303824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6616" cy="45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8F7FB">
      <w:pPr>
        <w:spacing w:line="360" w:lineRule="auto"/>
        <w:rPr>
          <w:rFonts w:ascii="Arial" w:hAnsi="Arial" w:eastAsia="宋体" w:cs="Arial"/>
          <w:szCs w:val="21"/>
        </w:rPr>
      </w:pPr>
      <w:r>
        <w:rPr>
          <w:rFonts w:hint="eastAsia" w:ascii="Arial" w:hAnsi="Arial" w:eastAsia="宋体" w:cs="Arial"/>
          <w:b/>
          <w:bCs/>
          <w:szCs w:val="21"/>
        </w:rPr>
        <w:t>Supplementary Figure S2:</w:t>
      </w:r>
      <w:r>
        <w:rPr>
          <w:rFonts w:hint="eastAsia" w:ascii="Arial" w:hAnsi="Arial" w:eastAsia="宋体" w:cs="Arial"/>
          <w:szCs w:val="21"/>
        </w:rPr>
        <w:t xml:space="preserve"> </w:t>
      </w:r>
      <w:r>
        <w:rPr>
          <w:rFonts w:hint="eastAsia" w:ascii="Arial" w:hAnsi="Arial" w:cs="Arial"/>
        </w:rPr>
        <w:t xml:space="preserve">RSFrs retained its </w:t>
      </w:r>
      <w:r>
        <w:rPr>
          <w:rFonts w:ascii="Arial" w:hAnsi="Arial" w:cs="Arial"/>
        </w:rPr>
        <w:t>prognostic</w:t>
      </w:r>
      <w:r>
        <w:rPr>
          <w:rFonts w:hint="eastAsia" w:ascii="Arial" w:hAnsi="Arial" w:cs="Arial"/>
        </w:rPr>
        <w:t xml:space="preserve"> value in each subgroup in the TCGA-PTC cohort (stratified by pathological stage, gender, focal type, age, and BRAF status). The details of the HR and 95% CIs were shown in the last panel.</w:t>
      </w:r>
    </w:p>
    <w:p w14:paraId="35C8AA2B">
      <w:pPr>
        <w:spacing w:line="360" w:lineRule="auto"/>
        <w:rPr>
          <w:rFonts w:ascii="Arial" w:hAnsi="Arial" w:eastAsia="宋体" w:cs="Arial"/>
          <w:szCs w:val="21"/>
        </w:rPr>
      </w:pPr>
    </w:p>
    <w:p w14:paraId="4557656F">
      <w:pPr>
        <w:widowControl/>
        <w:spacing w:line="360" w:lineRule="auto"/>
        <w:rPr>
          <w:rFonts w:ascii="Arial" w:hAnsi="Arial" w:eastAsia="宋体" w:cs="Arial"/>
          <w:szCs w:val="21"/>
        </w:rPr>
      </w:pPr>
      <w:r>
        <w:rPr>
          <w:rFonts w:ascii="Arial" w:hAnsi="Arial" w:eastAsia="宋体" w:cs="Arial"/>
          <w:szCs w:val="21"/>
        </w:rPr>
        <w:br w:type="page"/>
      </w:r>
    </w:p>
    <w:p w14:paraId="24E81262">
      <w:pPr>
        <w:spacing w:line="360" w:lineRule="auto"/>
        <w:jc w:val="center"/>
        <w:rPr>
          <w:rFonts w:ascii="Arial" w:hAnsi="Arial" w:eastAsia="宋体" w:cs="Arial"/>
          <w:szCs w:val="21"/>
        </w:rPr>
      </w:pPr>
      <w:r>
        <w:drawing>
          <wp:inline distT="0" distB="0" distL="0" distR="0">
            <wp:extent cx="4755515" cy="1905000"/>
            <wp:effectExtent l="0" t="0" r="6985" b="0"/>
            <wp:docPr id="7680704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70427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2970" cy="192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AAED0">
      <w:pPr>
        <w:spacing w:line="360" w:lineRule="auto"/>
        <w:rPr>
          <w:rFonts w:ascii="Arial" w:hAnsi="Arial" w:eastAsia="宋体" w:cs="Arial"/>
          <w:szCs w:val="21"/>
        </w:rPr>
      </w:pPr>
      <w:r>
        <w:rPr>
          <w:rFonts w:hint="eastAsia" w:ascii="Arial" w:hAnsi="Arial" w:eastAsia="宋体" w:cs="Arial"/>
          <w:b/>
          <w:bCs/>
          <w:szCs w:val="21"/>
        </w:rPr>
        <w:t>Supplementary Figure S3:</w:t>
      </w:r>
      <w:r>
        <w:rPr>
          <w:rFonts w:hint="eastAsia" w:ascii="Arial" w:hAnsi="Arial" w:eastAsia="宋体" w:cs="Arial"/>
          <w:szCs w:val="21"/>
        </w:rPr>
        <w:t xml:space="preserve"> A </w:t>
      </w:r>
      <w:r>
        <w:rPr>
          <w:rFonts w:ascii="Arial" w:hAnsi="Arial" w:eastAsia="宋体" w:cs="Arial"/>
          <w:szCs w:val="21"/>
        </w:rPr>
        <w:t>density plot of the mean CERES (CRISPR</w:t>
      </w:r>
      <w:r>
        <w:rPr>
          <w:rFonts w:hint="eastAsia" w:ascii="Arial" w:hAnsi="Arial" w:eastAsia="宋体" w:cs="Arial"/>
          <w:szCs w:val="21"/>
        </w:rPr>
        <w:t>-k</w:t>
      </w:r>
      <w:r>
        <w:rPr>
          <w:rFonts w:ascii="Arial" w:hAnsi="Arial" w:eastAsia="宋体" w:cs="Arial"/>
          <w:szCs w:val="21"/>
        </w:rPr>
        <w:t xml:space="preserve">nockout </w:t>
      </w:r>
      <w:r>
        <w:rPr>
          <w:rFonts w:hint="eastAsia" w:ascii="Arial" w:hAnsi="Arial" w:eastAsia="宋体" w:cs="Arial"/>
          <w:szCs w:val="21"/>
        </w:rPr>
        <w:t>s</w:t>
      </w:r>
      <w:r>
        <w:rPr>
          <w:rFonts w:ascii="Arial" w:hAnsi="Arial" w:eastAsia="宋体" w:cs="Arial"/>
          <w:szCs w:val="21"/>
        </w:rPr>
        <w:t xml:space="preserve">ensitivity </w:t>
      </w:r>
      <w:r>
        <w:rPr>
          <w:rFonts w:hint="eastAsia" w:ascii="Arial" w:hAnsi="Arial" w:eastAsia="宋体" w:cs="Arial"/>
          <w:szCs w:val="21"/>
        </w:rPr>
        <w:t>s</w:t>
      </w:r>
      <w:r>
        <w:rPr>
          <w:rFonts w:ascii="Arial" w:hAnsi="Arial" w:eastAsia="宋体" w:cs="Arial"/>
          <w:szCs w:val="21"/>
        </w:rPr>
        <w:t>core) values across all genes.</w:t>
      </w:r>
      <w:r>
        <w:rPr>
          <w:rFonts w:hint="eastAsia" w:ascii="Arial" w:hAnsi="Arial" w:eastAsia="宋体" w:cs="Arial"/>
          <w:szCs w:val="21"/>
        </w:rPr>
        <w:t xml:space="preserve"> CERES &lt; -2: Heavily dependent; -2 &lt; CERES &lt; -1: Moderately dependent; -1 &lt; CERES &lt; -0.25: Mildly dependent; -0.25 &lt; CERES &lt; 0.25: Survival-independent; CERES &gt; 0.25: Survival-suppression.</w:t>
      </w:r>
    </w:p>
    <w:p w14:paraId="38CE5A43">
      <w:pPr>
        <w:spacing w:line="360" w:lineRule="auto"/>
        <w:rPr>
          <w:rFonts w:ascii="Arial" w:hAnsi="Arial" w:eastAsia="宋体" w:cs="Arial"/>
          <w:szCs w:val="21"/>
        </w:rPr>
      </w:pPr>
    </w:p>
    <w:p w14:paraId="6DD6355C">
      <w:pPr>
        <w:widowControl/>
        <w:spacing w:line="360" w:lineRule="auto"/>
        <w:rPr>
          <w:rFonts w:ascii="Arial" w:hAnsi="Arial" w:eastAsia="宋体" w:cs="Arial"/>
          <w:szCs w:val="21"/>
        </w:rPr>
      </w:pPr>
      <w:r>
        <w:rPr>
          <w:rFonts w:ascii="Arial" w:hAnsi="Arial" w:eastAsia="宋体" w:cs="Arial"/>
          <w:szCs w:val="21"/>
        </w:rPr>
        <w:br w:type="page"/>
      </w:r>
    </w:p>
    <w:p w14:paraId="577736F1">
      <w:pPr>
        <w:spacing w:line="360" w:lineRule="auto"/>
        <w:jc w:val="center"/>
        <w:rPr>
          <w:rFonts w:ascii="Arial" w:hAnsi="Arial" w:eastAsia="宋体" w:cs="Arial"/>
          <w:szCs w:val="21"/>
        </w:rPr>
      </w:pPr>
      <w:r>
        <w:drawing>
          <wp:inline distT="0" distB="0" distL="0" distR="0">
            <wp:extent cx="5372100" cy="3076575"/>
            <wp:effectExtent l="0" t="0" r="0" b="9525"/>
            <wp:docPr id="14459649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6490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3277" cy="308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55DCE">
      <w:pPr>
        <w:spacing w:line="360" w:lineRule="auto"/>
        <w:rPr>
          <w:rFonts w:ascii="Arial" w:hAnsi="Arial" w:eastAsia="宋体" w:cs="Arial"/>
          <w:szCs w:val="21"/>
        </w:rPr>
      </w:pPr>
      <w:r>
        <w:rPr>
          <w:rFonts w:hint="eastAsia" w:ascii="Arial" w:hAnsi="Arial" w:eastAsia="宋体" w:cs="Arial"/>
          <w:b/>
          <w:bCs/>
          <w:szCs w:val="21"/>
        </w:rPr>
        <w:t>Supplementary Figure S4:</w:t>
      </w:r>
      <w:r>
        <w:rPr>
          <w:rFonts w:hint="eastAsia" w:ascii="Arial" w:hAnsi="Arial" w:eastAsia="宋体" w:cs="Arial"/>
          <w:szCs w:val="21"/>
        </w:rPr>
        <w:t xml:space="preserve"> </w:t>
      </w:r>
      <w:bookmarkStart w:id="0" w:name="_Hlk191474380"/>
      <w:r>
        <w:rPr>
          <w:rFonts w:hint="eastAsia" w:ascii="Arial" w:hAnsi="Arial" w:eastAsia="宋体" w:cs="Arial"/>
          <w:szCs w:val="21"/>
        </w:rPr>
        <w:t xml:space="preserve">(A) The free energy landscape in the molecular dynamics simulation analysis. Detailed parameters including (B) </w:t>
      </w:r>
      <w:r>
        <w:rPr>
          <w:rFonts w:hint="eastAsia" w:ascii="Arial" w:hAnsi="Arial" w:cs="Arial"/>
        </w:rPr>
        <w:t>Root Mean Square Deviation (</w:t>
      </w:r>
      <w:r>
        <w:rPr>
          <w:rFonts w:hint="eastAsia" w:ascii="Arial" w:hAnsi="Arial" w:eastAsia="宋体" w:cs="Arial"/>
          <w:szCs w:val="21"/>
        </w:rPr>
        <w:t xml:space="preserve">RMSD), (C) </w:t>
      </w:r>
      <w:r>
        <w:rPr>
          <w:rFonts w:hint="eastAsia" w:ascii="Arial" w:hAnsi="Arial" w:cs="Arial"/>
        </w:rPr>
        <w:t>Radius of Gyration (</w:t>
      </w:r>
      <w:r>
        <w:rPr>
          <w:rFonts w:hint="eastAsia" w:ascii="Arial" w:hAnsi="Arial" w:eastAsia="宋体" w:cs="Arial"/>
          <w:szCs w:val="21"/>
        </w:rPr>
        <w:t xml:space="preserve">Rg), (D) </w:t>
      </w:r>
      <w:r>
        <w:rPr>
          <w:rFonts w:hint="eastAsia" w:ascii="Arial" w:hAnsi="Arial" w:cs="Arial"/>
        </w:rPr>
        <w:t>Solvent Accessible Surface Area (</w:t>
      </w:r>
      <w:r>
        <w:rPr>
          <w:rFonts w:hint="eastAsia" w:ascii="Arial" w:hAnsi="Arial" w:eastAsia="宋体" w:cs="Arial"/>
          <w:szCs w:val="21"/>
        </w:rPr>
        <w:t xml:space="preserve">SASA), (E) hydrogen bond number, and (F) </w:t>
      </w:r>
      <w:r>
        <w:rPr>
          <w:rFonts w:hint="eastAsia" w:ascii="Arial" w:hAnsi="Arial" w:cs="Arial"/>
        </w:rPr>
        <w:t>Root Mean Square Fluctuation (</w:t>
      </w:r>
      <w:r>
        <w:rPr>
          <w:rFonts w:hint="eastAsia" w:ascii="Arial" w:hAnsi="Arial" w:eastAsia="宋体" w:cs="Arial"/>
          <w:szCs w:val="21"/>
        </w:rPr>
        <w:t>RMSF) values were estimated through molecular dynamics simulation analysis. These results further revealed the high affinity of gemcitabine binding to the RRM1 protein</w:t>
      </w:r>
      <w:bookmarkEnd w:id="0"/>
      <w:r>
        <w:rPr>
          <w:rFonts w:hint="eastAsia" w:ascii="Arial" w:hAnsi="Arial" w:eastAsia="宋体" w:cs="Arial"/>
          <w:szCs w:val="21"/>
        </w:rPr>
        <w:t>.</w:t>
      </w:r>
    </w:p>
    <w:p w14:paraId="62953E2D">
      <w:pPr>
        <w:widowControl/>
        <w:spacing w:line="360" w:lineRule="auto"/>
        <w:rPr>
          <w:rFonts w:ascii="Arial" w:hAnsi="Arial" w:eastAsia="宋体" w:cs="Arial"/>
          <w:szCs w:val="21"/>
        </w:rPr>
      </w:pPr>
      <w:r>
        <w:rPr>
          <w:rFonts w:ascii="Arial" w:hAnsi="Arial" w:eastAsia="宋体" w:cs="Arial"/>
          <w:szCs w:val="21"/>
        </w:rPr>
        <w:br w:type="page"/>
      </w:r>
    </w:p>
    <w:p w14:paraId="362DF5A3">
      <w:pPr>
        <w:spacing w:line="360" w:lineRule="auto"/>
        <w:jc w:val="center"/>
        <w:rPr>
          <w:rFonts w:ascii="Arial" w:hAnsi="Arial" w:eastAsia="宋体" w:cs="Arial"/>
          <w:szCs w:val="21"/>
        </w:rPr>
      </w:pPr>
      <w:r>
        <w:drawing>
          <wp:inline distT="0" distB="0" distL="0" distR="0">
            <wp:extent cx="5203190" cy="3789045"/>
            <wp:effectExtent l="0" t="0" r="0" b="1905"/>
            <wp:docPr id="14804838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483829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801" cy="381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9CE9">
      <w:pPr>
        <w:spacing w:line="360" w:lineRule="auto"/>
        <w:rPr>
          <w:rFonts w:ascii="Arial" w:hAnsi="Arial" w:eastAsia="宋体" w:cs="Arial"/>
          <w:szCs w:val="21"/>
        </w:rPr>
      </w:pPr>
      <w:r>
        <w:rPr>
          <w:rFonts w:hint="eastAsia" w:ascii="Arial" w:hAnsi="Arial" w:eastAsia="宋体" w:cs="Arial"/>
          <w:b/>
          <w:bCs/>
          <w:szCs w:val="21"/>
        </w:rPr>
        <w:t>Supplementary Figure S5:</w:t>
      </w:r>
      <w:r>
        <w:rPr>
          <w:rFonts w:hint="eastAsia" w:ascii="Arial" w:hAnsi="Arial" w:eastAsia="宋体" w:cs="Arial"/>
          <w:szCs w:val="21"/>
        </w:rPr>
        <w:t xml:space="preserve"> (A) </w:t>
      </w:r>
      <w:r>
        <w:rPr>
          <w:rFonts w:hint="eastAsia" w:ascii="Arial" w:hAnsi="Arial" w:cs="Arial"/>
          <w:szCs w:val="21"/>
        </w:rPr>
        <w:t>Ten major cell populations were identified in the PTC-TME using UMAP reduction, and the expression landscape of the marker genes for each cell type (Epithelial cell, NK/CD8</w:t>
      </w:r>
      <w:r>
        <w:rPr>
          <w:rFonts w:hint="eastAsia" w:ascii="Arial" w:hAnsi="Arial" w:cs="Arial"/>
          <w:szCs w:val="21"/>
          <w:vertAlign w:val="superscript"/>
        </w:rPr>
        <w:t>+</w:t>
      </w:r>
      <w:r>
        <w:rPr>
          <w:rFonts w:hint="eastAsia" w:ascii="Arial" w:hAnsi="Arial" w:cs="Arial"/>
          <w:szCs w:val="21"/>
        </w:rPr>
        <w:t xml:space="preserve"> T, CD4</w:t>
      </w:r>
      <w:r>
        <w:rPr>
          <w:rFonts w:hint="eastAsia" w:ascii="Arial" w:hAnsi="Arial" w:cs="Arial"/>
          <w:szCs w:val="21"/>
          <w:vertAlign w:val="superscript"/>
        </w:rPr>
        <w:t>+</w:t>
      </w:r>
      <w:r>
        <w:rPr>
          <w:rFonts w:hint="eastAsia" w:ascii="Arial" w:hAnsi="Arial" w:cs="Arial"/>
          <w:szCs w:val="21"/>
        </w:rPr>
        <w:t xml:space="preserve"> T, B, Plasma, Fibroblast, Monocyte, Macrophage, Tprolif, and endothelial cell) was shown in (B) an expression heatmap and (C) expression </w:t>
      </w:r>
      <w:r>
        <w:rPr>
          <w:rFonts w:ascii="Arial" w:hAnsi="Arial" w:cs="Arial"/>
          <w:szCs w:val="21"/>
        </w:rPr>
        <w:t>density</w:t>
      </w:r>
      <w:r>
        <w:rPr>
          <w:rFonts w:hint="eastAsia" w:ascii="Arial" w:hAnsi="Arial" w:cs="Arial"/>
          <w:szCs w:val="21"/>
        </w:rPr>
        <w:t xml:space="preserve"> plot.</w:t>
      </w:r>
    </w:p>
    <w:p w14:paraId="2CF6BA6A">
      <w:pPr>
        <w:widowControl/>
        <w:spacing w:line="360" w:lineRule="auto"/>
        <w:rPr>
          <w:rFonts w:ascii="Arial" w:hAnsi="Arial" w:eastAsia="宋体" w:cs="Arial"/>
          <w:szCs w:val="21"/>
        </w:rPr>
      </w:pPr>
      <w:r>
        <w:rPr>
          <w:rFonts w:ascii="Arial" w:hAnsi="Arial" w:eastAsia="宋体" w:cs="Arial"/>
          <w:szCs w:val="21"/>
        </w:rPr>
        <w:br w:type="page"/>
      </w:r>
    </w:p>
    <w:p w14:paraId="7165ED0F">
      <w:pPr>
        <w:spacing w:line="360" w:lineRule="auto"/>
        <w:jc w:val="center"/>
        <w:rPr>
          <w:rFonts w:ascii="Arial" w:hAnsi="Arial" w:eastAsia="宋体" w:cs="Arial"/>
          <w:szCs w:val="21"/>
        </w:rPr>
      </w:pPr>
      <w:r>
        <w:drawing>
          <wp:inline distT="0" distB="0" distL="0" distR="0">
            <wp:extent cx="2155825" cy="1534795"/>
            <wp:effectExtent l="0" t="0" r="0" b="8255"/>
            <wp:docPr id="14479423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942363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789" cy="155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24A55">
      <w:pPr>
        <w:spacing w:line="360" w:lineRule="auto"/>
        <w:rPr>
          <w:rFonts w:ascii="Arial" w:hAnsi="Arial" w:eastAsia="宋体" w:cs="Arial"/>
          <w:szCs w:val="21"/>
        </w:rPr>
      </w:pPr>
      <w:r>
        <w:rPr>
          <w:rFonts w:hint="eastAsia" w:ascii="Arial" w:hAnsi="Arial" w:eastAsia="宋体" w:cs="Arial"/>
          <w:b/>
          <w:bCs/>
          <w:szCs w:val="21"/>
        </w:rPr>
        <w:t>Supplementary Figure S6:</w:t>
      </w:r>
      <w:r>
        <w:rPr>
          <w:rFonts w:hint="eastAsia" w:ascii="Arial" w:hAnsi="Arial" w:eastAsia="宋体" w:cs="Arial"/>
          <w:szCs w:val="21"/>
        </w:rPr>
        <w:t xml:space="preserve"> The RRM1 mRNA is significantly downregulated </w:t>
      </w:r>
      <w:r>
        <w:rPr>
          <w:rFonts w:hint="eastAsia" w:ascii="Arial" w:hAnsi="Arial" w:cs="Arial"/>
          <w:szCs w:val="21"/>
        </w:rPr>
        <w:t xml:space="preserve">in </w:t>
      </w:r>
      <w:r>
        <w:rPr>
          <w:rFonts w:ascii="Arial" w:hAnsi="Arial" w:cs="Arial"/>
          <w:szCs w:val="21"/>
        </w:rPr>
        <w:t>HCT116</w:t>
      </w:r>
      <w:r>
        <w:rPr>
          <w:rFonts w:hint="eastAsia" w:ascii="Arial" w:hAnsi="Arial" w:cs="Arial"/>
          <w:szCs w:val="21"/>
        </w:rPr>
        <w:t xml:space="preserve"> cells treated with two siRNAs targeting MYC. Data from GSE87693 dataset (n.ctrl = 4, n.siRNA1 = 4, n.siRNA2 = 4; all p-values &lt; 0.001). </w:t>
      </w:r>
    </w:p>
    <w:p w14:paraId="06321EF1">
      <w:pPr>
        <w:spacing w:line="360" w:lineRule="auto"/>
        <w:rPr>
          <w:rFonts w:ascii="Arial" w:hAnsi="Arial" w:eastAsia="宋体" w:cs="Arial"/>
          <w:szCs w:val="21"/>
        </w:rPr>
      </w:pPr>
    </w:p>
    <w:p w14:paraId="26CF7D2C">
      <w:pPr>
        <w:widowControl/>
        <w:spacing w:line="360" w:lineRule="auto"/>
        <w:rPr>
          <w:rFonts w:ascii="Arial" w:hAnsi="Arial" w:eastAsia="宋体" w:cs="Arial"/>
          <w:szCs w:val="21"/>
        </w:rPr>
      </w:pPr>
      <w:r>
        <w:rPr>
          <w:rFonts w:ascii="Arial" w:hAnsi="Arial" w:eastAsia="宋体" w:cs="Arial"/>
          <w:szCs w:val="21"/>
        </w:rPr>
        <w:br w:type="page"/>
      </w:r>
    </w:p>
    <w:p w14:paraId="3C2C853E">
      <w:pPr>
        <w:spacing w:line="360" w:lineRule="auto"/>
        <w:jc w:val="center"/>
        <w:rPr>
          <w:rFonts w:ascii="Arial" w:hAnsi="Arial" w:eastAsia="宋体" w:cs="Arial"/>
          <w:szCs w:val="21"/>
        </w:rPr>
      </w:pPr>
      <w:r>
        <w:drawing>
          <wp:inline distT="0" distB="0" distL="0" distR="0">
            <wp:extent cx="5286375" cy="1587500"/>
            <wp:effectExtent l="0" t="0" r="0" b="0"/>
            <wp:docPr id="63008329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83294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0308" cy="158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117CF">
      <w:pPr>
        <w:spacing w:line="360" w:lineRule="auto"/>
        <w:rPr>
          <w:rFonts w:ascii="Arial" w:hAnsi="Arial" w:eastAsia="宋体" w:cs="Arial"/>
          <w:szCs w:val="21"/>
        </w:rPr>
      </w:pPr>
      <w:r>
        <w:rPr>
          <w:rFonts w:hint="eastAsia" w:ascii="Arial" w:hAnsi="Arial" w:eastAsia="宋体" w:cs="Arial"/>
          <w:b/>
          <w:bCs/>
          <w:szCs w:val="21"/>
        </w:rPr>
        <w:t>Supplementary Figure S7:</w:t>
      </w:r>
      <w:r>
        <w:rPr>
          <w:rFonts w:hint="eastAsia" w:ascii="Arial" w:hAnsi="Arial" w:eastAsia="宋体" w:cs="Arial"/>
          <w:szCs w:val="21"/>
        </w:rPr>
        <w:t xml:space="preserve"> Three plasmids for (A) RRM1 promoter (wt), (B) RRM1 promoter (mut), and (C) c-MYC were designed and illustrated.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85128811"/>
      <w:docPartObj>
        <w:docPartGallery w:val="autotext"/>
      </w:docPartObj>
    </w:sdtPr>
    <w:sdtContent>
      <w:p w14:paraId="2DDF4016">
        <w:pPr>
          <w:pStyle w:val="11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191FD5A">
    <w:pPr>
      <w:pStyle w:val="11"/>
      <w:rPr>
        <w:rFonts w:hint="eastAsia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F5368B"/>
    <w:multiLevelType w:val="multilevel"/>
    <w:tmpl w:val="2EF5368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08A"/>
    <w:rsid w:val="0002326F"/>
    <w:rsid w:val="000438F0"/>
    <w:rsid w:val="0006108A"/>
    <w:rsid w:val="00076CA4"/>
    <w:rsid w:val="00083CE7"/>
    <w:rsid w:val="000B70FC"/>
    <w:rsid w:val="000C0860"/>
    <w:rsid w:val="001161D5"/>
    <w:rsid w:val="00131670"/>
    <w:rsid w:val="00144DD6"/>
    <w:rsid w:val="00181F6C"/>
    <w:rsid w:val="001B0797"/>
    <w:rsid w:val="001B1C13"/>
    <w:rsid w:val="001B4ABA"/>
    <w:rsid w:val="001E2712"/>
    <w:rsid w:val="00224D86"/>
    <w:rsid w:val="002A36E8"/>
    <w:rsid w:val="002C32AA"/>
    <w:rsid w:val="002E2E2B"/>
    <w:rsid w:val="002E6685"/>
    <w:rsid w:val="002F71F6"/>
    <w:rsid w:val="003C72B6"/>
    <w:rsid w:val="00426C0D"/>
    <w:rsid w:val="004310E3"/>
    <w:rsid w:val="00437407"/>
    <w:rsid w:val="00466CE0"/>
    <w:rsid w:val="004B74E5"/>
    <w:rsid w:val="00531B70"/>
    <w:rsid w:val="00571ECF"/>
    <w:rsid w:val="00637AB7"/>
    <w:rsid w:val="006B342C"/>
    <w:rsid w:val="006F4B37"/>
    <w:rsid w:val="00771735"/>
    <w:rsid w:val="007737FD"/>
    <w:rsid w:val="0082145F"/>
    <w:rsid w:val="00833860"/>
    <w:rsid w:val="00837624"/>
    <w:rsid w:val="00863559"/>
    <w:rsid w:val="008C5746"/>
    <w:rsid w:val="00932353"/>
    <w:rsid w:val="009925C5"/>
    <w:rsid w:val="009A115C"/>
    <w:rsid w:val="009A25FD"/>
    <w:rsid w:val="009E293F"/>
    <w:rsid w:val="00A47B86"/>
    <w:rsid w:val="00A840A1"/>
    <w:rsid w:val="00AB47FD"/>
    <w:rsid w:val="00AD25E0"/>
    <w:rsid w:val="00AF2583"/>
    <w:rsid w:val="00B03548"/>
    <w:rsid w:val="00B26346"/>
    <w:rsid w:val="00B32777"/>
    <w:rsid w:val="00B94CEF"/>
    <w:rsid w:val="00C30206"/>
    <w:rsid w:val="00C404C1"/>
    <w:rsid w:val="00C87E1C"/>
    <w:rsid w:val="00CD2628"/>
    <w:rsid w:val="00CD6CF8"/>
    <w:rsid w:val="00CE133F"/>
    <w:rsid w:val="00D10474"/>
    <w:rsid w:val="00D10E4E"/>
    <w:rsid w:val="00D21A81"/>
    <w:rsid w:val="00D442DC"/>
    <w:rsid w:val="00D675A8"/>
    <w:rsid w:val="00D82F5E"/>
    <w:rsid w:val="00E43162"/>
    <w:rsid w:val="00E64118"/>
    <w:rsid w:val="00EB66DF"/>
    <w:rsid w:val="00EC3FB4"/>
    <w:rsid w:val="00F246C1"/>
    <w:rsid w:val="00F65C0A"/>
    <w:rsid w:val="00F93D55"/>
    <w:rsid w:val="00FE6DCD"/>
    <w:rsid w:val="00FF59CB"/>
    <w:rsid w:val="00FF77ED"/>
    <w:rsid w:val="065A26E4"/>
    <w:rsid w:val="50300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7">
    <w:name w:val="Hyperlink"/>
    <w:basedOn w:val="16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6"/>
    <w:link w:val="6"/>
    <w:semiHidden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3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6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6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4">
    <w:name w:val="明显引用 字符"/>
    <w:basedOn w:val="16"/>
    <w:link w:val="33"/>
    <w:qFormat/>
    <w:uiPriority w:val="30"/>
    <w:rPr>
      <w:i/>
      <w:iCs/>
      <w:color w:val="104862" w:themeColor="accent1" w:themeShade="BF"/>
    </w:rPr>
  </w:style>
  <w:style w:type="character" w:customStyle="1" w:styleId="35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7">
    <w:name w:val="页脚 字符"/>
    <w:basedOn w:val="16"/>
    <w:link w:val="11"/>
    <w:uiPriority w:val="99"/>
    <w:rPr>
      <w:sz w:val="18"/>
      <w:szCs w:val="18"/>
    </w:rPr>
  </w:style>
  <w:style w:type="character" w:customStyle="1" w:styleId="38">
    <w:name w:val="Unresolved Mention"/>
    <w:basedOn w:val="1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8" Type="http://schemas.openxmlformats.org/officeDocument/2006/relationships/image" Target="media/image4.tiff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tiff"/><Relationship Id="rId10" Type="http://schemas.openxmlformats.org/officeDocument/2006/relationships/image" Target="media/image6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607</Words>
  <Characters>3784</Characters>
  <Lines>90</Lines>
  <Paragraphs>34</Paragraphs>
  <TotalTime>0</TotalTime>
  <ScaleCrop>false</ScaleCrop>
  <LinksUpToDate>false</LinksUpToDate>
  <CharactersWithSpaces>4366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2025-02-26T05:51:00Z</dcterms:created>
  <dc:creator>润 施</dc:creator>
  <cp:lastModifiedBy>ANGELULU</cp:lastModifiedBy>
  <dcterms:modified xsi:type="dcterms:W3CDTF">2025-06-27T10:25:02Z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EA7C302BDCA84D5999BE10C61EF578BA_13</vt:lpwstr>
  </property>
  <property fmtid="{D5CDD505-2E9C-101B-9397-08002B2CF9AE}" pid="4" name="KSOTemplateDocerSaveRecord">
    <vt:lpwstr>eyJoZGlkIjoiNmYzZjlkMGZmMzlhZTVhNGE0YmRjMGVhODRlYTE0NTEiLCJ1c2VySWQiOiI2NzAyNDc5NzMifQ==</vt:lpwstr>
  </property>
</Properties>
</file>