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FE0BF" w14:textId="77777777" w:rsidR="00527246" w:rsidRDefault="00527246" w:rsidP="00527246">
      <w:pPr>
        <w:pStyle w:val="Heading1"/>
        <w:rPr>
          <w:color w:val="2A2D35"/>
          <w:sz w:val="21"/>
          <w:szCs w:val="21"/>
        </w:rPr>
      </w:pPr>
      <w:r>
        <w:t>Extended tables and Figures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527246" w14:paraId="32853923" w14:textId="77777777" w:rsidTr="0084304F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DBF60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</w:rPr>
              <w:t>Source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3A45B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</w:rPr>
              <w:t>Records</w:t>
            </w:r>
          </w:p>
        </w:tc>
      </w:tr>
      <w:tr w:rsidR="00527246" w14:paraId="68A07CFA" w14:textId="77777777" w:rsidTr="0084304F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DB3C7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</w:rPr>
              <w:t>Web of Science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6BEBF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  <w:highlight w:val="white"/>
              </w:rPr>
              <w:t>411,194</w:t>
            </w:r>
          </w:p>
        </w:tc>
      </w:tr>
      <w:tr w:rsidR="00527246" w14:paraId="7691A1B9" w14:textId="77777777" w:rsidTr="0084304F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7699F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</w:rPr>
              <w:t>Scopus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BDAB2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  <w:highlight w:val="white"/>
              </w:rPr>
              <w:t>476,778</w:t>
            </w:r>
          </w:p>
        </w:tc>
      </w:tr>
      <w:tr w:rsidR="00527246" w14:paraId="32E42039" w14:textId="77777777" w:rsidTr="0084304F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625DA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</w:rPr>
            </w:pPr>
            <w:r>
              <w:rPr>
                <w:color w:val="2A2D35"/>
                <w:sz w:val="21"/>
                <w:szCs w:val="21"/>
              </w:rPr>
              <w:t>Total unique records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6E88C" w14:textId="77777777" w:rsidR="00527246" w:rsidRDefault="00527246" w:rsidP="0084304F">
            <w:pPr>
              <w:widowControl w:val="0"/>
              <w:spacing w:line="240" w:lineRule="auto"/>
              <w:rPr>
                <w:color w:val="2A2D35"/>
                <w:sz w:val="21"/>
                <w:szCs w:val="21"/>
                <w:highlight w:val="white"/>
              </w:rPr>
            </w:pPr>
            <w:r>
              <w:rPr>
                <w:color w:val="2A2D35"/>
                <w:sz w:val="21"/>
                <w:szCs w:val="21"/>
                <w:highlight w:val="white"/>
              </w:rPr>
              <w:t>610,098</w:t>
            </w:r>
          </w:p>
        </w:tc>
      </w:tr>
    </w:tbl>
    <w:p w14:paraId="74B4EA9E" w14:textId="77777777" w:rsidR="00527246" w:rsidRDefault="00527246" w:rsidP="00527246">
      <w:pPr>
        <w:shd w:val="clear" w:color="auto" w:fill="FFFFFF"/>
        <w:spacing w:before="160" w:after="160"/>
        <w:rPr>
          <w:i/>
          <w:color w:val="2A2D35"/>
          <w:sz w:val="21"/>
          <w:szCs w:val="21"/>
        </w:rPr>
      </w:pPr>
      <w:r>
        <w:rPr>
          <w:i/>
          <w:color w:val="2A2D35"/>
          <w:sz w:val="21"/>
          <w:szCs w:val="21"/>
        </w:rPr>
        <w:t>Extended Table 1: Records retrieved from Web of Science and Scopus</w:t>
      </w:r>
    </w:p>
    <w:p w14:paraId="5B99AD47" w14:textId="77777777" w:rsidR="00527246" w:rsidRDefault="00527246" w:rsidP="00527246"/>
    <w:p w14:paraId="31995CA1" w14:textId="77777777" w:rsidR="00527246" w:rsidRDefault="00527246" w:rsidP="00527246">
      <w:r>
        <w:rPr>
          <w:noProof/>
          <w:lang w:val="de-DE"/>
        </w:rPr>
        <w:lastRenderedPageBreak/>
        <w:drawing>
          <wp:inline distT="114300" distB="114300" distL="114300" distR="114300" wp14:anchorId="41D2B027" wp14:editId="4ABCAFF1">
            <wp:extent cx="5943600" cy="7391400"/>
            <wp:effectExtent l="0" t="0" r="0" b="0"/>
            <wp:docPr id="10" name="image2.pn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 descr="Diagram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9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834C2D" w14:textId="77777777" w:rsidR="00527246" w:rsidRDefault="00527246" w:rsidP="00527246">
      <w:r>
        <w:t>Extended Fig 1| A visual representation of the workflow of our machine learning assisted attribution map.</w:t>
      </w:r>
    </w:p>
    <w:p w14:paraId="3F0E4353" w14:textId="77777777" w:rsidR="00527246" w:rsidRDefault="00527246" w:rsidP="00527246"/>
    <w:p w14:paraId="21398CFD" w14:textId="77777777" w:rsidR="00527246" w:rsidRDefault="00527246" w:rsidP="00527246"/>
    <w:p w14:paraId="37E2847A" w14:textId="77777777" w:rsidR="00527246" w:rsidRDefault="00527246" w:rsidP="00527246">
      <w:r>
        <w:br w:type="page"/>
      </w:r>
      <w:r>
        <w:rPr>
          <w:noProof/>
          <w:lang w:val="de-DE"/>
        </w:rPr>
        <w:lastRenderedPageBreak/>
        <w:drawing>
          <wp:inline distT="114300" distB="114300" distL="114300" distR="114300" wp14:anchorId="43B6A058" wp14:editId="50322A1B">
            <wp:extent cx="5943600" cy="4076700"/>
            <wp:effectExtent l="0" t="0" r="0" b="0"/>
            <wp:docPr id="11" name="image4.png" descr="Chart, ba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 descr="Chart, bar char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010980" w14:textId="77777777" w:rsidR="00527246" w:rsidRDefault="00527246" w:rsidP="00527246">
      <w:pPr>
        <w:rPr>
          <w:i/>
        </w:rPr>
      </w:pPr>
      <w:r>
        <w:rPr>
          <w:b/>
          <w:i/>
        </w:rPr>
        <w:t xml:space="preserve">Extended Fig 2| Nested cross validation (CV) procedure for the binary relevance classifier. </w:t>
      </w:r>
      <w:r>
        <w:rPr>
          <w:i/>
        </w:rPr>
        <w:t>Models are fit using training documents and evaluated on validation/test documents. The inner CV loop is used to search for optimal hyperparameter settings, which are then evaluated on the outer test sets.</w:t>
      </w:r>
      <w:r>
        <w:br w:type="page"/>
      </w:r>
      <w:r>
        <w:rPr>
          <w:i/>
          <w:noProof/>
          <w:lang w:val="de-DE"/>
        </w:rPr>
        <w:lastRenderedPageBreak/>
        <w:drawing>
          <wp:inline distT="114300" distB="114300" distL="114300" distR="114300" wp14:anchorId="2F863B5B" wp14:editId="4B9FDAF7">
            <wp:extent cx="5943600" cy="3962400"/>
            <wp:effectExtent l="0" t="0" r="0" b="0"/>
            <wp:docPr id="5" name="image5.png" descr="Chart, box and whisk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 descr="Chart, box and whisker chart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D62A6D" w14:textId="77777777" w:rsidR="00527246" w:rsidRDefault="00527246" w:rsidP="00527246">
      <w:pPr>
        <w:rPr>
          <w:i/>
        </w:rPr>
      </w:pPr>
      <w:r>
        <w:rPr>
          <w:b/>
          <w:i/>
        </w:rPr>
        <w:t>Extended Fig. 3| Performance metrics for the binary inclusion/exclusion classifier</w:t>
      </w:r>
      <w:r>
        <w:rPr>
          <w:i/>
        </w:rPr>
        <w:t>. Each pair of dots represents the scores for a distinct cross-validation fold. Horizontal lines show the mean score across folds.</w:t>
      </w:r>
    </w:p>
    <w:p w14:paraId="7526508A" w14:textId="77777777" w:rsidR="00527246" w:rsidRDefault="00527246" w:rsidP="00527246">
      <w:pPr>
        <w:rPr>
          <w:i/>
        </w:rPr>
      </w:pPr>
      <w:r>
        <w:rPr>
          <w:i/>
        </w:rPr>
        <w:br/>
      </w:r>
      <w:r>
        <w:br w:type="page"/>
      </w:r>
    </w:p>
    <w:p w14:paraId="59ECC022" w14:textId="77777777" w:rsidR="00527246" w:rsidRDefault="00527246" w:rsidP="00527246">
      <w:pPr>
        <w:rPr>
          <w:i/>
        </w:rPr>
      </w:pPr>
    </w:p>
    <w:p w14:paraId="6A93B7E2" w14:textId="77777777" w:rsidR="00527246" w:rsidRDefault="00527246" w:rsidP="00527246"/>
    <w:p w14:paraId="400249A5" w14:textId="77777777" w:rsidR="00527246" w:rsidRDefault="00527246" w:rsidP="00527246"/>
    <w:p w14:paraId="32D0120A" w14:textId="77777777" w:rsidR="00527246" w:rsidRDefault="00527246" w:rsidP="00527246">
      <w:r>
        <w:rPr>
          <w:noProof/>
          <w:lang w:val="de-DE"/>
        </w:rPr>
        <w:drawing>
          <wp:inline distT="114300" distB="114300" distL="114300" distR="114300" wp14:anchorId="4EA00574" wp14:editId="6BFE172B">
            <wp:extent cx="5943600" cy="5092700"/>
            <wp:effectExtent l="0" t="0" r="0" b="0"/>
            <wp:docPr id="9" name="image9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 descr="Chart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9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50CDF7" w14:textId="77777777" w:rsidR="00527246" w:rsidRDefault="00527246" w:rsidP="00527246">
      <w:pPr>
        <w:rPr>
          <w:i/>
        </w:rPr>
      </w:pPr>
      <w:r>
        <w:rPr>
          <w:b/>
          <w:i/>
        </w:rPr>
        <w:t xml:space="preserve">Extended Figure 4| Receiver operating curve area under the curve scores (ROC AUC) and F1 scores for the classification of impact categories. </w:t>
      </w:r>
      <w:r>
        <w:rPr>
          <w:i/>
        </w:rPr>
        <w:t xml:space="preserve">Each pair of dots represents the scores for a distinct cross-validation fold. Horizontal lines show the mean score across folds. </w:t>
      </w:r>
    </w:p>
    <w:p w14:paraId="7DFA6FBE" w14:textId="77777777" w:rsidR="00527246" w:rsidRDefault="00527246" w:rsidP="00527246">
      <w:pPr>
        <w:rPr>
          <w:b/>
          <w:i/>
        </w:rPr>
      </w:pPr>
    </w:p>
    <w:p w14:paraId="0B9DC556" w14:textId="77777777" w:rsidR="00527246" w:rsidRDefault="00527246" w:rsidP="00527246"/>
    <w:p w14:paraId="3EA82AB7" w14:textId="77777777" w:rsidR="00527246" w:rsidRDefault="00527246" w:rsidP="00527246"/>
    <w:p w14:paraId="547B8A57" w14:textId="77777777" w:rsidR="00527246" w:rsidRDefault="00527246" w:rsidP="00527246">
      <w:r>
        <w:rPr>
          <w:noProof/>
          <w:lang w:val="de-DE"/>
        </w:rPr>
        <w:lastRenderedPageBreak/>
        <w:drawing>
          <wp:inline distT="114300" distB="114300" distL="114300" distR="114300" wp14:anchorId="0DCBB945" wp14:editId="5B8F4E3A">
            <wp:extent cx="5943600" cy="4127500"/>
            <wp:effectExtent l="0" t="0" r="0" b="0"/>
            <wp:docPr id="4" name="image8.pn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png" descr="Diagram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771FF9" w14:textId="77777777" w:rsidR="00527246" w:rsidRDefault="00527246" w:rsidP="00527246"/>
    <w:p w14:paraId="4F124A4E" w14:textId="77777777" w:rsidR="00527246" w:rsidRDefault="00527246" w:rsidP="00527246">
      <w:pPr>
        <w:rPr>
          <w:i/>
        </w:rPr>
      </w:pPr>
      <w:r>
        <w:rPr>
          <w:b/>
          <w:i/>
        </w:rPr>
        <w:t xml:space="preserve">Extended Fig. 5| Receiver operating curves area under the curve scores (ROC AUC)(ROC) and F1 scores for the classification of drivers. </w:t>
      </w:r>
      <w:r>
        <w:rPr>
          <w:i/>
        </w:rPr>
        <w:t xml:space="preserve">Each pair of dots represents the scores for a distinct cross-validation fold. Horizontal lines show the mean score across folds. </w:t>
      </w:r>
    </w:p>
    <w:p w14:paraId="0BB96AAE" w14:textId="77777777" w:rsidR="00527246" w:rsidRDefault="00527246" w:rsidP="00527246">
      <w:r>
        <w:rPr>
          <w:noProof/>
          <w:lang w:val="de-DE"/>
        </w:rPr>
        <w:lastRenderedPageBreak/>
        <w:drawing>
          <wp:inline distT="114300" distB="114300" distL="114300" distR="114300" wp14:anchorId="23B8EFD2" wp14:editId="08D52296">
            <wp:extent cx="5943600" cy="4508500"/>
            <wp:effectExtent l="0" t="0" r="0" b="0"/>
            <wp:docPr id="8" name="image1.png" descr="A picture containing 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 descr="A picture containing graphical user interface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3E4E9B" w14:textId="77777777" w:rsidR="00527246" w:rsidRDefault="00527246" w:rsidP="00527246"/>
    <w:p w14:paraId="685A6F64" w14:textId="77777777" w:rsidR="00527246" w:rsidRDefault="00527246" w:rsidP="00527246">
      <w:pPr>
        <w:rPr>
          <w:i/>
        </w:rPr>
      </w:pPr>
      <w:r>
        <w:rPr>
          <w:b/>
          <w:i/>
        </w:rPr>
        <w:t xml:space="preserve">Extended Fig. 6: </w:t>
      </w:r>
      <w:r>
        <w:rPr>
          <w:b/>
          <w:i/>
          <w:color w:val="1D1C1D"/>
          <w:sz w:val="23"/>
          <w:szCs w:val="23"/>
          <w:highlight w:val="white"/>
        </w:rPr>
        <w:t xml:space="preserve">Geographical distribution of surface trends. </w:t>
      </w:r>
      <w:r>
        <w:rPr>
          <w:i/>
          <w:color w:val="1D1C1D"/>
          <w:sz w:val="23"/>
          <w:szCs w:val="23"/>
          <w:highlight w:val="white"/>
        </w:rPr>
        <w:t xml:space="preserve">Temperature from 1951 to 2018 (left) and precipitation trends from 1951 to 2016 (right) in </w:t>
      </w:r>
      <w:r>
        <w:rPr>
          <w:b/>
          <w:i/>
          <w:color w:val="1D1C1D"/>
          <w:sz w:val="23"/>
          <w:szCs w:val="23"/>
          <w:highlight w:val="white"/>
        </w:rPr>
        <w:t xml:space="preserve">(a),(b) </w:t>
      </w:r>
      <w:r>
        <w:rPr>
          <w:i/>
          <w:color w:val="1D1C1D"/>
          <w:sz w:val="23"/>
          <w:szCs w:val="23"/>
          <w:highlight w:val="white"/>
        </w:rPr>
        <w:t xml:space="preserve">observations and </w:t>
      </w:r>
      <w:r>
        <w:rPr>
          <w:b/>
          <w:i/>
          <w:color w:val="1D1C1D"/>
          <w:sz w:val="23"/>
          <w:szCs w:val="23"/>
          <w:highlight w:val="white"/>
        </w:rPr>
        <w:t xml:space="preserve">(c),(d) </w:t>
      </w:r>
      <w:r>
        <w:rPr>
          <w:i/>
          <w:color w:val="1D1C1D"/>
          <w:sz w:val="23"/>
          <w:szCs w:val="23"/>
          <w:highlight w:val="white"/>
        </w:rPr>
        <w:t xml:space="preserve">CMIP6 10-model ensemble mean all-forcing runs. Bottom panels </w:t>
      </w:r>
      <w:r>
        <w:rPr>
          <w:b/>
          <w:i/>
          <w:color w:val="1D1C1D"/>
          <w:sz w:val="23"/>
          <w:szCs w:val="23"/>
          <w:highlight w:val="white"/>
        </w:rPr>
        <w:t>(e),(f)</w:t>
      </w:r>
      <w:r>
        <w:rPr>
          <w:i/>
          <w:color w:val="1D1C1D"/>
          <w:sz w:val="23"/>
          <w:szCs w:val="23"/>
          <w:highlight w:val="white"/>
        </w:rPr>
        <w:t xml:space="preserve"> show observations categorised into attribution categories, following ref. 8 and 7, respectively. Observed c</w:t>
      </w:r>
      <w:r>
        <w:rPr>
          <w:i/>
        </w:rPr>
        <w:t xml:space="preserve">ooling/warming or drying/wetting trends that--after accounting for internal climate variability-- are inconsistent with the simulated response to natural forcings but  consistent with the simulated response to both natural and anthropogenic forcings are indicated by categories -/+2.  This is clearest case of changes that are at least partially attributable to anthropogenic forcing, according to the CMIP6 ensemble.  Categories -/+1 have detectable observed changes, but are not assessed as attributable to anthropogenic forcing because the observed changes are significantly less than those simulated in the average all-forcing runs.  Categories -/+3 have detectable changes and are assessed as at least partly attributable anthropogenic forcing, although the observed changes are inconsistent with the all-forcing runs.  That is, they are in the same direction as, but are significantly stronger than, the mean of the all-forcing runs.  . Categories -/+4 represents cooling/warming or drying/wetting trends that are inconsistent with the simulated response to natural forcings but whose sign is opposite to that of the average simulated all-forcing response; category 0 represents  trends that are not distinguishable from </w:t>
      </w:r>
      <w:r>
        <w:rPr>
          <w:i/>
        </w:rPr>
        <w:lastRenderedPageBreak/>
        <w:t>natural variability alone.  Categories -/+4 and 0 are considered to be examples of non-detectable trends).</w:t>
      </w:r>
    </w:p>
    <w:p w14:paraId="70703C6C" w14:textId="77777777" w:rsidR="00527246" w:rsidRDefault="00527246" w:rsidP="00527246">
      <w:pPr>
        <w:rPr>
          <w:i/>
        </w:rPr>
      </w:pPr>
    </w:p>
    <w:p w14:paraId="1CCAE70F" w14:textId="77777777" w:rsidR="00527246" w:rsidRDefault="00527246" w:rsidP="00527246">
      <w:pPr>
        <w:ind w:left="-425"/>
        <w:rPr>
          <w:i/>
        </w:rPr>
      </w:pPr>
    </w:p>
    <w:p w14:paraId="2F0EEC9D" w14:textId="77777777" w:rsidR="00527246" w:rsidRDefault="00527246" w:rsidP="00527246">
      <w:pPr>
        <w:ind w:left="-425"/>
        <w:rPr>
          <w:i/>
        </w:rPr>
      </w:pPr>
    </w:p>
    <w:p w14:paraId="6A98056B" w14:textId="77777777" w:rsidR="00527246" w:rsidRDefault="00527246" w:rsidP="00527246">
      <w:pPr>
        <w:ind w:left="-425"/>
        <w:rPr>
          <w:i/>
        </w:rPr>
      </w:pPr>
      <w:r>
        <w:rPr>
          <w:i/>
          <w:noProof/>
          <w:lang w:val="de-DE"/>
        </w:rPr>
        <w:drawing>
          <wp:inline distT="114300" distB="114300" distL="114300" distR="114300" wp14:anchorId="739C790E" wp14:editId="54DD0080">
            <wp:extent cx="6643688" cy="5080467"/>
            <wp:effectExtent l="0" t="0" r="0" b="0"/>
            <wp:docPr id="6" name="image6.png" descr="A picture containing different, several, row, grou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 descr="A picture containing different, several, row, group&#10;&#10;Description automatically generated"/>
                    <pic:cNvPicPr preferRelativeResize="0"/>
                  </pic:nvPicPr>
                  <pic:blipFill>
                    <a:blip r:embed="rId10"/>
                    <a:srcRect t="5210"/>
                    <a:stretch>
                      <a:fillRect/>
                    </a:stretch>
                  </pic:blipFill>
                  <pic:spPr>
                    <a:xfrm>
                      <a:off x="0" y="0"/>
                      <a:ext cx="6643688" cy="50804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14D786" w14:textId="77777777" w:rsidR="00527246" w:rsidRDefault="00527246" w:rsidP="00527246">
      <w:pPr>
        <w:ind w:left="-425"/>
        <w:rPr>
          <w:i/>
        </w:rPr>
      </w:pPr>
      <w:r>
        <w:rPr>
          <w:i/>
        </w:rPr>
        <w:t>Extended Fig. 7:  Fractional difference between average CMIP6 modeled low-frequency standard deviation of annual mean precipitation vs observed precipitation.  To estimate the internal low-frequency variability for both models and observations, the observed timeseries were detrended and low-pass filtered with a 7-year running mean filter prior to computing the standard deviations while for the models we used the full available control runs (7-yr running mean filtered) to estimate the internal low-frequency variability for each model.  The top panel shows the multi-model ensemble standard deviation comparison while the ten individual panels below it show the comparison for each individual CMIP6 model used in the study.  The fraction difference was computed as: [(Model st. dev. - Observed st. dev.) / (Observed st. dev.)].</w:t>
      </w:r>
    </w:p>
    <w:p w14:paraId="6B9D20F8" w14:textId="77777777" w:rsidR="00527246" w:rsidRDefault="00527246" w:rsidP="00527246">
      <w:pPr>
        <w:ind w:left="-425"/>
        <w:rPr>
          <w:i/>
        </w:rPr>
      </w:pPr>
    </w:p>
    <w:p w14:paraId="0606BC83" w14:textId="77777777" w:rsidR="00527246" w:rsidRDefault="00527246" w:rsidP="00527246">
      <w:pPr>
        <w:rPr>
          <w:i/>
        </w:rPr>
      </w:pPr>
      <w:r>
        <w:rPr>
          <w:i/>
        </w:rPr>
        <w:br w:type="page"/>
      </w:r>
    </w:p>
    <w:p w14:paraId="4B7AAF27" w14:textId="77777777" w:rsidR="00527246" w:rsidRDefault="00527246" w:rsidP="00527246">
      <w:pPr>
        <w:ind w:left="-425"/>
        <w:rPr>
          <w:i/>
        </w:rPr>
      </w:pPr>
      <w:r>
        <w:rPr>
          <w:i/>
          <w:noProof/>
          <w:lang w:val="de-DE"/>
        </w:rPr>
        <w:lastRenderedPageBreak/>
        <w:drawing>
          <wp:inline distT="114300" distB="114300" distL="114300" distR="114300" wp14:anchorId="3D69166D" wp14:editId="038E2AF8">
            <wp:extent cx="6561222" cy="5031251"/>
            <wp:effectExtent l="0" t="0" r="0" b="0"/>
            <wp:docPr id="7" name="image7.png" descr="A picture containing several, decorated, lots, bunc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 descr="A picture containing several, decorated, lots, bunch&#10;&#10;Description automatically generated"/>
                    <pic:cNvPicPr preferRelativeResize="0"/>
                  </pic:nvPicPr>
                  <pic:blipFill>
                    <a:blip r:embed="rId11"/>
                    <a:srcRect t="4647"/>
                    <a:stretch>
                      <a:fillRect/>
                    </a:stretch>
                  </pic:blipFill>
                  <pic:spPr>
                    <a:xfrm>
                      <a:off x="0" y="0"/>
                      <a:ext cx="6561222" cy="50312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9E4289" w14:textId="77777777" w:rsidR="00527246" w:rsidRDefault="00527246" w:rsidP="00527246">
      <w:r>
        <w:rPr>
          <w:b/>
        </w:rPr>
        <w:t>Extended Fig. 8| D</w:t>
      </w:r>
      <w:r>
        <w:rPr>
          <w:b/>
          <w:i/>
        </w:rPr>
        <w:t>ifference between average CMIP6 modeled low-frequency standard deviation (</w:t>
      </w:r>
      <w:r>
        <w:rPr>
          <w:b/>
          <w:i/>
          <w:vertAlign w:val="superscript"/>
        </w:rPr>
        <w:t>o</w:t>
      </w:r>
      <w:r>
        <w:rPr>
          <w:b/>
          <w:i/>
        </w:rPr>
        <w:t>C) of annual mean surface air temperature vs observed surface temperature</w:t>
      </w:r>
      <w:r>
        <w:rPr>
          <w:i/>
        </w:rPr>
        <w:t xml:space="preserve">.  To estimate the internal low-frequency variability for both models and observations, the observed timeseries were detrended and low-pass filtered with a 7-year running mean filter prior to computing the standard deviations while for the models we used the full available control runs (7-year running mean filtered) to estimate the internal low-frequency variability for each model.  The top panel shows the multi-model ensemble standard deviation comparison while the ten individual panels below it show the comparison for each individual CMIP6 model used in the study. </w:t>
      </w:r>
    </w:p>
    <w:p w14:paraId="1E6B53AB" w14:textId="77777777" w:rsidR="00527246" w:rsidRDefault="00527246" w:rsidP="00527246"/>
    <w:p w14:paraId="16758F0E" w14:textId="77777777" w:rsidR="00527246" w:rsidRDefault="00527246" w:rsidP="00527246">
      <w:r>
        <w:rPr>
          <w:noProof/>
          <w:lang w:val="de-DE"/>
        </w:rPr>
        <w:lastRenderedPageBreak/>
        <w:drawing>
          <wp:inline distT="114300" distB="114300" distL="114300" distR="114300" wp14:anchorId="001317A2" wp14:editId="777E436B">
            <wp:extent cx="5943600" cy="6096000"/>
            <wp:effectExtent l="0" t="0" r="0" b="0"/>
            <wp:docPr id="12" name="image3.png" descr="Graphical user interface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 descr="Graphical user interface&#10;&#10;Description automatically generated with low confidence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FDCDF3" w14:textId="77777777" w:rsidR="00527246" w:rsidRDefault="00527246" w:rsidP="00527246">
      <w:r>
        <w:rPr>
          <w:b/>
          <w:i/>
        </w:rPr>
        <w:t>Extended Fig. 9</w:t>
      </w:r>
      <w:r>
        <w:rPr>
          <w:i/>
        </w:rPr>
        <w:t xml:space="preserve">| </w:t>
      </w:r>
      <w:r>
        <w:rPr>
          <w:b/>
          <w:i/>
        </w:rPr>
        <w:t xml:space="preserve">An illustration of the spatial resolution and weighting methodology. </w:t>
      </w:r>
      <w:r>
        <w:rPr>
          <w:b/>
        </w:rPr>
        <w:t xml:space="preserve">a. </w:t>
      </w:r>
      <w:r>
        <w:t xml:space="preserve">Detection and attribution categories for temperature in East Africa; </w:t>
      </w:r>
      <w:r>
        <w:rPr>
          <w:b/>
        </w:rPr>
        <w:t>b.</w:t>
      </w:r>
      <w:r>
        <w:t xml:space="preserve"> the number of grid cells of each type in Sudan; </w:t>
      </w:r>
      <w:r>
        <w:rPr>
          <w:b/>
        </w:rPr>
        <w:t xml:space="preserve">c. </w:t>
      </w:r>
      <w:r>
        <w:t xml:space="preserve">weighted studies for each grid cell in Sudan; </w:t>
      </w:r>
      <w:r>
        <w:rPr>
          <w:b/>
        </w:rPr>
        <w:t xml:space="preserve">d. </w:t>
      </w:r>
      <w:r>
        <w:t>The number of studies referring to each extracted geographical location in Sudan.</w:t>
      </w:r>
    </w:p>
    <w:p w14:paraId="4A08FEB1" w14:textId="77777777" w:rsidR="00386883" w:rsidRDefault="0052724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246"/>
    <w:rsid w:val="003107CE"/>
    <w:rsid w:val="00316534"/>
    <w:rsid w:val="00373D83"/>
    <w:rsid w:val="00527246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67C9"/>
  <w15:chartTrackingRefBased/>
  <w15:docId w15:val="{393EDB1E-6E0C-4A82-B95C-F30D7D3B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27246"/>
    <w:pPr>
      <w:spacing w:after="0" w:line="276" w:lineRule="auto"/>
    </w:pPr>
    <w:rPr>
      <w:rFonts w:ascii="Arial" w:eastAsia="Arial" w:hAnsi="Arial" w:cs="Arial"/>
      <w:lang w:val="en" w:eastAsia="de-DE"/>
    </w:rPr>
  </w:style>
  <w:style w:type="paragraph" w:styleId="Heading1">
    <w:name w:val="heading 1"/>
    <w:basedOn w:val="Normal"/>
    <w:next w:val="Normal"/>
    <w:link w:val="Heading1Char"/>
    <w:rsid w:val="00527246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27246"/>
    <w:rPr>
      <w:rFonts w:ascii="Arial" w:eastAsia="Arial" w:hAnsi="Arial" w:cs="Arial"/>
      <w:sz w:val="40"/>
      <w:szCs w:val="40"/>
      <w:lang w:val="en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744</Words>
  <Characters>4242</Characters>
  <Application>Microsoft Office Word</Application>
  <DocSecurity>0</DocSecurity>
  <Lines>35</Lines>
  <Paragraphs>9</Paragraphs>
  <ScaleCrop>false</ScaleCrop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2022-06-22T18:35:00Z</dcterms:created>
  <dcterms:modified xsi:type="dcterms:W3CDTF">2022-06-22T18:35:00Z</dcterms:modified>
</cp:coreProperties>
</file>