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664A0" w14:textId="77777777" w:rsidR="00DE0CFB" w:rsidRPr="00FB6EAE" w:rsidRDefault="003A1224">
      <w:pPr>
        <w:spacing w:line="480" w:lineRule="auto"/>
        <w:rPr>
          <w:rFonts w:ascii="Times New Roman" w:hAnsi="Times New Roman"/>
          <w:b/>
          <w:color w:val="000000"/>
          <w:sz w:val="24"/>
        </w:rPr>
      </w:pPr>
      <w:r w:rsidRPr="00FB6EAE">
        <w:rPr>
          <w:rFonts w:ascii="Times New Roman" w:hAnsi="Times New Roman" w:hint="eastAsia"/>
          <w:b/>
          <w:color w:val="000000"/>
          <w:sz w:val="24"/>
        </w:rPr>
        <w:t>Supplementary figures</w:t>
      </w:r>
    </w:p>
    <w:p w14:paraId="6776838C" w14:textId="77777777" w:rsidR="009C2EA7" w:rsidRDefault="009C2EA7">
      <w:pPr>
        <w:rPr>
          <w:noProof/>
        </w:rPr>
      </w:pPr>
    </w:p>
    <w:p w14:paraId="2ADF2D36" w14:textId="5960890C" w:rsidR="00DE0CFB" w:rsidRPr="00FB6EAE" w:rsidRDefault="009C2EA7">
      <w:pPr>
        <w:rPr>
          <w:rFonts w:ascii="Times New Roman" w:hAnsi="Times New Roman"/>
          <w:b/>
          <w:bCs/>
          <w:color w:val="000000" w:themeColor="text1"/>
          <w:sz w:val="24"/>
        </w:rPr>
      </w:pPr>
      <w:r>
        <w:rPr>
          <w:noProof/>
        </w:rPr>
        <w:drawing>
          <wp:inline distT="0" distB="0" distL="0" distR="0" wp14:anchorId="3BED763A" wp14:editId="2E06E3DE">
            <wp:extent cx="5741043" cy="2303077"/>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73" t="6080" r="1355" b="4267"/>
                    <a:stretch/>
                  </pic:blipFill>
                  <pic:spPr bwMode="auto">
                    <a:xfrm>
                      <a:off x="0" y="0"/>
                      <a:ext cx="5743149" cy="2303922"/>
                    </a:xfrm>
                    <a:prstGeom prst="rect">
                      <a:avLst/>
                    </a:prstGeom>
                    <a:noFill/>
                    <a:ln>
                      <a:noFill/>
                    </a:ln>
                    <a:extLst>
                      <a:ext uri="{53640926-AAD7-44D8-BBD7-CCE9431645EC}">
                        <a14:shadowObscured xmlns:a14="http://schemas.microsoft.com/office/drawing/2010/main"/>
                      </a:ext>
                    </a:extLst>
                  </pic:spPr>
                </pic:pic>
              </a:graphicData>
            </a:graphic>
          </wp:inline>
        </w:drawing>
      </w:r>
    </w:p>
    <w:p w14:paraId="15315763" w14:textId="4DD5F6D3" w:rsidR="00DC013E" w:rsidRPr="00FB6EAE" w:rsidRDefault="00DC013E" w:rsidP="00DC013E">
      <w:pPr>
        <w:spacing w:line="480" w:lineRule="auto"/>
        <w:rPr>
          <w:rFonts w:ascii="Times New Roman" w:hAnsi="Times New Roman"/>
          <w:bCs/>
          <w:iCs/>
          <w:sz w:val="24"/>
        </w:rPr>
      </w:pPr>
      <w:r w:rsidRPr="00FB6EAE">
        <w:rPr>
          <w:rFonts w:ascii="Times New Roman" w:hAnsi="Times New Roman" w:hint="eastAsia"/>
          <w:b/>
          <w:color w:val="000000" w:themeColor="text1"/>
          <w:sz w:val="24"/>
        </w:rPr>
        <w:t>Fig.</w:t>
      </w:r>
      <w:r w:rsidRPr="00FB6EAE">
        <w:rPr>
          <w:rFonts w:ascii="Times New Roman" w:hAnsi="Times New Roman"/>
          <w:b/>
          <w:color w:val="000000" w:themeColor="text1"/>
          <w:sz w:val="24"/>
        </w:rPr>
        <w:t xml:space="preserve"> S1.</w:t>
      </w:r>
      <w:r w:rsidRPr="00FB6EAE">
        <w:rPr>
          <w:rFonts w:ascii="Times New Roman" w:hAnsi="Times New Roman"/>
          <w:color w:val="000000" w:themeColor="text1"/>
          <w:sz w:val="24"/>
        </w:rPr>
        <w:t xml:space="preserve"> </w:t>
      </w:r>
      <w:r w:rsidRPr="00FB6EAE">
        <w:rPr>
          <w:rFonts w:ascii="Times New Roman" w:hAnsi="Times New Roman"/>
          <w:b/>
          <w:bCs/>
          <w:iCs/>
          <w:color w:val="000000" w:themeColor="text1"/>
          <w:sz w:val="24"/>
        </w:rPr>
        <w:t xml:space="preserve">Analysis of multiple sequence alignment and </w:t>
      </w:r>
      <w:proofErr w:type="spellStart"/>
      <w:r w:rsidRPr="00FB6EAE">
        <w:rPr>
          <w:rFonts w:ascii="Times New Roman" w:hAnsi="Times New Roman"/>
          <w:b/>
          <w:bCs/>
          <w:iCs/>
          <w:color w:val="000000" w:themeColor="text1"/>
          <w:sz w:val="24"/>
        </w:rPr>
        <w:t>eGFP</w:t>
      </w:r>
      <w:proofErr w:type="spellEnd"/>
      <w:r w:rsidRPr="00FB6EAE">
        <w:rPr>
          <w:rFonts w:ascii="Times New Roman" w:hAnsi="Times New Roman"/>
          <w:b/>
          <w:bCs/>
          <w:iCs/>
          <w:color w:val="000000" w:themeColor="text1"/>
          <w:sz w:val="24"/>
        </w:rPr>
        <w:t xml:space="preserve"> expression. </w:t>
      </w:r>
      <w:r w:rsidRPr="00FB6EAE">
        <w:rPr>
          <w:rFonts w:ascii="Times New Roman" w:hAnsi="Times New Roman"/>
          <w:iCs/>
          <w:color w:val="000000" w:themeColor="text1"/>
          <w:sz w:val="24"/>
        </w:rPr>
        <w:t>(A)</w:t>
      </w:r>
      <w:r w:rsidRPr="00FB6EAE">
        <w:rPr>
          <w:rFonts w:ascii="Times New Roman" w:hAnsi="Times New Roman"/>
          <w:b/>
          <w:bCs/>
          <w:iCs/>
          <w:color w:val="FF0000"/>
          <w:sz w:val="24"/>
        </w:rPr>
        <w:t xml:space="preserve"> </w:t>
      </w:r>
      <w:r w:rsidRPr="00FB6EAE">
        <w:rPr>
          <w:rFonts w:ascii="Times New Roman" w:hAnsi="Times New Roman" w:hint="eastAsia"/>
          <w:bCs/>
          <w:iCs/>
          <w:sz w:val="24"/>
        </w:rPr>
        <w:t>A</w:t>
      </w:r>
      <w:r w:rsidRPr="00FB6EAE">
        <w:rPr>
          <w:rFonts w:ascii="Times New Roman" w:hAnsi="Times New Roman"/>
          <w:bCs/>
          <w:iCs/>
          <w:sz w:val="24"/>
        </w:rPr>
        <w:t xml:space="preserve">lignment of lipase orthologs from various fungal species. Areas shaded in black are conserved regions (100% similarity), areas shaded in </w:t>
      </w:r>
      <w:r w:rsidRPr="00FB6EAE">
        <w:rPr>
          <w:rFonts w:ascii="Times New Roman" w:hAnsi="Times New Roman" w:hint="eastAsia"/>
          <w:bCs/>
          <w:iCs/>
          <w:sz w:val="24"/>
        </w:rPr>
        <w:t>red</w:t>
      </w:r>
      <w:r w:rsidRPr="00FB6EAE">
        <w:rPr>
          <w:rFonts w:ascii="Times New Roman" w:hAnsi="Times New Roman"/>
          <w:bCs/>
          <w:iCs/>
          <w:sz w:val="24"/>
        </w:rPr>
        <w:t xml:space="preserve"> are</w:t>
      </w:r>
      <w:r w:rsidRPr="00FB6EAE">
        <w:rPr>
          <w:rFonts w:ascii="Times New Roman" w:hAnsi="Times New Roman" w:hint="eastAsia"/>
          <w:bCs/>
          <w:iCs/>
          <w:sz w:val="24"/>
        </w:rPr>
        <w:t xml:space="preserve"> </w:t>
      </w:r>
      <w:r w:rsidRPr="00FB6EAE">
        <w:rPr>
          <w:rFonts w:ascii="Times New Roman" w:hAnsi="Times New Roman"/>
          <w:bCs/>
          <w:iCs/>
          <w:sz w:val="24"/>
        </w:rPr>
        <w:t xml:space="preserve">high degree similarity (more than </w:t>
      </w:r>
      <w:r w:rsidRPr="00FB6EAE">
        <w:rPr>
          <w:rFonts w:ascii="Times New Roman" w:hAnsi="Times New Roman" w:hint="eastAsia"/>
          <w:bCs/>
          <w:iCs/>
          <w:sz w:val="24"/>
        </w:rPr>
        <w:t>75</w:t>
      </w:r>
      <w:r w:rsidRPr="00FB6EAE">
        <w:rPr>
          <w:rFonts w:ascii="Times New Roman" w:hAnsi="Times New Roman"/>
          <w:bCs/>
          <w:iCs/>
          <w:sz w:val="24"/>
        </w:rPr>
        <w:t>% similarity)</w:t>
      </w:r>
      <w:r w:rsidRPr="00FB6EAE">
        <w:rPr>
          <w:rFonts w:ascii="Times New Roman" w:hAnsi="Times New Roman" w:hint="eastAsia"/>
          <w:bCs/>
          <w:iCs/>
          <w:sz w:val="24"/>
        </w:rPr>
        <w:t xml:space="preserve">, </w:t>
      </w:r>
      <w:r w:rsidRPr="00FB6EAE">
        <w:rPr>
          <w:rFonts w:ascii="Times New Roman" w:hAnsi="Times New Roman"/>
          <w:bCs/>
          <w:iCs/>
          <w:sz w:val="24"/>
        </w:rPr>
        <w:t xml:space="preserve">and shaded in </w:t>
      </w:r>
      <w:r w:rsidRPr="00FB6EAE">
        <w:rPr>
          <w:rFonts w:ascii="Times New Roman" w:hAnsi="Times New Roman" w:hint="eastAsia"/>
          <w:bCs/>
          <w:iCs/>
          <w:sz w:val="24"/>
        </w:rPr>
        <w:t>yellow</w:t>
      </w:r>
      <w:r w:rsidRPr="00FB6EAE">
        <w:rPr>
          <w:rFonts w:ascii="Times New Roman" w:hAnsi="Times New Roman"/>
          <w:bCs/>
          <w:iCs/>
          <w:sz w:val="24"/>
        </w:rPr>
        <w:t xml:space="preserve"> are</w:t>
      </w:r>
      <w:r w:rsidRPr="00FB6EAE">
        <w:rPr>
          <w:rFonts w:ascii="Times New Roman" w:hAnsi="Times New Roman" w:hint="eastAsia"/>
          <w:bCs/>
          <w:iCs/>
          <w:sz w:val="24"/>
        </w:rPr>
        <w:t xml:space="preserve"> middle</w:t>
      </w:r>
      <w:r w:rsidRPr="00FB6EAE">
        <w:rPr>
          <w:rFonts w:ascii="Times New Roman" w:hAnsi="Times New Roman"/>
          <w:bCs/>
          <w:iCs/>
          <w:sz w:val="24"/>
        </w:rPr>
        <w:t xml:space="preserve"> degree similarity (more than </w:t>
      </w:r>
      <w:r w:rsidRPr="00FB6EAE">
        <w:rPr>
          <w:rFonts w:ascii="Times New Roman" w:hAnsi="Times New Roman" w:hint="eastAsia"/>
          <w:bCs/>
          <w:iCs/>
          <w:sz w:val="24"/>
        </w:rPr>
        <w:t>50</w:t>
      </w:r>
      <w:r w:rsidRPr="00FB6EAE">
        <w:rPr>
          <w:rFonts w:ascii="Times New Roman" w:hAnsi="Times New Roman"/>
          <w:bCs/>
          <w:iCs/>
          <w:sz w:val="24"/>
        </w:rPr>
        <w:t>% similarity)</w:t>
      </w:r>
      <w:r w:rsidRPr="00FB6EAE">
        <w:rPr>
          <w:rFonts w:ascii="Times New Roman" w:hAnsi="Times New Roman" w:hint="eastAsia"/>
          <w:bCs/>
          <w:iCs/>
          <w:sz w:val="24"/>
        </w:rPr>
        <w:t xml:space="preserve">, while </w:t>
      </w:r>
      <w:r w:rsidRPr="00FB6EAE">
        <w:rPr>
          <w:rFonts w:ascii="Times New Roman" w:hAnsi="Times New Roman"/>
          <w:bCs/>
          <w:iCs/>
          <w:sz w:val="24"/>
        </w:rPr>
        <w:t xml:space="preserve">unshaded areas are regions of variability. (B) </w:t>
      </w:r>
      <w:r w:rsidRPr="00FB6EAE">
        <w:rPr>
          <w:rFonts w:ascii="Times New Roman" w:hAnsi="Times New Roman" w:hint="eastAsia"/>
          <w:bCs/>
          <w:iCs/>
          <w:sz w:val="24"/>
        </w:rPr>
        <w:t xml:space="preserve">Expression of TLL in Aspergillus </w:t>
      </w:r>
      <w:proofErr w:type="spellStart"/>
      <w:r w:rsidRPr="00FB6EAE">
        <w:rPr>
          <w:rFonts w:ascii="Times New Roman" w:hAnsi="Times New Roman" w:hint="eastAsia"/>
          <w:bCs/>
          <w:iCs/>
          <w:sz w:val="24"/>
        </w:rPr>
        <w:t>niger</w:t>
      </w:r>
      <w:proofErr w:type="spellEnd"/>
      <w:r w:rsidRPr="00FB6EAE">
        <w:rPr>
          <w:rFonts w:ascii="Times New Roman" w:hAnsi="Times New Roman" w:hint="eastAsia"/>
          <w:bCs/>
          <w:iCs/>
          <w:sz w:val="24"/>
        </w:rPr>
        <w:t xml:space="preserve"> were identified by observing the intensity of </w:t>
      </w:r>
      <w:proofErr w:type="spellStart"/>
      <w:r w:rsidRPr="00FB6EAE">
        <w:rPr>
          <w:rFonts w:ascii="Times New Roman" w:hAnsi="Times New Roman" w:hint="eastAsia"/>
          <w:bCs/>
          <w:iCs/>
          <w:sz w:val="24"/>
        </w:rPr>
        <w:t>eGFP</w:t>
      </w:r>
      <w:proofErr w:type="spellEnd"/>
      <w:r w:rsidRPr="00FB6EAE">
        <w:rPr>
          <w:rFonts w:ascii="Times New Roman" w:hAnsi="Times New Roman" w:hint="eastAsia"/>
          <w:bCs/>
          <w:iCs/>
          <w:sz w:val="24"/>
        </w:rPr>
        <w:t xml:space="preserve"> fluorescence.</w:t>
      </w:r>
      <w:r w:rsidRPr="00FB6EAE">
        <w:rPr>
          <w:rFonts w:ascii="Times New Roman" w:hAnsi="Times New Roman"/>
          <w:bCs/>
          <w:iCs/>
          <w:sz w:val="24"/>
        </w:rPr>
        <w:t xml:space="preserve"> Bar = </w:t>
      </w:r>
      <w:r w:rsidRPr="00FB6156">
        <w:rPr>
          <w:rFonts w:ascii="Times New Roman" w:hAnsi="Times New Roman"/>
          <w:bCs/>
          <w:iCs/>
          <w:color w:val="000000" w:themeColor="text1"/>
          <w:sz w:val="24"/>
        </w:rPr>
        <w:t>20</w:t>
      </w:r>
      <w:r w:rsidR="00FB6156" w:rsidRPr="00FB6156">
        <w:rPr>
          <w:rFonts w:ascii="Times New Roman" w:hAnsi="Times New Roman"/>
          <w:bCs/>
          <w:iCs/>
          <w:color w:val="000000" w:themeColor="text1"/>
          <w:sz w:val="24"/>
        </w:rPr>
        <w:t>0</w:t>
      </w:r>
      <w:r w:rsidRPr="00FB6156">
        <w:rPr>
          <w:rFonts w:ascii="Times New Roman" w:hAnsi="Times New Roman"/>
          <w:bCs/>
          <w:iCs/>
          <w:color w:val="000000" w:themeColor="text1"/>
          <w:sz w:val="24"/>
        </w:rPr>
        <w:t xml:space="preserve"> µm.</w:t>
      </w:r>
    </w:p>
    <w:p w14:paraId="4ED63759" w14:textId="3C4AD1BF" w:rsidR="00DE0CFB" w:rsidRPr="00FB6EAE" w:rsidRDefault="00DE0CFB">
      <w:pPr>
        <w:rPr>
          <w:rFonts w:ascii="Times New Roman" w:hAnsi="Times New Roman"/>
          <w:iCs/>
          <w:sz w:val="24"/>
        </w:rPr>
      </w:pPr>
    </w:p>
    <w:p w14:paraId="5BF3342E" w14:textId="0BECF8A0" w:rsidR="00DE0CFB" w:rsidRPr="00FB6EAE" w:rsidRDefault="00DE0CFB">
      <w:pPr>
        <w:rPr>
          <w:rFonts w:ascii="Times New Roman" w:hAnsi="Times New Roman"/>
          <w:color w:val="000000"/>
          <w:sz w:val="24"/>
        </w:rPr>
      </w:pPr>
    </w:p>
    <w:p w14:paraId="6A371127" w14:textId="77777777" w:rsidR="009C2EA7" w:rsidRDefault="009C2EA7">
      <w:pPr>
        <w:rPr>
          <w:noProof/>
        </w:rPr>
      </w:pPr>
    </w:p>
    <w:p w14:paraId="1C25A433" w14:textId="5CDB757D" w:rsidR="00DE0CFB" w:rsidRPr="00FB6EAE" w:rsidRDefault="009C2EA7">
      <w:pPr>
        <w:rPr>
          <w:rFonts w:ascii="Times New Roman" w:hAnsi="Times New Roman"/>
          <w:color w:val="000000"/>
          <w:sz w:val="24"/>
        </w:rPr>
      </w:pPr>
      <w:r>
        <w:rPr>
          <w:noProof/>
        </w:rPr>
        <w:drawing>
          <wp:inline distT="0" distB="0" distL="0" distR="0" wp14:anchorId="6F34C355" wp14:editId="17B6DA25">
            <wp:extent cx="5491403" cy="2627453"/>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17" t="1449" r="2850" b="4506"/>
                    <a:stretch/>
                  </pic:blipFill>
                  <pic:spPr bwMode="auto">
                    <a:xfrm>
                      <a:off x="0" y="0"/>
                      <a:ext cx="5492925" cy="2628181"/>
                    </a:xfrm>
                    <a:prstGeom prst="rect">
                      <a:avLst/>
                    </a:prstGeom>
                    <a:noFill/>
                    <a:ln>
                      <a:noFill/>
                    </a:ln>
                    <a:extLst>
                      <a:ext uri="{53640926-AAD7-44D8-BBD7-CCE9431645EC}">
                        <a14:shadowObscured xmlns:a14="http://schemas.microsoft.com/office/drawing/2010/main"/>
                      </a:ext>
                    </a:extLst>
                  </pic:spPr>
                </pic:pic>
              </a:graphicData>
            </a:graphic>
          </wp:inline>
        </w:drawing>
      </w:r>
    </w:p>
    <w:p w14:paraId="59341E59" w14:textId="124B88B7" w:rsidR="007B0CE7" w:rsidRPr="00FB6EAE" w:rsidRDefault="007B0CE7" w:rsidP="007B0CE7">
      <w:pPr>
        <w:rPr>
          <w:rFonts w:ascii="Times New Roman" w:hAnsi="Times New Roman"/>
          <w:b/>
          <w:sz w:val="24"/>
        </w:rPr>
      </w:pPr>
      <w:r w:rsidRPr="00FB6EAE">
        <w:rPr>
          <w:rFonts w:ascii="Times New Roman" w:hAnsi="Times New Roman"/>
          <w:b/>
          <w:sz w:val="24"/>
        </w:rPr>
        <w:t>Fig.</w:t>
      </w:r>
      <w:r w:rsidRPr="00FB6EAE">
        <w:rPr>
          <w:rFonts w:ascii="Times New Roman" w:hAnsi="Times New Roman" w:hint="eastAsia"/>
          <w:b/>
          <w:sz w:val="24"/>
        </w:rPr>
        <w:t xml:space="preserve"> S</w:t>
      </w:r>
      <w:r w:rsidRPr="00FB6EAE">
        <w:rPr>
          <w:rFonts w:ascii="Times New Roman" w:hAnsi="Times New Roman"/>
          <w:b/>
          <w:sz w:val="24"/>
        </w:rPr>
        <w:t xml:space="preserve">2 Pearson’s correlation coefficient analysis </w:t>
      </w:r>
      <w:r w:rsidRPr="00FB6EAE">
        <w:rPr>
          <w:rFonts w:ascii="Times New Roman" w:hAnsi="Times New Roman" w:hint="eastAsia"/>
          <w:b/>
          <w:iCs/>
          <w:sz w:val="24"/>
        </w:rPr>
        <w:t>and</w:t>
      </w:r>
      <w:r w:rsidRPr="00FB6EAE">
        <w:rPr>
          <w:rFonts w:ascii="Times New Roman" w:hAnsi="Times New Roman"/>
          <w:b/>
          <w:iCs/>
          <w:sz w:val="24"/>
        </w:rPr>
        <w:t xml:space="preserve"> principal component analysis.</w:t>
      </w:r>
      <w:r w:rsidRPr="00FB6EAE">
        <w:rPr>
          <w:rFonts w:ascii="Times New Roman" w:hAnsi="Times New Roman" w:hint="eastAsia"/>
          <w:b/>
          <w:iCs/>
          <w:sz w:val="24"/>
        </w:rPr>
        <w:t xml:space="preserve"> </w:t>
      </w:r>
      <w:r w:rsidRPr="00FB6EAE">
        <w:rPr>
          <w:rFonts w:ascii="Times New Roman" w:hAnsi="Times New Roman"/>
          <w:sz w:val="24"/>
        </w:rPr>
        <w:lastRenderedPageBreak/>
        <w:t>(A) </w:t>
      </w:r>
      <w:r w:rsidRPr="00FB6EAE">
        <w:rPr>
          <w:rFonts w:ascii="Times New Roman" w:hAnsi="Times New Roman" w:hint="eastAsia"/>
          <w:sz w:val="24"/>
        </w:rPr>
        <w:t>P</w:t>
      </w:r>
      <w:r w:rsidRPr="00FB6EAE">
        <w:rPr>
          <w:rFonts w:ascii="Times New Roman" w:hAnsi="Times New Roman"/>
          <w:sz w:val="24"/>
        </w:rPr>
        <w:t xml:space="preserve">earson’s correlation coefficient estimated for three biological samples at each time point. Spearman correlation coefficients were above </w:t>
      </w:r>
      <w:r w:rsidR="001F4D66" w:rsidRPr="00FB6EAE">
        <w:rPr>
          <w:rFonts w:ascii="Times New Roman" w:hAnsi="Times New Roman"/>
          <w:iCs/>
          <w:color w:val="000000" w:themeColor="text1"/>
          <w:sz w:val="24"/>
        </w:rPr>
        <w:t>0.952</w:t>
      </w:r>
      <w:r w:rsidRPr="00FB6EAE">
        <w:rPr>
          <w:rFonts w:ascii="Times New Roman" w:hAnsi="Times New Roman"/>
          <w:sz w:val="24"/>
        </w:rPr>
        <w:t xml:space="preserve"> and </w:t>
      </w:r>
      <w:r w:rsidR="001F4D66" w:rsidRPr="00FB6EAE">
        <w:rPr>
          <w:rFonts w:ascii="Times New Roman" w:hAnsi="Times New Roman"/>
          <w:iCs/>
          <w:color w:val="000000" w:themeColor="text1"/>
          <w:sz w:val="24"/>
        </w:rPr>
        <w:t>0.957</w:t>
      </w:r>
      <w:r w:rsidRPr="00FB6EAE">
        <w:rPr>
          <w:rFonts w:ascii="Times New Roman" w:hAnsi="Times New Roman"/>
          <w:sz w:val="24"/>
        </w:rPr>
        <w:t xml:space="preserve"> for </w:t>
      </w:r>
      <w:r w:rsidR="001F4D66" w:rsidRPr="00FB6EAE">
        <w:rPr>
          <w:rFonts w:ascii="Times New Roman" w:hAnsi="Times New Roman"/>
          <w:iCs/>
          <w:color w:val="000000" w:themeColor="text1"/>
          <w:sz w:val="24"/>
        </w:rPr>
        <w:t>WT</w:t>
      </w:r>
      <w:r w:rsidRPr="00FB6EAE">
        <w:rPr>
          <w:rFonts w:ascii="Times New Roman" w:hAnsi="Times New Roman"/>
          <w:i/>
          <w:iCs/>
          <w:sz w:val="24"/>
        </w:rPr>
        <w:t xml:space="preserve"> </w:t>
      </w:r>
      <w:r w:rsidRPr="00FB6EAE">
        <w:rPr>
          <w:rFonts w:ascii="Times New Roman" w:hAnsi="Times New Roman"/>
          <w:iCs/>
          <w:sz w:val="24"/>
        </w:rPr>
        <w:t xml:space="preserve">and </w:t>
      </w:r>
      <w:r w:rsidR="001F4D66" w:rsidRPr="00FB6EAE">
        <w:rPr>
          <w:rFonts w:ascii="Times New Roman" w:hAnsi="Times New Roman"/>
          <w:iCs/>
          <w:color w:val="000000" w:themeColor="text1"/>
          <w:sz w:val="24"/>
        </w:rPr>
        <w:t>Δ</w:t>
      </w:r>
      <w:r w:rsidR="001F4D66" w:rsidRPr="00FB6EAE">
        <w:rPr>
          <w:rFonts w:ascii="Times New Roman" w:hAnsi="Times New Roman"/>
          <w:i/>
          <w:color w:val="000000" w:themeColor="text1"/>
          <w:sz w:val="24"/>
        </w:rPr>
        <w:t>AnTll</w:t>
      </w:r>
      <w:r w:rsidR="001F4D66" w:rsidRPr="00FB6EAE">
        <w:rPr>
          <w:rFonts w:ascii="Times New Roman" w:hAnsi="Times New Roman"/>
          <w:iCs/>
          <w:color w:val="000000" w:themeColor="text1"/>
          <w:sz w:val="24"/>
        </w:rPr>
        <w:t>-11</w:t>
      </w:r>
      <w:r w:rsidRPr="00FB6EAE">
        <w:rPr>
          <w:rFonts w:ascii="Times New Roman" w:hAnsi="Times New Roman"/>
          <w:sz w:val="24"/>
        </w:rPr>
        <w:t>, respectively. (B) </w:t>
      </w:r>
      <w:r w:rsidRPr="00FB6EAE">
        <w:rPr>
          <w:rFonts w:ascii="Times New Roman" w:hAnsi="Times New Roman"/>
          <w:iCs/>
          <w:sz w:val="24"/>
        </w:rPr>
        <w:t xml:space="preserve">PCA of WT and </w:t>
      </w:r>
      <w:r w:rsidRPr="00FB6EAE">
        <w:rPr>
          <w:rFonts w:ascii="Times New Roman" w:hAnsi="Times New Roman"/>
          <w:sz w:val="24"/>
        </w:rPr>
        <w:t>Δ</w:t>
      </w:r>
      <w:r w:rsidR="001F4D66" w:rsidRPr="00FB6EAE">
        <w:rPr>
          <w:rFonts w:ascii="Times New Roman" w:hAnsi="Times New Roman"/>
          <w:i/>
          <w:color w:val="000000" w:themeColor="text1"/>
          <w:sz w:val="24"/>
        </w:rPr>
        <w:t>AnTll</w:t>
      </w:r>
      <w:r w:rsidR="001F4D66" w:rsidRPr="00FB6EAE">
        <w:rPr>
          <w:rFonts w:ascii="Times New Roman" w:hAnsi="Times New Roman"/>
          <w:iCs/>
          <w:color w:val="000000" w:themeColor="text1"/>
          <w:sz w:val="24"/>
        </w:rPr>
        <w:t>-11</w:t>
      </w:r>
      <w:r w:rsidRPr="00FB6EAE">
        <w:rPr>
          <w:rFonts w:ascii="Times New Roman" w:hAnsi="Times New Roman"/>
          <w:iCs/>
          <w:sz w:val="24"/>
        </w:rPr>
        <w:t xml:space="preserve"> strains was performed on three biological samples at each time point.</w:t>
      </w:r>
      <w:r w:rsidRPr="00FB6EAE">
        <w:rPr>
          <w:rFonts w:ascii="Times New Roman" w:hAnsi="Times New Roman" w:hint="eastAsia"/>
          <w:iCs/>
          <w:sz w:val="24"/>
        </w:rPr>
        <w:t xml:space="preserve"> </w:t>
      </w:r>
    </w:p>
    <w:p w14:paraId="3AA3602D" w14:textId="77777777" w:rsidR="00DE0CFB" w:rsidRPr="00FB6EAE" w:rsidRDefault="00DE0CFB">
      <w:pPr>
        <w:rPr>
          <w:rFonts w:ascii="Times New Roman" w:hAnsi="Times New Roman"/>
          <w:sz w:val="24"/>
        </w:rPr>
      </w:pPr>
    </w:p>
    <w:p w14:paraId="28AD74E4" w14:textId="77777777" w:rsidR="00DE0CFB" w:rsidRPr="00FB6EAE" w:rsidRDefault="00DE0CFB">
      <w:pPr>
        <w:rPr>
          <w:rFonts w:ascii="Times New Roman" w:hAnsi="Times New Roman"/>
          <w:sz w:val="24"/>
        </w:rPr>
      </w:pPr>
    </w:p>
    <w:p w14:paraId="216A20CD" w14:textId="77777777" w:rsidR="00DE0CFB" w:rsidRPr="00FB6EAE" w:rsidRDefault="00DE0CFB">
      <w:pPr>
        <w:rPr>
          <w:rFonts w:ascii="Times New Roman" w:hAnsi="Times New Roman"/>
          <w:sz w:val="24"/>
        </w:rPr>
      </w:pPr>
    </w:p>
    <w:p w14:paraId="7F79275E" w14:textId="77777777" w:rsidR="00DE0CFB" w:rsidRPr="00FB6EAE" w:rsidRDefault="00DE0CFB">
      <w:pPr>
        <w:rPr>
          <w:rFonts w:ascii="Times New Roman" w:hAnsi="Times New Roman"/>
          <w:sz w:val="24"/>
        </w:rPr>
      </w:pPr>
    </w:p>
    <w:p w14:paraId="5C2FE154" w14:textId="77777777" w:rsidR="009C2EA7" w:rsidRDefault="009C2EA7">
      <w:pPr>
        <w:rPr>
          <w:noProof/>
        </w:rPr>
      </w:pPr>
    </w:p>
    <w:p w14:paraId="65E84B9D" w14:textId="59B3A78E" w:rsidR="00DE0CFB" w:rsidRPr="00FB6EAE" w:rsidRDefault="009C2EA7">
      <w:pPr>
        <w:rPr>
          <w:rFonts w:ascii="Times New Roman" w:hAnsi="Times New Roman"/>
          <w:sz w:val="24"/>
        </w:rPr>
      </w:pPr>
      <w:r>
        <w:rPr>
          <w:noProof/>
        </w:rPr>
        <w:drawing>
          <wp:inline distT="0" distB="0" distL="0" distR="0" wp14:anchorId="268803DC" wp14:editId="63A20556">
            <wp:extent cx="5810250" cy="37559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69" t="2760" b="2956"/>
                    <a:stretch/>
                  </pic:blipFill>
                  <pic:spPr bwMode="auto">
                    <a:xfrm>
                      <a:off x="0" y="0"/>
                      <a:ext cx="5811620" cy="3756871"/>
                    </a:xfrm>
                    <a:prstGeom prst="rect">
                      <a:avLst/>
                    </a:prstGeom>
                    <a:noFill/>
                    <a:ln>
                      <a:noFill/>
                    </a:ln>
                    <a:extLst>
                      <a:ext uri="{53640926-AAD7-44D8-BBD7-CCE9431645EC}">
                        <a14:shadowObscured xmlns:a14="http://schemas.microsoft.com/office/drawing/2010/main"/>
                      </a:ext>
                    </a:extLst>
                  </pic:spPr>
                </pic:pic>
              </a:graphicData>
            </a:graphic>
          </wp:inline>
        </w:drawing>
      </w:r>
    </w:p>
    <w:p w14:paraId="1BA9B9A7" w14:textId="77777777" w:rsidR="00DE0CFB" w:rsidRPr="00FB6EAE" w:rsidRDefault="00DE0CFB">
      <w:pPr>
        <w:rPr>
          <w:rFonts w:ascii="Times New Roman" w:hAnsi="Times New Roman"/>
          <w:sz w:val="24"/>
        </w:rPr>
      </w:pPr>
    </w:p>
    <w:p w14:paraId="52156505" w14:textId="2C585915" w:rsidR="00922B1E" w:rsidRPr="00FB6EAE" w:rsidRDefault="003A1224" w:rsidP="00922B1E">
      <w:pPr>
        <w:rPr>
          <w:rFonts w:ascii="Times New Roman" w:hAnsi="Times New Roman"/>
          <w:bCs/>
          <w:iCs/>
          <w:sz w:val="24"/>
        </w:rPr>
      </w:pPr>
      <w:r w:rsidRPr="00FB6EAE">
        <w:rPr>
          <w:rFonts w:ascii="Times New Roman" w:hAnsi="Times New Roman"/>
          <w:b/>
          <w:sz w:val="24"/>
        </w:rPr>
        <w:t>Fig. S3</w:t>
      </w:r>
      <w:r w:rsidR="009C2EA7">
        <w:rPr>
          <w:rFonts w:ascii="Times New Roman" w:hAnsi="Times New Roman"/>
          <w:b/>
          <w:sz w:val="24"/>
        </w:rPr>
        <w:t>.</w:t>
      </w:r>
      <w:r w:rsidR="00922B1E" w:rsidRPr="00FB6EAE">
        <w:rPr>
          <w:sz w:val="24"/>
        </w:rPr>
        <w:t xml:space="preserve"> </w:t>
      </w:r>
      <w:r w:rsidR="00922B1E" w:rsidRPr="00FB6EAE">
        <w:rPr>
          <w:rFonts w:ascii="Times New Roman" w:hAnsi="Times New Roman"/>
          <w:b/>
          <w:sz w:val="24"/>
        </w:rPr>
        <w:t>Perform KEGG enrichment analysis on the down-regulated DEGs between the wild-type strain and the ΔAnTll-11 strain.</w:t>
      </w:r>
      <w:r w:rsidRPr="00FB6EAE">
        <w:rPr>
          <w:rFonts w:ascii="Times New Roman" w:hAnsi="Times New Roman"/>
          <w:sz w:val="24"/>
        </w:rPr>
        <w:t xml:space="preserve"> </w:t>
      </w:r>
      <w:r w:rsidR="00922B1E" w:rsidRPr="00FB6EAE">
        <w:rPr>
          <w:rFonts w:ascii="Times New Roman" w:hAnsi="Times New Roman" w:hint="eastAsia"/>
          <w:bCs/>
          <w:iCs/>
          <w:sz w:val="24"/>
        </w:rPr>
        <w:t>(A) At 0 h, all 27 downregulated DEGs were significantly enriched in 4 KEGG pathways (</w:t>
      </w:r>
      <w:r w:rsidR="00922B1E" w:rsidRPr="00FB6EAE">
        <w:rPr>
          <w:rFonts w:ascii="Times New Roman" w:hAnsi="Times New Roman" w:hint="eastAsia"/>
          <w:bCs/>
          <w:i/>
          <w:sz w:val="24"/>
        </w:rPr>
        <w:t>P</w:t>
      </w:r>
      <w:r w:rsidR="00922B1E" w:rsidRPr="00FB6EAE">
        <w:rPr>
          <w:rFonts w:ascii="Times New Roman" w:hAnsi="Times New Roman" w:hint="eastAsia"/>
          <w:bCs/>
          <w:iCs/>
          <w:sz w:val="24"/>
        </w:rPr>
        <w:t xml:space="preserve"> &lt; 0.05). (C) At 24 h, all 173 downregulated DEGs were significantly enriched in 17 KEGG pathways (</w:t>
      </w:r>
      <w:r w:rsidR="00922B1E" w:rsidRPr="00FB6EAE">
        <w:rPr>
          <w:rFonts w:ascii="Times New Roman" w:hAnsi="Times New Roman" w:hint="eastAsia"/>
          <w:bCs/>
          <w:i/>
          <w:sz w:val="24"/>
        </w:rPr>
        <w:t>P</w:t>
      </w:r>
      <w:r w:rsidR="00922B1E" w:rsidRPr="00FB6EAE">
        <w:rPr>
          <w:rFonts w:ascii="Times New Roman" w:hAnsi="Times New Roman" w:hint="eastAsia"/>
          <w:bCs/>
          <w:iCs/>
          <w:sz w:val="24"/>
        </w:rPr>
        <w:t xml:space="preserve"> &lt; 0.05). (D) At 48 h, all 509 downregulated DEGs were significantly enriched in 21 KEGG pathways (</w:t>
      </w:r>
      <w:r w:rsidR="00922B1E" w:rsidRPr="00FB6EAE">
        <w:rPr>
          <w:rFonts w:ascii="Times New Roman" w:hAnsi="Times New Roman" w:hint="eastAsia"/>
          <w:bCs/>
          <w:i/>
          <w:sz w:val="24"/>
        </w:rPr>
        <w:t>P</w:t>
      </w:r>
      <w:r w:rsidR="00922B1E" w:rsidRPr="00FB6EAE">
        <w:rPr>
          <w:rFonts w:ascii="Times New Roman" w:hAnsi="Times New Roman" w:hint="eastAsia"/>
          <w:bCs/>
          <w:iCs/>
          <w:sz w:val="24"/>
        </w:rPr>
        <w:t xml:space="preserve"> &lt; 0.05). (E) At 72 h, all 239 downregulated DEGs were significantly enriched in 12 KEGG pathways (</w:t>
      </w:r>
      <w:r w:rsidR="00922B1E" w:rsidRPr="00FB6EAE">
        <w:rPr>
          <w:rFonts w:ascii="Times New Roman" w:hAnsi="Times New Roman" w:hint="eastAsia"/>
          <w:bCs/>
          <w:i/>
          <w:sz w:val="24"/>
        </w:rPr>
        <w:t>P</w:t>
      </w:r>
      <w:r w:rsidR="00922B1E" w:rsidRPr="00FB6EAE">
        <w:rPr>
          <w:rFonts w:ascii="Times New Roman" w:hAnsi="Times New Roman" w:hint="eastAsia"/>
          <w:bCs/>
          <w:iCs/>
          <w:sz w:val="24"/>
        </w:rPr>
        <w:t xml:space="preserve"> &lt; 0.05).</w:t>
      </w:r>
    </w:p>
    <w:p w14:paraId="2440C855" w14:textId="19D14FD4" w:rsidR="00DE0CFB" w:rsidRPr="00FB6EAE" w:rsidRDefault="00DE0CFB">
      <w:pPr>
        <w:rPr>
          <w:rFonts w:ascii="Times New Roman" w:hAnsi="Times New Roman"/>
          <w:b/>
          <w:sz w:val="24"/>
        </w:rPr>
      </w:pPr>
    </w:p>
    <w:p w14:paraId="73DED06C" w14:textId="77777777" w:rsidR="009C2EA7" w:rsidRDefault="009C2EA7">
      <w:pPr>
        <w:rPr>
          <w:noProof/>
        </w:rPr>
      </w:pPr>
    </w:p>
    <w:p w14:paraId="64521AC0" w14:textId="40756CE1" w:rsidR="00DE0CFB" w:rsidRPr="00FB6EAE" w:rsidRDefault="009C2EA7">
      <w:pPr>
        <w:rPr>
          <w:rFonts w:ascii="Times New Roman" w:hAnsi="Times New Roman"/>
          <w:b/>
          <w:sz w:val="24"/>
        </w:rPr>
      </w:pPr>
      <w:r>
        <w:rPr>
          <w:noProof/>
        </w:rPr>
        <w:lastRenderedPageBreak/>
        <w:drawing>
          <wp:inline distT="0" distB="0" distL="0" distR="0" wp14:anchorId="5404C6A3" wp14:editId="3EE3B3CC">
            <wp:extent cx="5625296" cy="54514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46" t="3861" r="2057" b="2886"/>
                    <a:stretch/>
                  </pic:blipFill>
                  <pic:spPr bwMode="auto">
                    <a:xfrm>
                      <a:off x="0" y="0"/>
                      <a:ext cx="5626492" cy="5452613"/>
                    </a:xfrm>
                    <a:prstGeom prst="rect">
                      <a:avLst/>
                    </a:prstGeom>
                    <a:noFill/>
                    <a:ln>
                      <a:noFill/>
                    </a:ln>
                    <a:extLst>
                      <a:ext uri="{53640926-AAD7-44D8-BBD7-CCE9431645EC}">
                        <a14:shadowObscured xmlns:a14="http://schemas.microsoft.com/office/drawing/2010/main"/>
                      </a:ext>
                    </a:extLst>
                  </pic:spPr>
                </pic:pic>
              </a:graphicData>
            </a:graphic>
          </wp:inline>
        </w:drawing>
      </w:r>
    </w:p>
    <w:p w14:paraId="39F12157" w14:textId="77777777" w:rsidR="00922B1E" w:rsidRPr="00FB6EAE" w:rsidRDefault="00922B1E" w:rsidP="00922B1E">
      <w:pPr>
        <w:spacing w:line="480" w:lineRule="auto"/>
        <w:outlineLvl w:val="0"/>
        <w:rPr>
          <w:rFonts w:ascii="Times New Roman" w:hAnsi="Times New Roman"/>
          <w:bCs/>
          <w:iCs/>
          <w:color w:val="FF0000"/>
          <w:sz w:val="24"/>
        </w:rPr>
      </w:pPr>
      <w:r w:rsidRPr="00FB6EAE">
        <w:rPr>
          <w:rFonts w:ascii="Times New Roman" w:hAnsi="Times New Roman" w:hint="eastAsia"/>
          <w:b/>
          <w:color w:val="000000" w:themeColor="text1"/>
          <w:sz w:val="24"/>
        </w:rPr>
        <w:t>Fig.</w:t>
      </w:r>
      <w:r w:rsidRPr="00FB6EAE">
        <w:rPr>
          <w:rFonts w:ascii="Times New Roman" w:hAnsi="Times New Roman"/>
          <w:b/>
          <w:color w:val="000000" w:themeColor="text1"/>
          <w:sz w:val="24"/>
        </w:rPr>
        <w:t xml:space="preserve"> S4.</w:t>
      </w:r>
      <w:r w:rsidRPr="00FB6EAE">
        <w:rPr>
          <w:rFonts w:ascii="Times New Roman" w:hAnsi="Times New Roman"/>
          <w:color w:val="000000" w:themeColor="text1"/>
          <w:sz w:val="24"/>
        </w:rPr>
        <w:t xml:space="preserve"> </w:t>
      </w:r>
      <w:r w:rsidRPr="00080E4F">
        <w:rPr>
          <w:rFonts w:ascii="Times New Roman" w:hAnsi="Times New Roman"/>
          <w:b/>
          <w:bCs/>
          <w:iCs/>
          <w:color w:val="000000" w:themeColor="text1"/>
          <w:sz w:val="24"/>
        </w:rPr>
        <w:t>Weighted gene Co-expression network analysis (WGCNA) of wild-type (WT) and Δ</w:t>
      </w:r>
      <w:r w:rsidRPr="00080E4F">
        <w:rPr>
          <w:rFonts w:ascii="Times New Roman" w:hAnsi="Times New Roman"/>
          <w:b/>
          <w:bCs/>
          <w:i/>
          <w:iCs/>
          <w:color w:val="000000" w:themeColor="text1"/>
          <w:sz w:val="24"/>
        </w:rPr>
        <w:t>AnTll</w:t>
      </w:r>
      <w:r w:rsidRPr="00080E4F">
        <w:rPr>
          <w:rFonts w:ascii="Times New Roman" w:hAnsi="Times New Roman"/>
          <w:b/>
          <w:bCs/>
          <w:iCs/>
          <w:color w:val="000000" w:themeColor="text1"/>
          <w:sz w:val="24"/>
        </w:rPr>
        <w:t xml:space="preserve">-11 strains. </w:t>
      </w:r>
      <w:r w:rsidRPr="00080E4F">
        <w:rPr>
          <w:rFonts w:ascii="Times New Roman" w:hAnsi="Times New Roman"/>
          <w:bCs/>
          <w:iCs/>
          <w:color w:val="000000" w:themeColor="text1"/>
          <w:sz w:val="24"/>
        </w:rPr>
        <w:t xml:space="preserve">(A) </w:t>
      </w:r>
      <w:r w:rsidRPr="00FB6EAE">
        <w:rPr>
          <w:rFonts w:ascii="Times New Roman" w:hAnsi="Times New Roman"/>
          <w:bCs/>
          <w:iCs/>
          <w:color w:val="000000" w:themeColor="text1"/>
          <w:sz w:val="24"/>
        </w:rPr>
        <w:t xml:space="preserve">Analyze pairwise correlations among all genes using Pearson correlation matrices combined with average clustering. Explore interactions between modules via clustering trees and correlation heatmaps. Perform clustering analysis on differentially expressed genes to obtain 17 modules. (B) Identify optimal soft thresholding parameters. Parameter β serves as the soft thresholding parameter, enhancing strong correlations while suppressing weak ones. Index 22 was selected, yielding </w:t>
      </w:r>
      <w:r w:rsidRPr="00FB6EAE">
        <w:rPr>
          <w:rFonts w:ascii="Times New Roman" w:hAnsi="Times New Roman"/>
          <w:bCs/>
          <w:i/>
          <w:color w:val="000000" w:themeColor="text1"/>
          <w:sz w:val="24"/>
        </w:rPr>
        <w:t>R</w:t>
      </w:r>
      <w:r w:rsidRPr="00FB6EAE">
        <w:rPr>
          <w:rFonts w:ascii="Times New Roman" w:hAnsi="Times New Roman"/>
          <w:bCs/>
          <w:iCs/>
          <w:color w:val="000000" w:themeColor="text1"/>
          <w:sz w:val="24"/>
        </w:rPr>
        <w:t xml:space="preserve">² = 0.87. (C) Clustering Dendrogram: Constructed a co-expression network based on the optimal soft threshold. Genes were assigned to distinct modules via hierarchical clustering analysis, generating a clustering dendrogram. The upper section displays </w:t>
      </w:r>
      <w:r w:rsidRPr="00FB6EAE">
        <w:rPr>
          <w:rFonts w:ascii="Times New Roman" w:hAnsi="Times New Roman"/>
          <w:bCs/>
          <w:iCs/>
          <w:color w:val="000000" w:themeColor="text1"/>
          <w:sz w:val="24"/>
        </w:rPr>
        <w:lastRenderedPageBreak/>
        <w:t xml:space="preserve">the hierarchical clustering dendrogram of genes, while the lower section shows gene modules. Corresponding vertically, genes with closer distances (clustered on the same branch) were assigned to the same module. Merge represents the color after merging similar modules. Each color denotes a module, while gray indicates genes belonging to no module. (D) Based on the topological overlap matrix, a correlation heatmap between genes can be generated. Darker colors indicate stronger interactions between genes. The </w:t>
      </w:r>
      <w:proofErr w:type="spellStart"/>
      <w:r w:rsidRPr="00FB6EAE">
        <w:rPr>
          <w:rFonts w:ascii="Times New Roman" w:hAnsi="Times New Roman"/>
          <w:bCs/>
          <w:iCs/>
          <w:color w:val="000000" w:themeColor="text1"/>
          <w:sz w:val="24"/>
        </w:rPr>
        <w:t>MElightgreen</w:t>
      </w:r>
      <w:proofErr w:type="spellEnd"/>
      <w:r w:rsidRPr="00FB6EAE">
        <w:rPr>
          <w:rFonts w:ascii="Times New Roman" w:hAnsi="Times New Roman"/>
          <w:bCs/>
          <w:iCs/>
          <w:color w:val="000000" w:themeColor="text1"/>
          <w:sz w:val="24"/>
        </w:rPr>
        <w:t xml:space="preserve"> module exhibits the highest correlation (</w:t>
      </w:r>
      <w:r w:rsidRPr="00FB6EAE">
        <w:rPr>
          <w:rFonts w:ascii="Times New Roman" w:hAnsi="Times New Roman"/>
          <w:bCs/>
          <w:i/>
          <w:color w:val="000000" w:themeColor="text1"/>
          <w:sz w:val="24"/>
        </w:rPr>
        <w:t>R</w:t>
      </w:r>
      <w:r w:rsidRPr="00FB6EAE">
        <w:rPr>
          <w:rFonts w:ascii="Times New Roman" w:hAnsi="Times New Roman"/>
          <w:bCs/>
          <w:iCs/>
          <w:color w:val="000000" w:themeColor="text1"/>
          <w:sz w:val="24"/>
        </w:rPr>
        <w:t xml:space="preserve">² = 0.71). (E) The </w:t>
      </w:r>
      <w:proofErr w:type="spellStart"/>
      <w:r w:rsidRPr="00FB6EAE">
        <w:rPr>
          <w:rFonts w:ascii="Times New Roman" w:hAnsi="Times New Roman"/>
          <w:bCs/>
          <w:iCs/>
          <w:color w:val="000000" w:themeColor="text1"/>
          <w:sz w:val="24"/>
        </w:rPr>
        <w:t>MElightgreen</w:t>
      </w:r>
      <w:proofErr w:type="spellEnd"/>
      <w:r w:rsidRPr="00FB6EAE">
        <w:rPr>
          <w:rFonts w:ascii="Times New Roman" w:hAnsi="Times New Roman"/>
          <w:bCs/>
          <w:iCs/>
          <w:color w:val="000000" w:themeColor="text1"/>
          <w:sz w:val="24"/>
        </w:rPr>
        <w:t xml:space="preserve"> module network is visualized using </w:t>
      </w:r>
      <w:proofErr w:type="spellStart"/>
      <w:r w:rsidRPr="00FB6EAE">
        <w:rPr>
          <w:rFonts w:ascii="Times New Roman" w:hAnsi="Times New Roman"/>
          <w:bCs/>
          <w:iCs/>
          <w:color w:val="000000" w:themeColor="text1"/>
          <w:sz w:val="24"/>
        </w:rPr>
        <w:t>Cytoscape</w:t>
      </w:r>
      <w:proofErr w:type="spellEnd"/>
      <w:r w:rsidRPr="00FB6EAE">
        <w:rPr>
          <w:rFonts w:ascii="Times New Roman" w:hAnsi="Times New Roman"/>
          <w:bCs/>
          <w:iCs/>
          <w:color w:val="000000" w:themeColor="text1"/>
          <w:sz w:val="24"/>
        </w:rPr>
        <w:t xml:space="preserve">. Core genes are identified based on key modules: A key module network is constructed based on gene similarity within these modules, and gene interactions within the network are visualized using </w:t>
      </w:r>
      <w:proofErr w:type="spellStart"/>
      <w:r w:rsidRPr="00FB6EAE">
        <w:rPr>
          <w:rFonts w:ascii="Times New Roman" w:hAnsi="Times New Roman"/>
          <w:bCs/>
          <w:iCs/>
          <w:color w:val="000000" w:themeColor="text1"/>
          <w:sz w:val="24"/>
        </w:rPr>
        <w:t>Cytoscape</w:t>
      </w:r>
      <w:proofErr w:type="spellEnd"/>
      <w:r w:rsidRPr="00FB6EAE">
        <w:rPr>
          <w:rFonts w:ascii="Times New Roman" w:hAnsi="Times New Roman"/>
          <w:bCs/>
          <w:iCs/>
          <w:color w:val="000000" w:themeColor="text1"/>
          <w:sz w:val="24"/>
        </w:rPr>
        <w:t>.</w:t>
      </w:r>
    </w:p>
    <w:p w14:paraId="3CD92898" w14:textId="7298E696" w:rsidR="00DE0CFB" w:rsidRPr="00FB6EAE" w:rsidRDefault="00DE0CFB" w:rsidP="00922B1E">
      <w:pPr>
        <w:spacing w:line="480" w:lineRule="auto"/>
        <w:outlineLvl w:val="0"/>
        <w:rPr>
          <w:rFonts w:ascii="Times New Roman" w:hAnsi="Times New Roman"/>
          <w:b/>
          <w:color w:val="000000" w:themeColor="text1"/>
          <w:sz w:val="24"/>
        </w:rPr>
      </w:pPr>
    </w:p>
    <w:p w14:paraId="774CD052" w14:textId="77777777" w:rsidR="00DE0CFB" w:rsidRPr="00FB6EAE" w:rsidRDefault="00DE0CFB">
      <w:pPr>
        <w:rPr>
          <w:sz w:val="24"/>
        </w:rPr>
      </w:pPr>
    </w:p>
    <w:p w14:paraId="58E0C95B" w14:textId="77777777" w:rsidR="00DE0CFB" w:rsidRPr="00FB6EAE" w:rsidRDefault="00DE0CFB">
      <w:pPr>
        <w:rPr>
          <w:sz w:val="24"/>
        </w:rPr>
      </w:pPr>
    </w:p>
    <w:sectPr w:rsidR="00DE0CFB" w:rsidRPr="00FB6EAE">
      <w:pgSz w:w="11906" w:h="16838"/>
      <w:pgMar w:top="1418" w:right="1304" w:bottom="1134"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A0216" w14:textId="77777777" w:rsidR="00EC13AF" w:rsidRDefault="00EC13AF" w:rsidP="00836B1B">
      <w:r>
        <w:separator/>
      </w:r>
    </w:p>
  </w:endnote>
  <w:endnote w:type="continuationSeparator" w:id="0">
    <w:p w14:paraId="03352071" w14:textId="77777777" w:rsidR="00EC13AF" w:rsidRDefault="00EC13AF" w:rsidP="00836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0B5EC" w14:textId="77777777" w:rsidR="00EC13AF" w:rsidRDefault="00EC13AF" w:rsidP="00836B1B">
      <w:r>
        <w:separator/>
      </w:r>
    </w:p>
  </w:footnote>
  <w:footnote w:type="continuationSeparator" w:id="0">
    <w:p w14:paraId="6B203BCA" w14:textId="77777777" w:rsidR="00EC13AF" w:rsidRDefault="00EC13AF" w:rsidP="00836B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k1Yzg1Nzc5MTE2NGI5YTg1Mjk4MzNkNWEzYTMxMjAifQ=="/>
  </w:docVars>
  <w:rsids>
    <w:rsidRoot w:val="00175341"/>
    <w:rsid w:val="000177D6"/>
    <w:rsid w:val="0004573A"/>
    <w:rsid w:val="00053728"/>
    <w:rsid w:val="000663D4"/>
    <w:rsid w:val="00080E4F"/>
    <w:rsid w:val="000D029F"/>
    <w:rsid w:val="000D7E44"/>
    <w:rsid w:val="00120979"/>
    <w:rsid w:val="001455D8"/>
    <w:rsid w:val="00154A5D"/>
    <w:rsid w:val="00164DF3"/>
    <w:rsid w:val="00175341"/>
    <w:rsid w:val="001C147C"/>
    <w:rsid w:val="001F4D66"/>
    <w:rsid w:val="00212CF1"/>
    <w:rsid w:val="002225B2"/>
    <w:rsid w:val="002603FF"/>
    <w:rsid w:val="002654C5"/>
    <w:rsid w:val="002724AE"/>
    <w:rsid w:val="002C138C"/>
    <w:rsid w:val="002F6A0B"/>
    <w:rsid w:val="00303BC6"/>
    <w:rsid w:val="00304BFC"/>
    <w:rsid w:val="00327BBB"/>
    <w:rsid w:val="00336635"/>
    <w:rsid w:val="003438CA"/>
    <w:rsid w:val="00380CA5"/>
    <w:rsid w:val="0039670D"/>
    <w:rsid w:val="003A1224"/>
    <w:rsid w:val="003E3D80"/>
    <w:rsid w:val="00402F08"/>
    <w:rsid w:val="00403637"/>
    <w:rsid w:val="004256EF"/>
    <w:rsid w:val="005003A3"/>
    <w:rsid w:val="005029DF"/>
    <w:rsid w:val="00505C77"/>
    <w:rsid w:val="0050761E"/>
    <w:rsid w:val="00534E72"/>
    <w:rsid w:val="005757DA"/>
    <w:rsid w:val="00597614"/>
    <w:rsid w:val="005B2F9A"/>
    <w:rsid w:val="005F43E7"/>
    <w:rsid w:val="00602979"/>
    <w:rsid w:val="00646321"/>
    <w:rsid w:val="00681AA2"/>
    <w:rsid w:val="006A59EF"/>
    <w:rsid w:val="006B760F"/>
    <w:rsid w:val="006C40BE"/>
    <w:rsid w:val="006E0010"/>
    <w:rsid w:val="007115F3"/>
    <w:rsid w:val="00721BDE"/>
    <w:rsid w:val="00754BE0"/>
    <w:rsid w:val="0078751E"/>
    <w:rsid w:val="007A686D"/>
    <w:rsid w:val="007B0CE7"/>
    <w:rsid w:val="007D5F72"/>
    <w:rsid w:val="00836B1B"/>
    <w:rsid w:val="008776B5"/>
    <w:rsid w:val="00880D06"/>
    <w:rsid w:val="008F09EC"/>
    <w:rsid w:val="00901C31"/>
    <w:rsid w:val="00912803"/>
    <w:rsid w:val="00922B1E"/>
    <w:rsid w:val="00930E2A"/>
    <w:rsid w:val="009620D5"/>
    <w:rsid w:val="009C2EA7"/>
    <w:rsid w:val="009D659E"/>
    <w:rsid w:val="00A354B3"/>
    <w:rsid w:val="00A40475"/>
    <w:rsid w:val="00A75B1E"/>
    <w:rsid w:val="00A90BC9"/>
    <w:rsid w:val="00AD041E"/>
    <w:rsid w:val="00AE32A3"/>
    <w:rsid w:val="00B10FB9"/>
    <w:rsid w:val="00B65EA1"/>
    <w:rsid w:val="00B83240"/>
    <w:rsid w:val="00B9426D"/>
    <w:rsid w:val="00BB26C5"/>
    <w:rsid w:val="00BD2535"/>
    <w:rsid w:val="00BE50BD"/>
    <w:rsid w:val="00BF626B"/>
    <w:rsid w:val="00C014AB"/>
    <w:rsid w:val="00C832D3"/>
    <w:rsid w:val="00D17558"/>
    <w:rsid w:val="00D2319B"/>
    <w:rsid w:val="00D348DE"/>
    <w:rsid w:val="00D74A9B"/>
    <w:rsid w:val="00DC013E"/>
    <w:rsid w:val="00DC7F94"/>
    <w:rsid w:val="00DE0CFB"/>
    <w:rsid w:val="00E1437B"/>
    <w:rsid w:val="00E35F69"/>
    <w:rsid w:val="00E94E3E"/>
    <w:rsid w:val="00EA1D78"/>
    <w:rsid w:val="00EC13AF"/>
    <w:rsid w:val="00EC30D9"/>
    <w:rsid w:val="00ED4DE3"/>
    <w:rsid w:val="00EE751E"/>
    <w:rsid w:val="00F10655"/>
    <w:rsid w:val="00F47BD1"/>
    <w:rsid w:val="00F64A83"/>
    <w:rsid w:val="00F85B72"/>
    <w:rsid w:val="00FB6156"/>
    <w:rsid w:val="00FB6EAE"/>
    <w:rsid w:val="00FC710B"/>
    <w:rsid w:val="00FC7271"/>
    <w:rsid w:val="00FD1DE4"/>
    <w:rsid w:val="00FD65EA"/>
    <w:rsid w:val="00FE548E"/>
    <w:rsid w:val="2B380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CD80EB"/>
  <w15:docId w15:val="{A18FC52A-7308-4DFF-AFC9-EC17FDA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1"/>
    <w:uiPriority w:val="99"/>
    <w:unhideWhenUsed/>
    <w:qFormat/>
    <w:pPr>
      <w:widowControl/>
      <w:jc w:val="left"/>
    </w:pPr>
    <w:rPr>
      <w:rFonts w:ascii="宋体" w:hAnsi="宋体" w:cs="宋体"/>
      <w:kern w:val="0"/>
      <w:sz w:val="24"/>
      <w:lang w:val="zh-CN"/>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annotation subject"/>
    <w:basedOn w:val="a3"/>
    <w:next w:val="a3"/>
    <w:link w:val="ab"/>
    <w:uiPriority w:val="99"/>
    <w:semiHidden/>
    <w:unhideWhenUsed/>
    <w:qFormat/>
    <w:pPr>
      <w:widowControl w:val="0"/>
    </w:pPr>
    <w:rPr>
      <w:rFonts w:ascii="Calibri" w:hAnsi="Calibri" w:cs="Times New Roman"/>
      <w:b/>
      <w:bCs/>
      <w:kern w:val="2"/>
      <w:sz w:val="21"/>
      <w:lang w:val="en-US"/>
    </w:rPr>
  </w:style>
  <w:style w:type="character" w:styleId="ac">
    <w:name w:val="Hyperlink"/>
    <w:uiPriority w:val="99"/>
    <w:unhideWhenUsed/>
    <w:qFormat/>
    <w:rPr>
      <w:color w:val="0000FF"/>
      <w:u w:val="single"/>
    </w:rPr>
  </w:style>
  <w:style w:type="character" w:styleId="ad">
    <w:name w:val="annotation reference"/>
    <w:uiPriority w:val="99"/>
    <w:unhideWhenUsed/>
    <w:qFormat/>
    <w:rPr>
      <w:sz w:val="21"/>
      <w:szCs w:val="21"/>
    </w:rPr>
  </w:style>
  <w:style w:type="character" w:customStyle="1" w:styleId="a7">
    <w:name w:val="页脚 字符"/>
    <w:basedOn w:val="a0"/>
    <w:link w:val="a6"/>
    <w:uiPriority w:val="99"/>
    <w:qFormat/>
    <w:rPr>
      <w:rFonts w:ascii="Calibri" w:eastAsia="宋体" w:hAnsi="Calibri" w:cs="Times New Roman"/>
      <w:sz w:val="18"/>
      <w:szCs w:val="18"/>
    </w:rPr>
  </w:style>
  <w:style w:type="character" w:customStyle="1" w:styleId="a5">
    <w:name w:val="批注框文本 字符"/>
    <w:basedOn w:val="a0"/>
    <w:link w:val="a4"/>
    <w:uiPriority w:val="99"/>
    <w:semiHidden/>
    <w:qFormat/>
    <w:rPr>
      <w:rFonts w:ascii="Calibri" w:eastAsia="宋体" w:hAnsi="Calibri" w:cs="Times New Roman"/>
      <w:sz w:val="18"/>
      <w:szCs w:val="18"/>
    </w:rPr>
  </w:style>
  <w:style w:type="character" w:customStyle="1" w:styleId="a9">
    <w:name w:val="页眉 字符"/>
    <w:basedOn w:val="a0"/>
    <w:link w:val="a8"/>
    <w:uiPriority w:val="99"/>
    <w:qFormat/>
    <w:rPr>
      <w:rFonts w:ascii="Calibri" w:eastAsia="宋体" w:hAnsi="Calibri" w:cs="Times New Roman"/>
      <w:sz w:val="18"/>
      <w:szCs w:val="18"/>
    </w:rPr>
  </w:style>
  <w:style w:type="character" w:customStyle="1" w:styleId="ae">
    <w:name w:val="批注文字 字符"/>
    <w:basedOn w:val="a0"/>
    <w:uiPriority w:val="99"/>
    <w:semiHidden/>
    <w:qFormat/>
    <w:rPr>
      <w:rFonts w:ascii="Calibri" w:eastAsia="宋体" w:hAnsi="Calibri" w:cs="Times New Roman"/>
      <w:szCs w:val="24"/>
    </w:rPr>
  </w:style>
  <w:style w:type="character" w:customStyle="1" w:styleId="1">
    <w:name w:val="批注文字 字符1"/>
    <w:link w:val="a3"/>
    <w:uiPriority w:val="99"/>
    <w:qFormat/>
    <w:rPr>
      <w:rFonts w:ascii="宋体" w:eastAsia="宋体" w:hAnsi="宋体" w:cs="宋体"/>
      <w:kern w:val="0"/>
      <w:sz w:val="24"/>
      <w:szCs w:val="24"/>
      <w:lang w:val="zh-CN" w:eastAsia="zh-CN"/>
    </w:rPr>
  </w:style>
  <w:style w:type="paragraph" w:customStyle="1" w:styleId="10">
    <w:name w:val="修订1"/>
    <w:hidden/>
    <w:uiPriority w:val="99"/>
    <w:semiHidden/>
    <w:qFormat/>
    <w:rPr>
      <w:rFonts w:ascii="Calibri" w:eastAsia="宋体" w:hAnsi="Calibri" w:cs="Times New Roman"/>
      <w:kern w:val="2"/>
      <w:sz w:val="21"/>
      <w:szCs w:val="24"/>
    </w:rPr>
  </w:style>
  <w:style w:type="character" w:customStyle="1" w:styleId="ab">
    <w:name w:val="批注主题 字符"/>
    <w:basedOn w:val="1"/>
    <w:link w:val="aa"/>
    <w:uiPriority w:val="99"/>
    <w:semiHidden/>
    <w:qFormat/>
    <w:rPr>
      <w:rFonts w:ascii="Calibri" w:eastAsia="宋体" w:hAnsi="Calibri" w:cs="Times New Roman"/>
      <w:b/>
      <w:bCs/>
      <w:kern w:val="0"/>
      <w:sz w:val="24"/>
      <w:szCs w:val="24"/>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460</Words>
  <Characters>2693</Characters>
  <Application>Microsoft Office Word</Application>
  <DocSecurity>0</DocSecurity>
  <Lines>56</Lines>
  <Paragraphs>5</Paragraphs>
  <ScaleCrop>false</ScaleCrop>
  <Company>Microsoft</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乐 杨</cp:lastModifiedBy>
  <cp:revision>9</cp:revision>
  <dcterms:created xsi:type="dcterms:W3CDTF">2025-09-09T07:37:00Z</dcterms:created>
  <dcterms:modified xsi:type="dcterms:W3CDTF">2025-09-09T14:28:00Z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5331D3DCDA4F42478B89B8BFAD04D505_12</vt:lpwstr>
  </property>
</Properties>
</file>