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B0D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outlineLvl w:val="0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bCs/>
          <w:kern w:val="0"/>
          <w:sz w:val="24"/>
          <w:szCs w:val="24"/>
          <w:highlight w:val="none"/>
          <w:lang w:bidi="ar"/>
        </w:rPr>
        <w:t>Table S1: Definitions, Generation Methods, and Algorithm Settings for Habitat Suitability and Connectivity Variables</w:t>
      </w:r>
    </w:p>
    <w:tbl>
      <w:tblPr>
        <w:tblStyle w:val="2"/>
        <w:tblW w:w="0" w:type="auto"/>
        <w:jc w:val="center"/>
        <w:tblCellSpacing w:w="1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2641"/>
        <w:gridCol w:w="2829"/>
        <w:gridCol w:w="3123"/>
      </w:tblGrid>
      <w:tr w14:paraId="74DA3676">
        <w:trPr>
          <w:tblHeader/>
          <w:tblCellSpacing w:w="15" w:type="dxa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00370C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Variable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7539F88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Definition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BEDBAD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How it was generated and processed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DE1B5A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Algorithm Settings and Assumptions</w:t>
            </w:r>
          </w:p>
        </w:tc>
      </w:tr>
      <w:tr w14:paraId="42E5F83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446F9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Suitability</w:t>
            </w:r>
          </w:p>
        </w:tc>
        <w:tc>
          <w:tcPr>
            <w:tcW w:w="0" w:type="auto"/>
            <w:vAlign w:val="center"/>
          </w:tcPr>
          <w:p w14:paraId="15AEAF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Measures the appropriateness of a habitat for a species, based on environmental variables such as temperature, salinity, dissolved oxygen, etc.</w:t>
            </w:r>
          </w:p>
        </w:tc>
        <w:tc>
          <w:tcPr>
            <w:tcW w:w="0" w:type="auto"/>
            <w:vAlign w:val="center"/>
          </w:tcPr>
          <w:p w14:paraId="750BC2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Generated using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Species Distribution Models (SDMs)</w:t>
            </w: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 based on environmental variables. Standardized to a 0–1000 scale, with higher values indicating more suitable conditions.</w:t>
            </w:r>
          </w:p>
        </w:tc>
        <w:tc>
          <w:tcPr>
            <w:tcW w:w="0" w:type="auto"/>
            <w:vAlign w:val="center"/>
          </w:tcPr>
          <w:p w14:paraId="5E9A28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SDMs used: Maxent, Random Forest (RF), Generalized Linear Models (GLM), and others (Table 2). Model accuracy assessed using AUC, TSS, and Kappa values. Presence-only data used.</w:t>
            </w:r>
          </w:p>
        </w:tc>
      </w:tr>
      <w:tr w14:paraId="626515B7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05111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Core Habitat</w:t>
            </w:r>
          </w:p>
        </w:tc>
        <w:tc>
          <w:tcPr>
            <w:tcW w:w="0" w:type="auto"/>
            <w:vAlign w:val="center"/>
          </w:tcPr>
          <w:p w14:paraId="2C1264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A subset of suitable habitat that represents the most optimal areas for species survival and reproduction.</w:t>
            </w:r>
          </w:p>
        </w:tc>
        <w:tc>
          <w:tcPr>
            <w:tcW w:w="0" w:type="auto"/>
            <w:vAlign w:val="center"/>
          </w:tcPr>
          <w:p w14:paraId="242ED7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Defined as areas with suitability scores &gt;750, representing highly suitable conditions. Derived from ensemble modeling outputs.</w:t>
            </w:r>
          </w:p>
        </w:tc>
        <w:tc>
          <w:tcPr>
            <w:tcW w:w="0" w:type="auto"/>
            <w:vAlign w:val="center"/>
          </w:tcPr>
          <w:p w14:paraId="2FB69C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Core habitat thresholds were selected based on ensemble results and prior studies (Guisan and Zimmermann, 2000).</w:t>
            </w:r>
          </w:p>
        </w:tc>
      </w:tr>
      <w:tr w14:paraId="432F1A1B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DA233E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Highly Suitable Habitat</w:t>
            </w:r>
          </w:p>
        </w:tc>
        <w:tc>
          <w:tcPr>
            <w:tcW w:w="0" w:type="auto"/>
            <w:vAlign w:val="center"/>
          </w:tcPr>
          <w:p w14:paraId="5715F8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The most favorable habitat areas where species are predicted to thrive, with optimal environmental conditions.</w:t>
            </w:r>
          </w:p>
        </w:tc>
        <w:tc>
          <w:tcPr>
            <w:tcW w:w="0" w:type="auto"/>
            <w:vAlign w:val="center"/>
          </w:tcPr>
          <w:p w14:paraId="293007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Same as core habitat, based on suitability scores &gt;750. Indicates maximum species habitat quality.</w:t>
            </w:r>
          </w:p>
        </w:tc>
        <w:tc>
          <w:tcPr>
            <w:tcW w:w="0" w:type="auto"/>
            <w:vAlign w:val="center"/>
          </w:tcPr>
          <w:p w14:paraId="54A967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Threshold of suitability &gt;750. Calculated using an ensemble of models (Maxent, RF, GLM).</w:t>
            </w:r>
          </w:p>
        </w:tc>
      </w:tr>
      <w:tr w14:paraId="271526F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927BD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Ecological Corridor</w:t>
            </w:r>
          </w:p>
        </w:tc>
        <w:tc>
          <w:tcPr>
            <w:tcW w:w="0" w:type="auto"/>
            <w:vAlign w:val="center"/>
          </w:tcPr>
          <w:p w14:paraId="616C91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Pathways connecting fragmented habitats, allowing species to migrate or disperse.</w:t>
            </w:r>
          </w:p>
        </w:tc>
        <w:tc>
          <w:tcPr>
            <w:tcW w:w="0" w:type="auto"/>
            <w:vAlign w:val="center"/>
          </w:tcPr>
          <w:p w14:paraId="7A5E7F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Identified using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circuit theory</w:t>
            </w: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 in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Linkage Mapper</w:t>
            </w: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, representing low-resistance pathways between ecological source areas.</w:t>
            </w:r>
          </w:p>
        </w:tc>
        <w:tc>
          <w:tcPr>
            <w:tcW w:w="0" w:type="auto"/>
            <w:vAlign w:val="center"/>
          </w:tcPr>
          <w:p w14:paraId="2C409B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Circuit theory models use resistance values based on environmental gradients (e.g., habitat suitability, temperature).</w:t>
            </w:r>
          </w:p>
        </w:tc>
      </w:tr>
      <w:tr w14:paraId="47D3146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A1651C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Effective Resistance (Reff)</w:t>
            </w:r>
          </w:p>
        </w:tc>
        <w:tc>
          <w:tcPr>
            <w:tcW w:w="0" w:type="auto"/>
            <w:vAlign w:val="center"/>
          </w:tcPr>
          <w:p w14:paraId="0F16AA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A measure of migration difficulty between two habitat patches, accounting for all possible migration routes.</w:t>
            </w:r>
          </w:p>
        </w:tc>
        <w:tc>
          <w:tcPr>
            <w:tcW w:w="0" w:type="auto"/>
            <w:vAlign w:val="center"/>
          </w:tcPr>
          <w:p w14:paraId="74A060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Calculated using circuit theory, with the resistance surface derived from SDMs. It quantifies the cumulative resistance across all potential migration paths.</w:t>
            </w:r>
          </w:p>
        </w:tc>
        <w:tc>
          <w:tcPr>
            <w:tcW w:w="0" w:type="auto"/>
            <w:vAlign w:val="center"/>
          </w:tcPr>
          <w:p w14:paraId="57C5544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Resistance surfaces were inverted from SDMs using the SDMToolbox and used in circuit theory models. High resistance = higher migration difficulty.</w:t>
            </w:r>
          </w:p>
        </w:tc>
      </w:tr>
      <w:tr w14:paraId="29FA6BD6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D9E16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Electric Current Density</w:t>
            </w:r>
          </w:p>
        </w:tc>
        <w:tc>
          <w:tcPr>
            <w:tcW w:w="0" w:type="auto"/>
            <w:vAlign w:val="center"/>
          </w:tcPr>
          <w:p w14:paraId="0E43E4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Relative measure of connectivity strength, representing the density of migration pathways between MPAs.</w:t>
            </w:r>
          </w:p>
        </w:tc>
        <w:tc>
          <w:tcPr>
            <w:tcW w:w="0" w:type="auto"/>
            <w:vAlign w:val="center"/>
          </w:tcPr>
          <w:p w14:paraId="2CF87E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Generated using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Linkage Mapper</w:t>
            </w: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 with circuit theory to simulate current density across ecological corridors. High current density indicates strong connectivity.</w:t>
            </w:r>
          </w:p>
        </w:tc>
        <w:tc>
          <w:tcPr>
            <w:tcW w:w="0" w:type="auto"/>
            <w:vAlign w:val="center"/>
          </w:tcPr>
          <w:p w14:paraId="5837FE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Linkage Mapper was used to integrate current density across 17 MPAs under different climate scenarios (SSP126, SSP585).</w:t>
            </w:r>
          </w:p>
        </w:tc>
      </w:tr>
      <w:tr w14:paraId="7A7A6A73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D30DB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Ecological Pinch Points</w:t>
            </w:r>
          </w:p>
        </w:tc>
        <w:tc>
          <w:tcPr>
            <w:tcW w:w="0" w:type="auto"/>
            <w:vAlign w:val="center"/>
          </w:tcPr>
          <w:p w14:paraId="7EB384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Critical areas where migration corridors narrow, hindering species movement.</w:t>
            </w:r>
          </w:p>
        </w:tc>
        <w:tc>
          <w:tcPr>
            <w:tcW w:w="0" w:type="auto"/>
            <w:vAlign w:val="center"/>
          </w:tcPr>
          <w:p w14:paraId="2DD951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Identified from electric current density maps, focusing on areas with high resistance and low current density, which act as barriers to migration.</w:t>
            </w:r>
          </w:p>
        </w:tc>
        <w:tc>
          <w:tcPr>
            <w:tcW w:w="0" w:type="auto"/>
            <w:vAlign w:val="center"/>
          </w:tcPr>
          <w:p w14:paraId="65D2E2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 xml:space="preserve">Pinch points are calculated based on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highlight w:val="none"/>
                <w:lang w:bidi="ar"/>
              </w:rPr>
              <w:t>current density maps</w:t>
            </w:r>
            <w:r>
              <w:rPr>
                <w:rFonts w:hint="default" w:ascii="Times New Roman Regular" w:hAnsi="Times New Roman Regular" w:eastAsia="宋体" w:cs="Times New Roman Regular"/>
                <w:bCs/>
                <w:kern w:val="0"/>
                <w:sz w:val="24"/>
                <w:szCs w:val="24"/>
                <w:highlight w:val="none"/>
                <w:lang w:bidi="ar"/>
              </w:rPr>
              <w:t>. Areas with highest resistance and lowest connectivity are prioritized.</w:t>
            </w:r>
          </w:p>
        </w:tc>
      </w:tr>
    </w:tbl>
    <w:p w14:paraId="2AFBAA9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1E8BF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B53A"/>
    <w:rsid w:val="59FFB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2025-08-16T09:02:00Z</dcterms:created>
  <dc:creator>n炊腊稳考跃</dc:creator>
  <cp:lastModifiedBy>n炊腊稳考跃</cp:lastModifiedBy>
  <dcterms:modified xsi:type="dcterms:W3CDTF">2025-08-16T09:03:43Z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A5B059A5671CFF5EB5D89F6884DD7F5D_41</vt:lpwstr>
  </property>
</Properties>
</file>