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F0DC2" w:rsidRDefault="000F0DC2" w:rsidP="00ED24B8"/>
    <w:p w:rsidR="000F0DC2" w:rsidRDefault="000F0DC2"/>
    <w:tbl>
      <w:tblPr>
        <w:tblStyle w:val="MediumGrid1-Accent5"/>
        <w:tblW w:w="9360" w:type="dxa"/>
        <w:tblLayout w:type="fixed"/>
        <w:tblLook w:val="0600" w:firstRow="0" w:lastRow="0" w:firstColumn="0" w:lastColumn="0" w:noHBand="1" w:noVBand="1"/>
      </w:tblPr>
      <w:tblGrid>
        <w:gridCol w:w="918"/>
        <w:gridCol w:w="2970"/>
        <w:gridCol w:w="5472"/>
      </w:tblGrid>
      <w:tr w:rsidR="000F0DC2" w:rsidTr="009F5BDB">
        <w:tc>
          <w:tcPr>
            <w:tcW w:w="918" w:type="dxa"/>
          </w:tcPr>
          <w:p w:rsidR="000F0DC2" w:rsidRPr="00040B12" w:rsidRDefault="00ED24B8">
            <w:pPr>
              <w:widowControl w:val="0"/>
              <w:rPr>
                <w:b/>
                <w:bCs/>
              </w:rPr>
            </w:pPr>
            <w:r w:rsidRPr="00040B12">
              <w:rPr>
                <w:b/>
                <w:bCs/>
              </w:rPr>
              <w:t>Class</w:t>
            </w:r>
          </w:p>
        </w:tc>
        <w:tc>
          <w:tcPr>
            <w:tcW w:w="2970" w:type="dxa"/>
          </w:tcPr>
          <w:p w:rsidR="000F0DC2" w:rsidRPr="00040B12" w:rsidRDefault="00ED24B8">
            <w:pPr>
              <w:widowControl w:val="0"/>
              <w:rPr>
                <w:b/>
                <w:bCs/>
              </w:rPr>
            </w:pPr>
            <w:r w:rsidRPr="00040B12">
              <w:rPr>
                <w:b/>
                <w:bCs/>
              </w:rPr>
              <w:t>VIC/AMP-ASCO-CAP</w:t>
            </w:r>
          </w:p>
        </w:tc>
        <w:tc>
          <w:tcPr>
            <w:tcW w:w="5472" w:type="dxa"/>
          </w:tcPr>
          <w:p w:rsidR="000F0DC2" w:rsidRPr="00040B12" w:rsidRDefault="00ED24B8">
            <w:pPr>
              <w:widowControl w:val="0"/>
              <w:rPr>
                <w:b/>
                <w:bCs/>
              </w:rPr>
            </w:pPr>
            <w:r w:rsidRPr="00040B12">
              <w:rPr>
                <w:b/>
                <w:bCs/>
              </w:rPr>
              <w:t>CGI</w:t>
            </w:r>
          </w:p>
        </w:tc>
      </w:tr>
      <w:tr w:rsidR="000F0DC2" w:rsidTr="009F5BDB">
        <w:tc>
          <w:tcPr>
            <w:tcW w:w="918" w:type="dxa"/>
          </w:tcPr>
          <w:p w:rsidR="000F0DC2" w:rsidRPr="00040B12" w:rsidRDefault="00ED24B8">
            <w:pPr>
              <w:widowControl w:val="0"/>
              <w:rPr>
                <w:b/>
                <w:bCs/>
              </w:rPr>
            </w:pPr>
            <w:r w:rsidRPr="00040B12">
              <w:rPr>
                <w:b/>
                <w:bCs/>
              </w:rPr>
              <w:t>I</w:t>
            </w:r>
          </w:p>
        </w:tc>
        <w:tc>
          <w:tcPr>
            <w:tcW w:w="2970" w:type="dxa"/>
          </w:tcPr>
          <w:p w:rsidR="000F0DC2" w:rsidRDefault="00ED24B8">
            <w:pPr>
              <w:widowControl w:val="0"/>
            </w:pPr>
            <w:r>
              <w:t xml:space="preserve">Strong clinical significance </w:t>
            </w:r>
          </w:p>
        </w:tc>
        <w:tc>
          <w:tcPr>
            <w:tcW w:w="5472" w:type="dxa"/>
          </w:tcPr>
          <w:p w:rsidR="000F0DC2" w:rsidRDefault="00ED24B8">
            <w:pPr>
              <w:widowControl w:val="0"/>
            </w:pPr>
            <w:r>
              <w:t>Predicted driver</w:t>
            </w:r>
          </w:p>
        </w:tc>
      </w:tr>
      <w:tr w:rsidR="000F0DC2" w:rsidTr="009F5BDB">
        <w:tc>
          <w:tcPr>
            <w:tcW w:w="918" w:type="dxa"/>
          </w:tcPr>
          <w:p w:rsidR="000F0DC2" w:rsidRPr="00040B12" w:rsidRDefault="00ED24B8">
            <w:pPr>
              <w:widowControl w:val="0"/>
              <w:rPr>
                <w:b/>
                <w:bCs/>
              </w:rPr>
            </w:pPr>
            <w:r w:rsidRPr="00040B12">
              <w:rPr>
                <w:b/>
                <w:bCs/>
              </w:rPr>
              <w:t>II</w:t>
            </w:r>
          </w:p>
        </w:tc>
        <w:tc>
          <w:tcPr>
            <w:tcW w:w="2970" w:type="dxa"/>
          </w:tcPr>
          <w:p w:rsidR="000F0DC2" w:rsidRDefault="00ED24B8">
            <w:pPr>
              <w:widowControl w:val="0"/>
            </w:pPr>
            <w:r>
              <w:t>Potential clinical significance</w:t>
            </w:r>
          </w:p>
        </w:tc>
        <w:tc>
          <w:tcPr>
            <w:tcW w:w="5472" w:type="dxa"/>
          </w:tcPr>
          <w:p w:rsidR="000F0DC2" w:rsidRDefault="00ED24B8">
            <w:pPr>
              <w:widowControl w:val="0"/>
            </w:pPr>
            <w:r>
              <w:t>Predicted passenger</w:t>
            </w:r>
          </w:p>
        </w:tc>
      </w:tr>
      <w:tr w:rsidR="000F0DC2" w:rsidTr="009F5BDB">
        <w:tc>
          <w:tcPr>
            <w:tcW w:w="918" w:type="dxa"/>
          </w:tcPr>
          <w:p w:rsidR="000F0DC2" w:rsidRPr="00040B12" w:rsidRDefault="00ED24B8">
            <w:pPr>
              <w:widowControl w:val="0"/>
              <w:rPr>
                <w:b/>
                <w:bCs/>
              </w:rPr>
            </w:pPr>
            <w:r w:rsidRPr="00040B12">
              <w:rPr>
                <w:b/>
                <w:bCs/>
              </w:rPr>
              <w:t>III</w:t>
            </w:r>
          </w:p>
        </w:tc>
        <w:tc>
          <w:tcPr>
            <w:tcW w:w="2970" w:type="dxa"/>
          </w:tcPr>
          <w:p w:rsidR="000F0DC2" w:rsidRDefault="00ED24B8">
            <w:pPr>
              <w:widowControl w:val="0"/>
            </w:pPr>
            <w:r>
              <w:t xml:space="preserve">Uncertain significance </w:t>
            </w:r>
          </w:p>
        </w:tc>
        <w:tc>
          <w:tcPr>
            <w:tcW w:w="5472" w:type="dxa"/>
          </w:tcPr>
          <w:p w:rsidR="000F0DC2" w:rsidRDefault="00ED24B8">
            <w:pPr>
              <w:widowControl w:val="0"/>
            </w:pPr>
            <w:r>
              <w:t>Known in</w:t>
            </w:r>
          </w:p>
        </w:tc>
      </w:tr>
      <w:tr w:rsidR="000F0DC2" w:rsidTr="009F5BDB">
        <w:tc>
          <w:tcPr>
            <w:tcW w:w="918" w:type="dxa"/>
          </w:tcPr>
          <w:p w:rsidR="000F0DC2" w:rsidRPr="00040B12" w:rsidRDefault="00ED24B8">
            <w:pPr>
              <w:widowControl w:val="0"/>
              <w:rPr>
                <w:b/>
                <w:bCs/>
              </w:rPr>
            </w:pPr>
            <w:r w:rsidRPr="00040B12">
              <w:rPr>
                <w:b/>
                <w:bCs/>
              </w:rPr>
              <w:t>IV</w:t>
            </w:r>
          </w:p>
        </w:tc>
        <w:tc>
          <w:tcPr>
            <w:tcW w:w="2970" w:type="dxa"/>
          </w:tcPr>
          <w:p w:rsidR="000F0DC2" w:rsidRDefault="00ED24B8">
            <w:pPr>
              <w:widowControl w:val="0"/>
            </w:pPr>
            <w:r>
              <w:t xml:space="preserve">Benign or likely </w:t>
            </w:r>
            <w:proofErr w:type="spellStart"/>
            <w:r>
              <w:t>bening</w:t>
            </w:r>
            <w:proofErr w:type="spellEnd"/>
          </w:p>
        </w:tc>
        <w:tc>
          <w:tcPr>
            <w:tcW w:w="5472" w:type="dxa"/>
          </w:tcPr>
          <w:p w:rsidR="000F0DC2" w:rsidRDefault="00ED24B8">
            <w:pPr>
              <w:widowControl w:val="0"/>
            </w:pPr>
            <w:r>
              <w:t>Not protein-affecting or likely neutral for oncogenesis</w:t>
            </w:r>
          </w:p>
        </w:tc>
      </w:tr>
    </w:tbl>
    <w:p w:rsidR="000F0DC2" w:rsidRDefault="00ED24B8">
      <w:r>
        <w:t xml:space="preserve">  Table 4: Somatic variant interpretation catalogs by the consensus guidelines and their equivalent on CGI. </w:t>
      </w:r>
    </w:p>
    <w:p w:rsidR="000F0DC2" w:rsidRDefault="000F0DC2">
      <w:bookmarkStart w:id="0" w:name="_GoBack"/>
      <w:bookmarkEnd w:id="0"/>
    </w:p>
    <w:p w:rsidR="000F0DC2" w:rsidRDefault="000F0DC2"/>
    <w:p w:rsidR="000F0DC2" w:rsidRDefault="000F0DC2"/>
    <w:sectPr w:rsidR="000F0DC2">
      <w:pgSz w:w="12240" w:h="15840"/>
      <w:pgMar w:top="1440" w:right="1440" w:bottom="1440" w:left="144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</w:compat>
  <w:rsids>
    <w:rsidRoot w:val="000F0DC2"/>
    <w:rsid w:val="00040B12"/>
    <w:rsid w:val="000F0DC2"/>
    <w:rsid w:val="009F5BDB"/>
    <w:rsid w:val="00ED24B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table" w:customStyle="1" w:styleId="a">
    <w:basedOn w:val="TableNormal"/>
    <w:tblPr>
      <w:tblStyleRowBandSize w:val="1"/>
      <w:tblStyleColBandSize w:val="1"/>
      <w:tblInd w:w="0" w:type="dxa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0">
    <w:basedOn w:val="TableNormal"/>
    <w:tblPr>
      <w:tblStyleRowBandSize w:val="1"/>
      <w:tblStyleColBandSize w:val="1"/>
      <w:tblInd w:w="0" w:type="dxa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1">
    <w:basedOn w:val="TableNormal"/>
    <w:tblPr>
      <w:tblStyleRowBandSize w:val="1"/>
      <w:tblStyleColBandSize w:val="1"/>
      <w:tblInd w:w="0" w:type="dxa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2">
    <w:basedOn w:val="TableNormal"/>
    <w:tblPr>
      <w:tblStyleRowBandSize w:val="1"/>
      <w:tblStyleColBandSize w:val="1"/>
      <w:tblInd w:w="0" w:type="dxa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3">
    <w:basedOn w:val="TableNormal"/>
    <w:tblPr>
      <w:tblStyleRowBandSize w:val="1"/>
      <w:tblStyleColBandSize w:val="1"/>
      <w:tblInd w:w="0" w:type="dxa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4">
    <w:basedOn w:val="TableNormal"/>
    <w:tblPr>
      <w:tblStyleRowBandSize w:val="1"/>
      <w:tblStyleColBandSize w:val="1"/>
      <w:tblInd w:w="0" w:type="dxa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5">
    <w:basedOn w:val="TableNormal"/>
    <w:tblPr>
      <w:tblStyleRowBandSize w:val="1"/>
      <w:tblStyleColBandSize w:val="1"/>
      <w:tblInd w:w="0" w:type="dxa"/>
      <w:tblCellMar>
        <w:top w:w="100" w:type="dxa"/>
        <w:left w:w="100" w:type="dxa"/>
        <w:bottom w:w="100" w:type="dxa"/>
        <w:right w:w="100" w:type="dxa"/>
      </w:tblCellMar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ED24B8"/>
    <w:pPr>
      <w:spacing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ED24B8"/>
    <w:rPr>
      <w:rFonts w:ascii="Tahoma" w:hAnsi="Tahoma" w:cs="Tahoma"/>
      <w:sz w:val="16"/>
      <w:szCs w:val="16"/>
    </w:rPr>
  </w:style>
  <w:style w:type="table" w:styleId="MediumGrid1-Accent2">
    <w:name w:val="Medium Grid 1 Accent 2"/>
    <w:basedOn w:val="TableNormal"/>
    <w:uiPriority w:val="67"/>
    <w:rsid w:val="00040B12"/>
    <w:pPr>
      <w:spacing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">
    <w:name w:val="Medium Grid 1"/>
    <w:basedOn w:val="TableNormal"/>
    <w:uiPriority w:val="67"/>
    <w:rsid w:val="00040B12"/>
    <w:pPr>
      <w:spacing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040B12"/>
    <w:pPr>
      <w:spacing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List1-Accent6">
    <w:name w:val="Medium List 1 Accent 6"/>
    <w:basedOn w:val="TableNormal"/>
    <w:uiPriority w:val="65"/>
    <w:rsid w:val="00040B12"/>
    <w:pPr>
      <w:spacing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Grid1-Accent5">
    <w:name w:val="Medium Grid 1 Accent 5"/>
    <w:basedOn w:val="TableNormal"/>
    <w:uiPriority w:val="67"/>
    <w:rsid w:val="00040B12"/>
    <w:pPr>
      <w:spacing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table" w:customStyle="1" w:styleId="a">
    <w:basedOn w:val="TableNormal"/>
    <w:tblPr>
      <w:tblStyleRowBandSize w:val="1"/>
      <w:tblStyleColBandSize w:val="1"/>
      <w:tblInd w:w="0" w:type="dxa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0">
    <w:basedOn w:val="TableNormal"/>
    <w:tblPr>
      <w:tblStyleRowBandSize w:val="1"/>
      <w:tblStyleColBandSize w:val="1"/>
      <w:tblInd w:w="0" w:type="dxa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1">
    <w:basedOn w:val="TableNormal"/>
    <w:tblPr>
      <w:tblStyleRowBandSize w:val="1"/>
      <w:tblStyleColBandSize w:val="1"/>
      <w:tblInd w:w="0" w:type="dxa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2">
    <w:basedOn w:val="TableNormal"/>
    <w:tblPr>
      <w:tblStyleRowBandSize w:val="1"/>
      <w:tblStyleColBandSize w:val="1"/>
      <w:tblInd w:w="0" w:type="dxa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3">
    <w:basedOn w:val="TableNormal"/>
    <w:tblPr>
      <w:tblStyleRowBandSize w:val="1"/>
      <w:tblStyleColBandSize w:val="1"/>
      <w:tblInd w:w="0" w:type="dxa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4">
    <w:basedOn w:val="TableNormal"/>
    <w:tblPr>
      <w:tblStyleRowBandSize w:val="1"/>
      <w:tblStyleColBandSize w:val="1"/>
      <w:tblInd w:w="0" w:type="dxa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5">
    <w:basedOn w:val="TableNormal"/>
    <w:tblPr>
      <w:tblStyleRowBandSize w:val="1"/>
      <w:tblStyleColBandSize w:val="1"/>
      <w:tblInd w:w="0" w:type="dxa"/>
      <w:tblCellMar>
        <w:top w:w="100" w:type="dxa"/>
        <w:left w:w="100" w:type="dxa"/>
        <w:bottom w:w="100" w:type="dxa"/>
        <w:right w:w="100" w:type="dxa"/>
      </w:tblCellMar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ED24B8"/>
    <w:pPr>
      <w:spacing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ED24B8"/>
    <w:rPr>
      <w:rFonts w:ascii="Tahoma" w:hAnsi="Tahoma" w:cs="Tahoma"/>
      <w:sz w:val="16"/>
      <w:szCs w:val="16"/>
    </w:rPr>
  </w:style>
  <w:style w:type="table" w:styleId="MediumGrid1-Accent2">
    <w:name w:val="Medium Grid 1 Accent 2"/>
    <w:basedOn w:val="TableNormal"/>
    <w:uiPriority w:val="67"/>
    <w:rsid w:val="00040B12"/>
    <w:pPr>
      <w:spacing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">
    <w:name w:val="Medium Grid 1"/>
    <w:basedOn w:val="TableNormal"/>
    <w:uiPriority w:val="67"/>
    <w:rsid w:val="00040B12"/>
    <w:pPr>
      <w:spacing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040B12"/>
    <w:pPr>
      <w:spacing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List1-Accent6">
    <w:name w:val="Medium List 1 Accent 6"/>
    <w:basedOn w:val="TableNormal"/>
    <w:uiPriority w:val="65"/>
    <w:rsid w:val="00040B12"/>
    <w:pPr>
      <w:spacing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Grid1-Accent5">
    <w:name w:val="Medium Grid 1 Accent 5"/>
    <w:basedOn w:val="TableNormal"/>
    <w:uiPriority w:val="67"/>
    <w:rsid w:val="00040B12"/>
    <w:pPr>
      <w:spacing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55</Words>
  <Characters>315</Characters>
  <Application>Microsoft Office Word</Application>
  <DocSecurity>0</DocSecurity>
  <Lines>2</Lines>
  <Paragraphs>1</Paragraphs>
  <ScaleCrop>false</ScaleCrop>
  <Company>KFSHRC-J</Company>
  <LinksUpToDate>false</LinksUpToDate>
  <CharactersWithSpaces>369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SOBAHY, TURKI MOHAMMED</cp:lastModifiedBy>
  <cp:revision>8</cp:revision>
  <dcterms:created xsi:type="dcterms:W3CDTF">2021-01-20T06:18:00Z</dcterms:created>
  <dcterms:modified xsi:type="dcterms:W3CDTF">2021-01-20T06:49:00Z</dcterms:modified>
</cp:coreProperties>
</file>