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CB2BB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data figures and tables</w:t>
      </w:r>
    </w:p>
    <w:p w14:paraId="2301A1C0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40B6D8A6" wp14:editId="10EF947A">
            <wp:extent cx="5943600" cy="2921000"/>
            <wp:effectExtent l="0" t="0" r="0" b="0"/>
            <wp:docPr id="6" name="image2.png" descr="A graph with colored lin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 descr="A graph with colored line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A7194C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Data Fig. 1: Sensitivity of AMOC strength to global mean surface air temperature.</w:t>
      </w:r>
    </w:p>
    <w:p w14:paraId="75822437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AMOC strength at 26°N as a function of the global mean surface air temperature (GMSAT) anomaly for the ramp-up (warming), stabilisation, and ramp-down (cooling) simulations. The thick blue line shows the 5-member ensemble mean from the ramp-up simulations. The scattered dots denote the individual global warming levels from 1.5-6 K, and dashed lines show the corresponding ramp-down simulations. Black dots mark when the GMSATs return to the pre-industrial level. The nearly overlapping trajectories confirm that the AMOC response depends quasi-linearly on global warming levels, while ramp-downs from higher warming levels exhibit stronger transient overshoots upon recovery.</w:t>
      </w:r>
    </w:p>
    <w:p w14:paraId="1CB4473F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08C90BD4" wp14:editId="521FB395">
            <wp:extent cx="5943600" cy="3505200"/>
            <wp:effectExtent l="0" t="0" r="0" b="0"/>
            <wp:docPr id="2" name="image8.png" descr="A screenshot of a map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 descr="A screenshot of a map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1DF9B4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Data Fig. 2: Spatial distributions of March mixed-layer depths of ramp-down simulations returning to pre-industrial temperatures.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01429C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March mean mixed-layer depth (MLD) maps for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(a)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pre-industrial control simulation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(b-f)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30-year averages during ramp-down phases following global warming levels of 2-6 K, each evaluated when the global mean temperature returns to the pre-industrial level. Black contours mark areas where the pre-industrial MLD exceeds 650 m, indicating the main deep convection sites in the Labrador, Irminger, and Nordic Seas. Magenta contours indicate the March sea-ice edge, defined by the 15% sea-ice concentration threshold. The maps show that deep convection areas expand and reorganise spatially during recovery, consistent with the AMOC rebound. Note that these results are based on a single realisation of the model and therefore include contributions from internal variability.</w:t>
      </w:r>
    </w:p>
    <w:p w14:paraId="43653ACE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8DCC67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E73D8B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30EB31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DEA391C" wp14:editId="7DBF5819">
            <wp:extent cx="5943600" cy="3962400"/>
            <wp:effectExtent l="0" t="0" r="0" b="0"/>
            <wp:docPr id="8" name="image5.png" descr="A graph of a number of emitting gas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 descr="A graph of a number of emitting gases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BB8DA5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Data Fig. 3: Sensitivity of AMOC response to CO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emission rate in ramp-up experiments.</w:t>
      </w:r>
    </w:p>
    <w:p w14:paraId="4A35BA6C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AMOC strength at 26°N as a function of global mean surface air temperature (GMSAT) anomalies for the ramp-up experiments. The grey lines show the five-member ensemble with the reference 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emission rate (12.4 PgC/yr), while blue and orange lines show additional sensitivity runs with doubled and tripled emission rates, which correspond to a warming rate of 0.37 and 0.54 K/decade, respectively. Despite the more rapid forcing, the AMOC trajectories collapse onto a nearly single curve when plotted against GMSAT, indicating that in EC-Earth3-ESM-1 the AMOC response scales primarily with the level of warming rather than its rate.</w:t>
      </w:r>
    </w:p>
    <w:p w14:paraId="0A3DA604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63C6B284" wp14:editId="30A3A4A1">
            <wp:extent cx="5943600" cy="3962400"/>
            <wp:effectExtent l="0" t="0" r="0" b="0"/>
            <wp:docPr id="1" name="image1.png" descr="A graph of different colored lin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graph of different colored lines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16A6B0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Extended Data Fig 4: Atmospheric CO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concentrations under idealised CO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emission scenarios.</w:t>
      </w:r>
    </w:p>
    <w:p w14:paraId="5205B9D4" w14:textId="77777777" w:rsidR="00094280" w:rsidRDefault="00094280" w:rsidP="0009428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Evolution of global mean atmospheric 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concentration (parts per million; ppm) in the ramp-up (positive emissions), stabilisation (zero emissions), and ramp-down (negative emissions) experiments with EC-Earth3-ESM-1. Colours and line styles correspond to those in Fig. 1. Black dots mark when the GMSATs return to the pre-industrial level in the ramp-down experiments. 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concentration is stable in the PI control simulation, and closely follows the observations in the historical period (Wyser et al., in prep). The concentration pathways confirm the model’s emission-driven configuration, linking imposed emissions directly to the transient temperature responses shown in Fig. 1a.</w:t>
      </w:r>
    </w:p>
    <w:p w14:paraId="74039BFC" w14:textId="77777777" w:rsidR="00EB4A2D" w:rsidRDefault="00EB4A2D"/>
    <w:sectPr w:rsidR="00EB4A2D" w:rsidSect="0009428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lnNumType w:countBy="1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7510F" w14:textId="77777777" w:rsidR="00094280" w:rsidRDefault="0009428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33C38" w14:textId="77777777" w:rsidR="00094280" w:rsidRDefault="0009428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280"/>
    <w:rsid w:val="00094280"/>
    <w:rsid w:val="00145DDA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B2871"/>
  <w15:chartTrackingRefBased/>
  <w15:docId w15:val="{59DFB3A1-B113-42AD-A88B-E0909C4A7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28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2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2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2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2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2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2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2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2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2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2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2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2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2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2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2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2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2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2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2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42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2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42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28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42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28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42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2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2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28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94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476</Words>
  <Characters>2764</Characters>
  <Application>Microsoft Office Word</Application>
  <DocSecurity>0</DocSecurity>
  <Lines>46</Lines>
  <Paragraphs>12</Paragraphs>
  <ScaleCrop>false</ScaleCrop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2025-10-14T08:05:00Z</dcterms:created>
  <dcterms:modified xsi:type="dcterms:W3CDTF">2025-10-14T08:05:00Z</dcterms:modified>
</cp:coreProperties>
</file>