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56" w:rsidRPr="00A12556" w:rsidRDefault="00A12556" w:rsidP="00A1255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lang w:val="en-US" w:eastAsia="pt-BR"/>
        </w:rPr>
      </w:pPr>
      <w:r w:rsidRPr="00A12556">
        <w:rPr>
          <w:rFonts w:ascii="Times New Roman" w:eastAsia="Times New Roman" w:hAnsi="Times New Roman"/>
          <w:b/>
          <w:color w:val="000000"/>
          <w:lang w:val="en-US" w:eastAsia="pt-BR"/>
        </w:rPr>
        <w:t>SUPPLEMENTARY MATERIAL</w:t>
      </w:r>
    </w:p>
    <w:p w:rsidR="00A12556" w:rsidRDefault="00A12556" w:rsidP="00A125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lang w:val="en-US" w:eastAsia="pt-BR"/>
        </w:rPr>
      </w:pPr>
    </w:p>
    <w:p w:rsidR="00A12556" w:rsidRPr="00A12556" w:rsidRDefault="00A12556" w:rsidP="00A125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i/>
          <w:color w:val="000000"/>
          <w:lang w:val="en-US" w:eastAsia="pt-BR"/>
        </w:rPr>
      </w:pPr>
      <w:r w:rsidRPr="00A12556">
        <w:rPr>
          <w:rFonts w:ascii="Times New Roman" w:eastAsia="Times New Roman" w:hAnsi="Times New Roman"/>
          <w:i/>
          <w:color w:val="000000"/>
          <w:lang w:val="en-US" w:eastAsia="pt-BR"/>
        </w:rPr>
        <w:t>Characterization techniques</w:t>
      </w:r>
    </w:p>
    <w:p w:rsidR="00A12556" w:rsidRPr="005773A4" w:rsidRDefault="00A12556" w:rsidP="00A12556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color w:val="000000"/>
          <w:lang w:val="en-US" w:eastAsia="pt-BR"/>
        </w:rPr>
      </w:pPr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The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hydrochar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and the activated carbon were charac</w:t>
      </w:r>
      <w:bookmarkStart w:id="0" w:name="_GoBack"/>
      <w:bookmarkEnd w:id="0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terized using several analytical techniques to determine their morphological, structural, chemical, and thermal properties. Fourier Transform Infrared Spectroscopy (FT-IR) with a Shimadzu spectrophotometer, model IR Prestige 21, employing the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KBr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pellet method and a reading range of 4500-450 cm</w:t>
      </w:r>
      <w:r w:rsidRPr="005773A4">
        <w:rPr>
          <w:rFonts w:ascii="Times New Roman" w:eastAsia="Times New Roman" w:hAnsi="Times New Roman"/>
          <w:color w:val="000000"/>
          <w:vertAlign w:val="superscript"/>
          <w:lang w:val="en-US" w:eastAsia="pt-BR"/>
        </w:rPr>
        <w:t>-1</w:t>
      </w:r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, for the identification of surface functional groups; The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crystallinity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of the material was analyzed via XRD in a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Rigaku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diffractometer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type model,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Miniflex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300 model, under the conditions of radiation analysis Cu K</w:t>
      </w:r>
      <w:r w:rsidRPr="006660A6">
        <w:rPr>
          <w:rFonts w:ascii="Times New Roman" w:eastAsia="Times New Roman" w:hAnsi="Times New Roman"/>
          <w:color w:val="000000"/>
          <w:lang w:eastAsia="pt-BR"/>
        </w:rPr>
        <w:t>α</w:t>
      </w:r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(</w:t>
      </w:r>
      <w:r w:rsidRPr="006660A6">
        <w:rPr>
          <w:rFonts w:ascii="Times New Roman" w:eastAsia="Times New Roman" w:hAnsi="Times New Roman"/>
          <w:color w:val="000000"/>
          <w:lang w:eastAsia="pt-BR"/>
        </w:rPr>
        <w:t>λ</w:t>
      </w:r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= 1.54051 Å) and power source with 30 kV and 10 mA, with a step size of 0.03° and a count time of 0.5 s per Step; by Scanning electron microscopy coupled with energy-dispersive X-ray spectroscopy (SEM-EDS) (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Tescan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>, Mira 3, Czech Republic), for morphology and surface elemental composition; The adsorbent</w:t>
      </w:r>
      <w:r>
        <w:rPr>
          <w:rFonts w:ascii="Times New Roman" w:eastAsia="Times New Roman" w:hAnsi="Times New Roman"/>
          <w:color w:val="000000"/>
          <w:lang w:val="en-US" w:eastAsia="pt-BR"/>
        </w:rPr>
        <w:t>'</w:t>
      </w:r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s thermal stability was evaluated using TGA, under the ramp rate conditions of 5 and 10 </w:t>
      </w:r>
      <w:r>
        <w:rPr>
          <w:rFonts w:ascii="Times New Roman" w:eastAsia="Times New Roman" w:hAnsi="Times New Roman"/>
          <w:color w:val="000000"/>
          <w:vertAlign w:val="superscript"/>
          <w:lang w:val="en-US" w:eastAsia="pt-BR"/>
        </w:rPr>
        <w:t>°</w:t>
      </w:r>
      <w:r>
        <w:rPr>
          <w:rFonts w:ascii="Times New Roman" w:eastAsia="Times New Roman" w:hAnsi="Times New Roman"/>
          <w:color w:val="000000"/>
          <w:lang w:val="en-US" w:eastAsia="pt-BR"/>
        </w:rPr>
        <w:t xml:space="preserve">C </w:t>
      </w:r>
      <w:r w:rsidRPr="005773A4">
        <w:rPr>
          <w:rFonts w:ascii="Times New Roman" w:eastAsia="Times New Roman" w:hAnsi="Times New Roman"/>
          <w:color w:val="000000"/>
          <w:lang w:val="en-US" w:eastAsia="pt-BR"/>
        </w:rPr>
        <w:t>min</w:t>
      </w:r>
      <w:r w:rsidRPr="006F6271">
        <w:rPr>
          <w:rFonts w:ascii="Times New Roman" w:eastAsia="Times New Roman" w:hAnsi="Times New Roman"/>
          <w:color w:val="000000"/>
          <w:vertAlign w:val="superscript"/>
          <w:lang w:val="en-US" w:eastAsia="pt-BR"/>
        </w:rPr>
        <w:t>-1</w:t>
      </w:r>
      <w:r w:rsidRPr="005773A4">
        <w:rPr>
          <w:rFonts w:ascii="Times New Roman" w:eastAsia="Times New Roman" w:hAnsi="Times New Roman"/>
          <w:color w:val="000000"/>
          <w:lang w:val="en-US" w:eastAsia="pt-BR"/>
        </w:rPr>
        <w:t>, under nitrogen atmosphere at a flow rate of 50 and 100 mL min</w:t>
      </w:r>
      <w:r w:rsidRPr="005773A4">
        <w:rPr>
          <w:rFonts w:ascii="Times New Roman" w:eastAsia="Times New Roman" w:hAnsi="Times New Roman"/>
          <w:color w:val="000000"/>
          <w:vertAlign w:val="superscript"/>
          <w:lang w:val="en-US" w:eastAsia="pt-BR"/>
        </w:rPr>
        <w:t>-1</w:t>
      </w:r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, to assess thermal stability and mass loss associated with the release of volatile compounds and thermal degradation. </w:t>
      </w:r>
      <w:r>
        <w:rPr>
          <w:rFonts w:ascii="Times New Roman" w:eastAsia="Times New Roman" w:hAnsi="Times New Roman"/>
          <w:color w:val="000000"/>
          <w:lang w:val="en-US" w:eastAsia="pt-BR"/>
        </w:rPr>
        <w:t>Additionally, the activated carbon was further characterized by determining its</w:t>
      </w:r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point of zero charge (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pHpzc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). For this analysis, 0.02 g of material was added to 20 mL of a 0.1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mol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L⁻¹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NaCl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solution with different initial pH values (1–12). The suspensions were agitated at 100 rpm and 25 °C for 24 h, after which they were filtered</w:t>
      </w:r>
      <w:r>
        <w:rPr>
          <w:rFonts w:ascii="Times New Roman" w:eastAsia="Times New Roman" w:hAnsi="Times New Roman"/>
          <w:color w:val="000000"/>
          <w:lang w:val="en-US" w:eastAsia="pt-BR"/>
        </w:rPr>
        <w:t>,</w:t>
      </w:r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and the final pH was measured. The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pHpzc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corresponds to the range in which the final pH remains constant</w:t>
      </w:r>
      <w:r>
        <w:rPr>
          <w:rFonts w:ascii="Times New Roman" w:eastAsia="Times New Roman" w:hAnsi="Times New Roman"/>
          <w:color w:val="000000"/>
          <w:lang w:val="en-US" w:eastAsia="pt-BR"/>
        </w:rPr>
        <w:t>. Adsorption/desorption isotherms of N</w:t>
      </w:r>
      <w:r w:rsidRPr="00A66F67">
        <w:rPr>
          <w:rFonts w:ascii="Times New Roman" w:eastAsia="Times New Roman" w:hAnsi="Times New Roman"/>
          <w:color w:val="000000"/>
          <w:vertAlign w:val="subscript"/>
          <w:lang w:val="en-US" w:eastAsia="pt-BR"/>
        </w:rPr>
        <w:t xml:space="preserve">2 </w:t>
      </w:r>
      <w:r>
        <w:rPr>
          <w:rFonts w:ascii="Times New Roman" w:eastAsia="Times New Roman" w:hAnsi="Times New Roman"/>
          <w:color w:val="000000"/>
          <w:lang w:val="en-US" w:eastAsia="pt-BR"/>
        </w:rPr>
        <w:t>were used to determine the specific surface area and pore size distribution, applying</w:t>
      </w:r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the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Brunauer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-Emmett-Teller (BET) and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Barret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>-Joyner-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Halenda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(BJH) methods, respectively. A </w:t>
      </w:r>
      <w:proofErr w:type="spellStart"/>
      <w:r w:rsidRPr="005773A4">
        <w:rPr>
          <w:rFonts w:ascii="Times New Roman" w:eastAsia="Times New Roman" w:hAnsi="Times New Roman"/>
          <w:color w:val="000000"/>
          <w:lang w:val="en-US" w:eastAsia="pt-BR"/>
        </w:rPr>
        <w:t>porosimeter</w:t>
      </w:r>
      <w:proofErr w:type="spellEnd"/>
      <w:r w:rsidRPr="005773A4">
        <w:rPr>
          <w:rFonts w:ascii="Times New Roman" w:eastAsia="Times New Roman" w:hAnsi="Times New Roman"/>
          <w:color w:val="000000"/>
          <w:lang w:val="en-US" w:eastAsia="pt-BR"/>
        </w:rPr>
        <w:t xml:space="preserve"> analyzer from Micrometrics (model ASAP 2020, USA) was used to quantify these textural parameters at 77 K. These analyses </w:t>
      </w:r>
      <w:r w:rsidRPr="005773A4">
        <w:rPr>
          <w:rFonts w:ascii="Times New Roman" w:eastAsia="Times New Roman" w:hAnsi="Times New Roman"/>
          <w:color w:val="000000"/>
          <w:lang w:val="en-US" w:eastAsia="pt-BR"/>
        </w:rPr>
        <w:lastRenderedPageBreak/>
        <w:t>allowed the quantification of surface area, pore size, and pore volume, which are essential parameters for correlating the porous structure of the material with its adsorption efficiency.</w:t>
      </w:r>
    </w:p>
    <w:p w:rsidR="00A55CB6" w:rsidRPr="00A12556" w:rsidRDefault="00A55CB6">
      <w:pPr>
        <w:rPr>
          <w:lang w:val="en-US"/>
        </w:rPr>
      </w:pPr>
    </w:p>
    <w:sectPr w:rsidR="00A55CB6" w:rsidRPr="00A12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G1tDA3MzWwsDQ2MzNS0lEKTi0uzszPAykwrAUAYPAbOSwAAAA="/>
  </w:docVars>
  <w:rsids>
    <w:rsidRoot w:val="00C712BF"/>
    <w:rsid w:val="00A12556"/>
    <w:rsid w:val="00A55CB6"/>
    <w:rsid w:val="00C7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56"/>
    <w:rPr>
      <w:rFonts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56"/>
    <w:rPr>
      <w:rFonts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2025-10-10T19:39:00Z</dcterms:created>
  <dcterms:modified xsi:type="dcterms:W3CDTF">2025-10-10T19:40:00Z</dcterms:modified>
</cp:coreProperties>
</file>