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674124" w14:textId="285F56B9" w:rsidR="002260CE" w:rsidRPr="002260CE" w:rsidRDefault="002260CE" w:rsidP="002260CE">
      <w:pPr>
        <w:jc w:val="both"/>
        <w:rPr>
          <w:rFonts w:ascii="Times New Roman" w:eastAsia="Times New Roman" w:hAnsi="Times New Roman" w:cs="Times New Roman"/>
          <w:kern w:val="0"/>
          <w:lang w:val="en-US" w:eastAsia="fr-CA"/>
          <w14:ligatures w14:val="none"/>
        </w:rPr>
      </w:pPr>
      <w:r w:rsidRPr="002260CE">
        <w:rPr>
          <w:rFonts w:ascii="Calibri" w:eastAsia="Times New Roman" w:hAnsi="Calibri" w:cs="Calibri"/>
          <w:color w:val="000000"/>
          <w:kern w:val="0"/>
          <w:sz w:val="28"/>
          <w:szCs w:val="28"/>
          <w:lang w:val="en-US" w:eastAsia="fr-CA"/>
          <w14:ligatures w14:val="none"/>
        </w:rPr>
        <w:t>Supplementary Material</w:t>
      </w:r>
      <w:r w:rsidR="006906FF">
        <w:rPr>
          <w:rFonts w:ascii="Calibri" w:eastAsia="Times New Roman" w:hAnsi="Calibri" w:cs="Calibri"/>
          <w:color w:val="000000"/>
          <w:kern w:val="0"/>
          <w:sz w:val="28"/>
          <w:szCs w:val="28"/>
          <w:lang w:val="en-US" w:eastAsia="fr-CA"/>
          <w14:ligatures w14:val="none"/>
        </w:rPr>
        <w:t xml:space="preserve"> for </w:t>
      </w:r>
      <w:r w:rsidR="006906FF" w:rsidRPr="006906FF">
        <w:rPr>
          <w:rFonts w:ascii="Calibri" w:eastAsia="Times New Roman" w:hAnsi="Calibri" w:cs="Calibri"/>
          <w:color w:val="000000"/>
          <w:kern w:val="0"/>
          <w:sz w:val="28"/>
          <w:szCs w:val="28"/>
          <w:lang w:val="en-US" w:eastAsia="fr-CA"/>
          <w14:ligatures w14:val="none"/>
        </w:rPr>
        <w:t>Sea-ice arches structure Arctic primary production hotspots at the Last Ice Area gateway</w:t>
      </w:r>
      <w:r w:rsidRPr="002260CE">
        <w:rPr>
          <w:rFonts w:ascii="Calibri" w:eastAsia="Times New Roman" w:hAnsi="Calibri" w:cs="Calibri"/>
          <w:color w:val="000000"/>
          <w:kern w:val="0"/>
          <w:sz w:val="28"/>
          <w:szCs w:val="28"/>
          <w:lang w:val="en-US" w:eastAsia="fr-CA"/>
          <w14:ligatures w14:val="none"/>
        </w:rPr>
        <w:t>:</w:t>
      </w:r>
    </w:p>
    <w:p w14:paraId="623AD2B3" w14:textId="77777777" w:rsidR="002260CE" w:rsidRPr="002260CE" w:rsidRDefault="002260CE" w:rsidP="002260CE">
      <w:pPr>
        <w:jc w:val="both"/>
        <w:rPr>
          <w:rFonts w:ascii="Times New Roman" w:eastAsia="Times New Roman" w:hAnsi="Times New Roman" w:cs="Times New Roman"/>
          <w:kern w:val="0"/>
          <w:lang w:val="en-US" w:eastAsia="fr-CA"/>
          <w14:ligatures w14:val="none"/>
        </w:rPr>
      </w:pPr>
      <w:r w:rsidRPr="002260CE">
        <w:rPr>
          <w:rFonts w:ascii="Calibri" w:eastAsia="Times New Roman" w:hAnsi="Calibri" w:cs="Calibri"/>
          <w:color w:val="000000"/>
          <w:kern w:val="0"/>
          <w:sz w:val="28"/>
          <w:szCs w:val="28"/>
          <w:lang w:val="en-US" w:eastAsia="fr-CA"/>
          <w14:ligatures w14:val="none"/>
        </w:rPr>
        <w:t> </w:t>
      </w:r>
    </w:p>
    <w:p w14:paraId="05B207F4" w14:textId="77777777" w:rsidR="002260CE" w:rsidRPr="00C722E2" w:rsidRDefault="002260CE" w:rsidP="002260CE">
      <w:pPr>
        <w:jc w:val="both"/>
        <w:rPr>
          <w:rFonts w:ascii="Times New Roman" w:eastAsia="Times New Roman" w:hAnsi="Times New Roman" w:cs="Times New Roman"/>
          <w:kern w:val="0"/>
          <w:lang w:val="en-US" w:eastAsia="fr-CA"/>
          <w14:ligatures w14:val="none"/>
        </w:rPr>
      </w:pPr>
      <w:r w:rsidRPr="00C722E2">
        <w:rPr>
          <w:rFonts w:ascii="Calibri" w:eastAsia="Times New Roman" w:hAnsi="Calibri" w:cs="Calibri"/>
          <w:b/>
          <w:bCs/>
          <w:color w:val="000000"/>
          <w:kern w:val="0"/>
          <w:sz w:val="28"/>
          <w:szCs w:val="28"/>
          <w:lang w:val="en-US" w:eastAsia="fr-CA"/>
          <w14:ligatures w14:val="none"/>
        </w:rPr>
        <w:t>Cloudiness Analysis</w:t>
      </w:r>
    </w:p>
    <w:p w14:paraId="19E7D6D6" w14:textId="77777777" w:rsidR="002260CE" w:rsidRPr="002260CE" w:rsidRDefault="002260CE" w:rsidP="002260CE">
      <w:pPr>
        <w:jc w:val="both"/>
        <w:rPr>
          <w:rFonts w:ascii="Times New Roman" w:eastAsia="Times New Roman" w:hAnsi="Times New Roman" w:cs="Times New Roman"/>
          <w:kern w:val="0"/>
          <w:lang w:val="en-US" w:eastAsia="fr-CA"/>
          <w14:ligatures w14:val="none"/>
        </w:rPr>
      </w:pPr>
      <w:r w:rsidRPr="002260CE">
        <w:rPr>
          <w:rFonts w:ascii="Calibri" w:eastAsia="Times New Roman" w:hAnsi="Calibri" w:cs="Calibri"/>
          <w:color w:val="000000"/>
          <w:kern w:val="0"/>
          <w:sz w:val="28"/>
          <w:szCs w:val="28"/>
          <w:lang w:val="en-US" w:eastAsia="fr-CA"/>
          <w14:ligatures w14:val="none"/>
        </w:rPr>
        <w:t> </w:t>
      </w:r>
    </w:p>
    <w:p w14:paraId="6E29963F" w14:textId="77777777" w:rsidR="002260CE" w:rsidRPr="00B9585A" w:rsidRDefault="002260CE" w:rsidP="00DF4E7E">
      <w:pPr>
        <w:spacing w:line="360" w:lineRule="auto"/>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xml:space="preserve">An important challenge of ocean color observations in Polar regions is the data availability. As the sea-ice extent decreases, moisture and cloudiness increase in the Arctic, reducing the PP. (Bélanger et al., 2013). The distribution of the cloud cover both spatially and temporally can influence interannual changes in </w:t>
      </w:r>
      <w:proofErr w:type="spellStart"/>
      <w:r w:rsidRPr="00B9585A">
        <w:rPr>
          <w:rFonts w:ascii="Calibri" w:eastAsia="Times New Roman" w:hAnsi="Calibri" w:cs="Calibri"/>
          <w:color w:val="000000"/>
          <w:kern w:val="0"/>
          <w:sz w:val="28"/>
          <w:szCs w:val="28"/>
          <w:lang w:val="en-US" w:eastAsia="fr-CA"/>
          <w14:ligatures w14:val="none"/>
        </w:rPr>
        <w:t>Chl</w:t>
      </w:r>
      <w:proofErr w:type="spellEnd"/>
      <w:r w:rsidRPr="00B9585A">
        <w:rPr>
          <w:rFonts w:ascii="Calibri" w:eastAsia="Times New Roman" w:hAnsi="Calibri" w:cs="Calibri"/>
          <w:color w:val="000000"/>
          <w:kern w:val="0"/>
          <w:sz w:val="28"/>
          <w:szCs w:val="28"/>
          <w:lang w:val="en-US" w:eastAsia="fr-CA"/>
          <w14:ligatures w14:val="none"/>
        </w:rPr>
        <w:t xml:space="preserve"> and PP observations. We looked at both spring and summer, respectively from April to June and from July to September, to assess the influence of cloud coverage on open water data availability. The open water fraction was estimated using passive microwave data that are not influenced by clouds. Years in which the percentage of pixels available was less than 50% of the total pixels available for ice-free waters were available for both seasons were excluded from the study (see S1). This excluded the years 2004 and 2014, as these were the only years in which this occurred for both seasons. A more extensive study has been conducted on the cloud fraction for ice-free pixels with no PP values (see S2). We compared the year 2007 (S2</w:t>
      </w:r>
      <w:proofErr w:type="gramStart"/>
      <w:r w:rsidRPr="00B9585A">
        <w:rPr>
          <w:rFonts w:ascii="Calibri" w:eastAsia="Times New Roman" w:hAnsi="Calibri" w:cs="Calibri"/>
          <w:color w:val="000000"/>
          <w:kern w:val="0"/>
          <w:sz w:val="28"/>
          <w:szCs w:val="28"/>
          <w:lang w:val="en-US" w:eastAsia="fr-CA"/>
          <w14:ligatures w14:val="none"/>
        </w:rPr>
        <w:t>a,c</w:t>
      </w:r>
      <w:proofErr w:type="gramEnd"/>
      <w:r w:rsidRPr="00B9585A">
        <w:rPr>
          <w:rFonts w:ascii="Calibri" w:eastAsia="Times New Roman" w:hAnsi="Calibri" w:cs="Calibri"/>
          <w:color w:val="000000"/>
          <w:kern w:val="0"/>
          <w:sz w:val="28"/>
          <w:szCs w:val="28"/>
          <w:lang w:val="en-US" w:eastAsia="fr-CA"/>
          <w14:ligatures w14:val="none"/>
        </w:rPr>
        <w:t>), 2008 (S2</w:t>
      </w:r>
      <w:proofErr w:type="gramStart"/>
      <w:r w:rsidRPr="00B9585A">
        <w:rPr>
          <w:rFonts w:ascii="Calibri" w:eastAsia="Times New Roman" w:hAnsi="Calibri" w:cs="Calibri"/>
          <w:color w:val="000000"/>
          <w:kern w:val="0"/>
          <w:sz w:val="28"/>
          <w:szCs w:val="28"/>
          <w:lang w:val="en-US" w:eastAsia="fr-CA"/>
          <w14:ligatures w14:val="none"/>
        </w:rPr>
        <w:t>b,d</w:t>
      </w:r>
      <w:proofErr w:type="gramEnd"/>
      <w:r w:rsidRPr="00B9585A">
        <w:rPr>
          <w:rFonts w:ascii="Calibri" w:eastAsia="Times New Roman" w:hAnsi="Calibri" w:cs="Calibri"/>
          <w:color w:val="000000"/>
          <w:kern w:val="0"/>
          <w:sz w:val="28"/>
          <w:szCs w:val="28"/>
          <w:lang w:val="en-US" w:eastAsia="fr-CA"/>
          <w14:ligatures w14:val="none"/>
        </w:rPr>
        <w:t>) with the two years that were discarded: 2004 (S2</w:t>
      </w:r>
      <w:proofErr w:type="gramStart"/>
      <w:r w:rsidRPr="00B9585A">
        <w:rPr>
          <w:rFonts w:ascii="Calibri" w:eastAsia="Times New Roman" w:hAnsi="Calibri" w:cs="Calibri"/>
          <w:color w:val="000000"/>
          <w:kern w:val="0"/>
          <w:sz w:val="28"/>
          <w:szCs w:val="28"/>
          <w:lang w:val="en-US" w:eastAsia="fr-CA"/>
          <w14:ligatures w14:val="none"/>
        </w:rPr>
        <w:t>e,g</w:t>
      </w:r>
      <w:proofErr w:type="gramEnd"/>
      <w:r w:rsidRPr="00B9585A">
        <w:rPr>
          <w:rFonts w:ascii="Calibri" w:eastAsia="Times New Roman" w:hAnsi="Calibri" w:cs="Calibri"/>
          <w:color w:val="000000"/>
          <w:kern w:val="0"/>
          <w:sz w:val="28"/>
          <w:szCs w:val="28"/>
          <w:lang w:val="en-US" w:eastAsia="fr-CA"/>
          <w14:ligatures w14:val="none"/>
        </w:rPr>
        <w:t>) and 2014 (S2</w:t>
      </w:r>
      <w:proofErr w:type="gramStart"/>
      <w:r w:rsidRPr="00B9585A">
        <w:rPr>
          <w:rFonts w:ascii="Calibri" w:eastAsia="Times New Roman" w:hAnsi="Calibri" w:cs="Calibri"/>
          <w:color w:val="000000"/>
          <w:kern w:val="0"/>
          <w:sz w:val="28"/>
          <w:szCs w:val="28"/>
          <w:lang w:val="en-US" w:eastAsia="fr-CA"/>
          <w14:ligatures w14:val="none"/>
        </w:rPr>
        <w:t>f,h</w:t>
      </w:r>
      <w:proofErr w:type="gramEnd"/>
      <w:r w:rsidRPr="00B9585A">
        <w:rPr>
          <w:rFonts w:ascii="Calibri" w:eastAsia="Times New Roman" w:hAnsi="Calibri" w:cs="Calibri"/>
          <w:color w:val="000000"/>
          <w:kern w:val="0"/>
          <w:sz w:val="28"/>
          <w:szCs w:val="28"/>
          <w:lang w:val="en-US" w:eastAsia="fr-CA"/>
          <w14:ligatures w14:val="none"/>
        </w:rPr>
        <w:t>). We can observe that the cloud fraction is denser and cover the most productive months (July and August) in the two years that were discarded from the study.</w:t>
      </w:r>
    </w:p>
    <w:p w14:paraId="4C75EC2B"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62F1FC12"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78601F32" w14:textId="0B952029" w:rsidR="002260CE" w:rsidRPr="00B9585A" w:rsidRDefault="006906FF" w:rsidP="002260CE">
      <w:pPr>
        <w:jc w:val="both"/>
        <w:rPr>
          <w:rFonts w:ascii="Times New Roman" w:eastAsia="Times New Roman" w:hAnsi="Times New Roman" w:cs="Times New Roman"/>
          <w:kern w:val="0"/>
          <w:lang w:val="en-US" w:eastAsia="fr-CA"/>
          <w14:ligatures w14:val="none"/>
        </w:rPr>
      </w:pPr>
      <w:r w:rsidRPr="00C722E2">
        <w:rPr>
          <w:rFonts w:ascii="Calibri" w:eastAsia="Times New Roman" w:hAnsi="Calibri" w:cs="Calibri"/>
          <w:b/>
          <w:bCs/>
          <w:color w:val="000000"/>
          <w:kern w:val="0"/>
          <w:sz w:val="28"/>
          <w:szCs w:val="28"/>
          <w:lang w:val="en-US" w:eastAsia="fr-CA"/>
          <w14:ligatures w14:val="none"/>
        </w:rPr>
        <w:t xml:space="preserve">Trends </w:t>
      </w:r>
      <w:r w:rsidR="00C722E2" w:rsidRPr="00C722E2">
        <w:rPr>
          <w:rFonts w:ascii="Calibri" w:eastAsia="Times New Roman" w:hAnsi="Calibri" w:cs="Calibri"/>
          <w:b/>
          <w:bCs/>
          <w:color w:val="000000"/>
          <w:kern w:val="0"/>
          <w:sz w:val="28"/>
          <w:szCs w:val="28"/>
          <w:lang w:val="en-US" w:eastAsia="fr-CA"/>
          <w14:ligatures w14:val="none"/>
        </w:rPr>
        <w:t>analysis</w:t>
      </w:r>
      <w:r w:rsidR="00C722E2">
        <w:rPr>
          <w:rFonts w:ascii="Calibri" w:eastAsia="Times New Roman" w:hAnsi="Calibri" w:cs="Calibri"/>
          <w:color w:val="000000"/>
          <w:kern w:val="0"/>
          <w:sz w:val="28"/>
          <w:szCs w:val="28"/>
          <w:lang w:val="en-US" w:eastAsia="fr-CA"/>
          <w14:ligatures w14:val="none"/>
        </w:rPr>
        <w:t>:</w:t>
      </w:r>
    </w:p>
    <w:p w14:paraId="1A99A725" w14:textId="77777777" w:rsidR="002260CE" w:rsidRPr="00B9585A" w:rsidRDefault="002260CE" w:rsidP="002260CE">
      <w:pPr>
        <w:rPr>
          <w:rFonts w:ascii="Times New Roman" w:eastAsia="Times New Roman" w:hAnsi="Times New Roman" w:cs="Times New Roman"/>
          <w:kern w:val="0"/>
          <w:lang w:val="en-US" w:eastAsia="fr-CA"/>
          <w14:ligatures w14:val="none"/>
        </w:rPr>
      </w:pPr>
    </w:p>
    <w:p w14:paraId="13ADF22A" w14:textId="3E80B543" w:rsidR="002260CE" w:rsidRPr="00B9585A" w:rsidRDefault="002260CE" w:rsidP="00DF4E7E">
      <w:pPr>
        <w:spacing w:line="360" w:lineRule="auto"/>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lastRenderedPageBreak/>
        <w:t>We used the same methodology as in Bélanger (2013) using Theil-Sen approach which is less sensitive to outliers with the non-parametric Man-Kendall test to verify the significance of the trend (S3, S4</w:t>
      </w:r>
      <w:r w:rsidR="006906FF">
        <w:rPr>
          <w:rFonts w:ascii="Calibri" w:eastAsia="Times New Roman" w:hAnsi="Calibri" w:cs="Calibri"/>
          <w:color w:val="000000"/>
          <w:kern w:val="0"/>
          <w:sz w:val="28"/>
          <w:szCs w:val="28"/>
          <w:lang w:val="en-US" w:eastAsia="fr-CA"/>
          <w14:ligatures w14:val="none"/>
        </w:rPr>
        <w:t>, S6</w:t>
      </w:r>
      <w:r w:rsidRPr="00B9585A">
        <w:rPr>
          <w:rFonts w:ascii="Calibri" w:eastAsia="Times New Roman" w:hAnsi="Calibri" w:cs="Calibri"/>
          <w:color w:val="000000"/>
          <w:kern w:val="0"/>
          <w:sz w:val="28"/>
          <w:szCs w:val="28"/>
          <w:lang w:val="en-US" w:eastAsia="fr-CA"/>
          <w14:ligatures w14:val="none"/>
        </w:rPr>
        <w:t>)</w:t>
      </w:r>
    </w:p>
    <w:p w14:paraId="132FDFD2" w14:textId="77777777" w:rsidR="002260CE" w:rsidRPr="00B9585A" w:rsidRDefault="002260CE" w:rsidP="002260CE">
      <w:pPr>
        <w:rPr>
          <w:rFonts w:ascii="Times New Roman" w:eastAsia="Times New Roman" w:hAnsi="Times New Roman" w:cs="Times New Roman"/>
          <w:kern w:val="0"/>
          <w:lang w:val="en-US" w:eastAsia="fr-CA"/>
          <w14:ligatures w14:val="none"/>
        </w:rPr>
      </w:pPr>
    </w:p>
    <w:p w14:paraId="2EAA355C" w14:textId="4F83062C" w:rsidR="002260CE" w:rsidRPr="00B9585A" w:rsidRDefault="002260CE" w:rsidP="002260CE">
      <w:pPr>
        <w:jc w:val="both"/>
        <w:rPr>
          <w:rFonts w:ascii="Times New Roman" w:eastAsia="Times New Roman" w:hAnsi="Times New Roman" w:cs="Times New Roman"/>
          <w:kern w:val="0"/>
          <w:lang w:val="en-US" w:eastAsia="fr-CA"/>
          <w14:ligatures w14:val="none"/>
        </w:rPr>
      </w:pPr>
      <w:r w:rsidRPr="00C722E2">
        <w:rPr>
          <w:rFonts w:ascii="Calibri" w:eastAsia="Times New Roman" w:hAnsi="Calibri" w:cs="Calibri"/>
          <w:b/>
          <w:bCs/>
          <w:i/>
          <w:iCs/>
          <w:color w:val="000000"/>
          <w:kern w:val="0"/>
          <w:sz w:val="28"/>
          <w:szCs w:val="28"/>
          <w:lang w:val="en-US" w:eastAsia="fr-CA"/>
          <w14:ligatures w14:val="none"/>
        </w:rPr>
        <w:t>K</w:t>
      </w:r>
      <w:r w:rsidRPr="00C722E2">
        <w:rPr>
          <w:rFonts w:ascii="Calibri" w:eastAsia="Times New Roman" w:hAnsi="Calibri" w:cs="Calibri"/>
          <w:b/>
          <w:bCs/>
          <w:color w:val="000000"/>
          <w:kern w:val="0"/>
          <w:sz w:val="28"/>
          <w:szCs w:val="28"/>
          <w:lang w:val="en-US" w:eastAsia="fr-CA"/>
          <w14:ligatures w14:val="none"/>
        </w:rPr>
        <w:t>-means clustering</w:t>
      </w:r>
      <w:r w:rsidR="00C722E2">
        <w:rPr>
          <w:rFonts w:ascii="Calibri" w:eastAsia="Times New Roman" w:hAnsi="Calibri" w:cs="Calibri"/>
          <w:color w:val="000000"/>
          <w:kern w:val="0"/>
          <w:sz w:val="28"/>
          <w:szCs w:val="28"/>
          <w:lang w:val="en-US" w:eastAsia="fr-CA"/>
          <w14:ligatures w14:val="none"/>
        </w:rPr>
        <w:t>:</w:t>
      </w:r>
    </w:p>
    <w:p w14:paraId="52CDDB7E" w14:textId="77777777" w:rsidR="002260CE" w:rsidRPr="00B9585A" w:rsidRDefault="002260CE" w:rsidP="002260CE">
      <w:pPr>
        <w:rPr>
          <w:rFonts w:ascii="Times New Roman" w:eastAsia="Times New Roman" w:hAnsi="Times New Roman" w:cs="Times New Roman"/>
          <w:kern w:val="0"/>
          <w:lang w:val="en-US" w:eastAsia="fr-CA"/>
          <w14:ligatures w14:val="none"/>
        </w:rPr>
      </w:pPr>
    </w:p>
    <w:p w14:paraId="3E6A5F25" w14:textId="77777777" w:rsidR="002260CE" w:rsidRPr="00B9585A" w:rsidRDefault="002260CE" w:rsidP="00DF4E7E">
      <w:pPr>
        <w:spacing w:line="360" w:lineRule="auto"/>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xml:space="preserve">The </w:t>
      </w:r>
      <w:r w:rsidRPr="00B9585A">
        <w:rPr>
          <w:rFonts w:ascii="Calibri" w:eastAsia="Times New Roman" w:hAnsi="Calibri" w:cs="Calibri"/>
          <w:i/>
          <w:iCs/>
          <w:color w:val="000000"/>
          <w:kern w:val="0"/>
          <w:sz w:val="28"/>
          <w:szCs w:val="28"/>
          <w:lang w:val="en-US" w:eastAsia="fr-CA"/>
          <w14:ligatures w14:val="none"/>
        </w:rPr>
        <w:t>k</w:t>
      </w:r>
      <w:r w:rsidRPr="00B9585A">
        <w:rPr>
          <w:rFonts w:ascii="Calibri" w:eastAsia="Times New Roman" w:hAnsi="Calibri" w:cs="Calibri"/>
          <w:color w:val="000000"/>
          <w:kern w:val="0"/>
          <w:sz w:val="28"/>
          <w:szCs w:val="28"/>
          <w:lang w:val="en-US" w:eastAsia="fr-CA"/>
          <w14:ligatures w14:val="none"/>
        </w:rPr>
        <w:t xml:space="preserve">-means clustering algorithm used is available on the Sentinel Application Platform (SNAP, </w:t>
      </w:r>
      <w:hyperlink r:id="rId4" w:history="1">
        <w:r w:rsidRPr="00B9585A">
          <w:rPr>
            <w:rFonts w:ascii="Calibri" w:eastAsia="Times New Roman" w:hAnsi="Calibri" w:cs="Calibri"/>
            <w:color w:val="1155CC"/>
            <w:kern w:val="0"/>
            <w:sz w:val="28"/>
            <w:szCs w:val="28"/>
            <w:u w:val="single"/>
            <w:lang w:val="en-US" w:eastAsia="fr-CA"/>
            <w14:ligatures w14:val="none"/>
          </w:rPr>
          <w:t>https://earth.esa.int/eogateway/tools/snap</w:t>
        </w:r>
      </w:hyperlink>
      <w:r w:rsidRPr="00B9585A">
        <w:rPr>
          <w:rFonts w:ascii="Calibri" w:eastAsia="Times New Roman" w:hAnsi="Calibri" w:cs="Calibri"/>
          <w:color w:val="000000"/>
          <w:kern w:val="0"/>
          <w:sz w:val="28"/>
          <w:szCs w:val="28"/>
          <w:lang w:val="en-US" w:eastAsia="fr-CA"/>
          <w14:ligatures w14:val="none"/>
        </w:rPr>
        <w:t>). The default parameters were applied (random seed = 31415, number of iterations = 30), and the numbers of clusters tested ranged from 2 to 11 (S5).  To avoid latitude constraint on the southern cluster present in the original subset, the study area was extended before applying the clustering. Clustering was performed on this larger per-pixel maximum climatology subset, and a median filter 7 x 7 was applied to remove extreme values. </w:t>
      </w:r>
    </w:p>
    <w:p w14:paraId="11D0D746" w14:textId="77777777" w:rsidR="002260CE" w:rsidRPr="00B9585A" w:rsidRDefault="002260CE" w:rsidP="002260CE">
      <w:pPr>
        <w:spacing w:after="240"/>
        <w:rPr>
          <w:rFonts w:ascii="Times New Roman" w:eastAsia="Times New Roman" w:hAnsi="Times New Roman" w:cs="Times New Roman"/>
          <w:kern w:val="0"/>
          <w:lang w:val="en-US" w:eastAsia="fr-CA"/>
          <w14:ligatures w14:val="none"/>
        </w:rPr>
      </w:pPr>
    </w:p>
    <w:p w14:paraId="13DF6130"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7BA03039"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4B66E6FA"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45B7F0CB"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3C9D6BC5"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7E3C3E1A"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68276DF8"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4BB2ACF8"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20A272D3"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Fig. S1 (below). Available pixels (%) for open water pixels. Both spring (April-June) and summer (July-September) have been represented. The 50% threshold is represented and used to exclude years with a value below this threshold in both seasons.</w:t>
      </w:r>
    </w:p>
    <w:p w14:paraId="131BBC22" w14:textId="3816E49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lastRenderedPageBreak/>
        <w:t> </w:t>
      </w:r>
      <w:r w:rsidR="00210F74">
        <w:rPr>
          <w:rFonts w:ascii="Calibri" w:hAnsi="Calibri" w:cs="Calibri"/>
          <w:noProof/>
          <w:color w:val="000000"/>
          <w:sz w:val="28"/>
          <w:szCs w:val="28"/>
          <w:bdr w:val="none" w:sz="0" w:space="0" w:color="auto" w:frame="1"/>
        </w:rPr>
        <w:drawing>
          <wp:inline distT="0" distB="0" distL="0" distR="0" wp14:anchorId="43AC8BF5" wp14:editId="2673AAF4">
            <wp:extent cx="5486400" cy="3309870"/>
            <wp:effectExtent l="0" t="0" r="0" b="5080"/>
            <wp:docPr id="1408725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25153" name="Image 1"/>
                    <pic:cNvPicPr>
                      <a:picLocks noChangeAspect="1" noChangeArrowheads="1"/>
                    </pic:cNvPicPr>
                  </pic:nvPicPr>
                  <pic:blipFill>
                    <a:blip r:embed="rId5" cstate="print">
                      <a:extLst>
                        <a:ext uri="{28A0092B-C50C-407E-A947-70E740481C1C}">
                          <a14:useLocalDpi xmlns:a14="http://schemas.microsoft.com/office/drawing/2010/main" val="0"/>
                        </a:ext>
                      </a:extLst>
                    </a:blip>
                    <a:stretch>
                      <a:fillRect/>
                    </a:stretch>
                  </pic:blipFill>
                  <pic:spPr bwMode="auto">
                    <a:xfrm>
                      <a:off x="0" y="0"/>
                      <a:ext cx="5486400" cy="3309870"/>
                    </a:xfrm>
                    <a:prstGeom prst="rect">
                      <a:avLst/>
                    </a:prstGeom>
                    <a:noFill/>
                    <a:ln>
                      <a:noFill/>
                    </a:ln>
                  </pic:spPr>
                </pic:pic>
              </a:graphicData>
            </a:graphic>
          </wp:inline>
        </w:drawing>
      </w:r>
    </w:p>
    <w:p w14:paraId="2A0D0FA9"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521E9FC9" w14:textId="23DCAC63"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Fig. S2 (below). Daily percentage of ice-free pixels with no PP values (</w:t>
      </w:r>
      <w:proofErr w:type="spellStart"/>
      <w:proofErr w:type="gramStart"/>
      <w:r w:rsidRPr="00B9585A">
        <w:rPr>
          <w:rFonts w:ascii="Calibri" w:eastAsia="Times New Roman" w:hAnsi="Calibri" w:cs="Calibri"/>
          <w:color w:val="000000"/>
          <w:kern w:val="0"/>
          <w:sz w:val="28"/>
          <w:szCs w:val="28"/>
          <w:lang w:val="en-US" w:eastAsia="fr-CA"/>
          <w14:ligatures w14:val="none"/>
        </w:rPr>
        <w:t>a,b</w:t>
      </w:r>
      <w:proofErr w:type="gramEnd"/>
      <w:r w:rsidRPr="00B9585A">
        <w:rPr>
          <w:rFonts w:ascii="Calibri" w:eastAsia="Times New Roman" w:hAnsi="Calibri" w:cs="Calibri"/>
          <w:color w:val="000000"/>
          <w:kern w:val="0"/>
          <w:sz w:val="28"/>
          <w:szCs w:val="28"/>
          <w:lang w:val="en-US" w:eastAsia="fr-CA"/>
          <w14:ligatures w14:val="none"/>
        </w:rPr>
        <w:t>,</w:t>
      </w:r>
      <w:proofErr w:type="gramStart"/>
      <w:r w:rsidRPr="00B9585A">
        <w:rPr>
          <w:rFonts w:ascii="Calibri" w:eastAsia="Times New Roman" w:hAnsi="Calibri" w:cs="Calibri"/>
          <w:color w:val="000000"/>
          <w:kern w:val="0"/>
          <w:sz w:val="28"/>
          <w:szCs w:val="28"/>
          <w:lang w:val="en-US" w:eastAsia="fr-CA"/>
          <w14:ligatures w14:val="none"/>
        </w:rPr>
        <w:t>e,f</w:t>
      </w:r>
      <w:proofErr w:type="spellEnd"/>
      <w:proofErr w:type="gramEnd"/>
      <w:r w:rsidRPr="00B9585A">
        <w:rPr>
          <w:rFonts w:ascii="Calibri" w:eastAsia="Times New Roman" w:hAnsi="Calibri" w:cs="Calibri"/>
          <w:color w:val="000000"/>
          <w:kern w:val="0"/>
          <w:sz w:val="28"/>
          <w:szCs w:val="28"/>
          <w:lang w:val="en-US" w:eastAsia="fr-CA"/>
          <w14:ligatures w14:val="none"/>
        </w:rPr>
        <w:t>) with the Cloud Fraction (</w:t>
      </w:r>
      <w:proofErr w:type="spellStart"/>
      <w:r w:rsidRPr="00B9585A">
        <w:rPr>
          <w:rFonts w:ascii="Calibri" w:eastAsia="Times New Roman" w:hAnsi="Calibri" w:cs="Calibri"/>
          <w:color w:val="000000"/>
          <w:kern w:val="0"/>
          <w:sz w:val="28"/>
          <w:szCs w:val="28"/>
          <w:lang w:val="en-US" w:eastAsia="fr-CA"/>
          <w14:ligatures w14:val="none"/>
        </w:rPr>
        <w:t>colorscale</w:t>
      </w:r>
      <w:proofErr w:type="spellEnd"/>
      <w:r w:rsidRPr="00B9585A">
        <w:rPr>
          <w:rFonts w:ascii="Calibri" w:eastAsia="Times New Roman" w:hAnsi="Calibri" w:cs="Calibri"/>
          <w:color w:val="000000"/>
          <w:kern w:val="0"/>
          <w:sz w:val="28"/>
          <w:szCs w:val="28"/>
          <w:lang w:val="en-US" w:eastAsia="fr-CA"/>
          <w14:ligatures w14:val="none"/>
        </w:rPr>
        <w:t xml:space="preserve">) for each </w:t>
      </w:r>
      <w:r w:rsidR="006906FF" w:rsidRPr="00B9585A">
        <w:rPr>
          <w:rFonts w:ascii="Calibri" w:eastAsia="Times New Roman" w:hAnsi="Calibri" w:cs="Calibri"/>
          <w:color w:val="000000"/>
          <w:kern w:val="0"/>
          <w:sz w:val="28"/>
          <w:szCs w:val="28"/>
          <w:lang w:val="en-US" w:eastAsia="fr-CA"/>
          <w14:ligatures w14:val="none"/>
        </w:rPr>
        <w:t>ice-free</w:t>
      </w:r>
      <w:r w:rsidRPr="00B9585A">
        <w:rPr>
          <w:rFonts w:ascii="Calibri" w:eastAsia="Times New Roman" w:hAnsi="Calibri" w:cs="Calibri"/>
          <w:color w:val="000000"/>
          <w:kern w:val="0"/>
          <w:sz w:val="28"/>
          <w:szCs w:val="28"/>
          <w:lang w:val="en-US" w:eastAsia="fr-CA"/>
          <w14:ligatures w14:val="none"/>
        </w:rPr>
        <w:t xml:space="preserve"> pixel. Proportion of pixels that are ice-covered (orange), with PP data (blue) and open water but no PP data (green). The x-axis shows months of the year. Panels correspond to different years: a, c = 2007; b, d = 2008; e, g = 2004; f, h = 2014.</w:t>
      </w:r>
    </w:p>
    <w:p w14:paraId="7BE4B03E" w14:textId="6CF1558E" w:rsidR="002260CE" w:rsidRPr="00B9585A" w:rsidRDefault="00210F74" w:rsidP="002260CE">
      <w:pPr>
        <w:jc w:val="both"/>
        <w:rPr>
          <w:rFonts w:ascii="Times New Roman" w:eastAsia="Times New Roman" w:hAnsi="Times New Roman" w:cs="Times New Roman"/>
          <w:kern w:val="0"/>
          <w:lang w:val="en-US" w:eastAsia="fr-CA"/>
          <w14:ligatures w14:val="none"/>
        </w:rPr>
      </w:pPr>
      <w:r>
        <w:rPr>
          <w:noProof/>
          <w:bdr w:val="none" w:sz="0" w:space="0" w:color="auto" w:frame="1"/>
        </w:rPr>
        <w:lastRenderedPageBreak/>
        <w:drawing>
          <wp:inline distT="0" distB="0" distL="0" distR="0" wp14:anchorId="5B47D727" wp14:editId="70090E3A">
            <wp:extent cx="5482692" cy="4069715"/>
            <wp:effectExtent l="0" t="0" r="3810" b="0"/>
            <wp:docPr id="1163005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0571" name="Image 2"/>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5482692" cy="4069715"/>
                    </a:xfrm>
                    <a:prstGeom prst="rect">
                      <a:avLst/>
                    </a:prstGeom>
                    <a:noFill/>
                    <a:ln>
                      <a:noFill/>
                    </a:ln>
                  </pic:spPr>
                </pic:pic>
              </a:graphicData>
            </a:graphic>
          </wp:inline>
        </w:drawing>
      </w:r>
      <w:r w:rsidRPr="00210F74">
        <w:rPr>
          <w:bdr w:val="none" w:sz="0" w:space="0" w:color="auto" w:frame="1"/>
        </w:rPr>
        <w:t xml:space="preserve"> </w:t>
      </w:r>
      <w:r>
        <w:rPr>
          <w:noProof/>
          <w:bdr w:val="none" w:sz="0" w:space="0" w:color="auto" w:frame="1"/>
        </w:rPr>
        <w:drawing>
          <wp:inline distT="0" distB="0" distL="0" distR="0" wp14:anchorId="39E024D6" wp14:editId="70405BA7">
            <wp:extent cx="5486400" cy="4085074"/>
            <wp:effectExtent l="0" t="0" r="0" b="4445"/>
            <wp:docPr id="172365500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55002" name="Image 3"/>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486400" cy="4085074"/>
                    </a:xfrm>
                    <a:prstGeom prst="rect">
                      <a:avLst/>
                    </a:prstGeom>
                    <a:noFill/>
                    <a:ln>
                      <a:noFill/>
                    </a:ln>
                  </pic:spPr>
                </pic:pic>
              </a:graphicData>
            </a:graphic>
          </wp:inline>
        </w:drawing>
      </w:r>
      <w:r w:rsidR="002260CE" w:rsidRPr="00B9585A">
        <w:rPr>
          <w:rFonts w:ascii="Calibri" w:eastAsia="Times New Roman" w:hAnsi="Calibri" w:cs="Calibri"/>
          <w:color w:val="000000"/>
          <w:kern w:val="0"/>
          <w:sz w:val="28"/>
          <w:szCs w:val="28"/>
          <w:lang w:val="en-US" w:eastAsia="fr-CA"/>
          <w14:ligatures w14:val="none"/>
        </w:rPr>
        <w:lastRenderedPageBreak/>
        <w:t> </w:t>
      </w:r>
    </w:p>
    <w:p w14:paraId="0F4A2CA4"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2B9F5BA2"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 </w:t>
      </w:r>
    </w:p>
    <w:p w14:paraId="1B8B1757" w14:textId="62BD9351"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Arial" w:eastAsia="Times New Roman" w:hAnsi="Arial" w:cs="Arial"/>
          <w:color w:val="000000"/>
          <w:kern w:val="0"/>
          <w:sz w:val="22"/>
          <w:szCs w:val="22"/>
          <w:lang w:val="en-US" w:eastAsia="fr-CA"/>
          <w14:ligatures w14:val="none"/>
        </w:rPr>
        <w:t>Fig. S3 (below). Annual PP</w:t>
      </w:r>
      <w:r w:rsidR="006906FF">
        <w:rPr>
          <w:rFonts w:ascii="Arial" w:eastAsia="Times New Roman" w:hAnsi="Arial" w:cs="Arial"/>
          <w:color w:val="000000"/>
          <w:kern w:val="0"/>
          <w:sz w:val="22"/>
          <w:szCs w:val="22"/>
          <w:lang w:val="en-US" w:eastAsia="fr-CA"/>
          <w14:ligatures w14:val="none"/>
        </w:rPr>
        <w:t xml:space="preserve"> (</w:t>
      </w:r>
      <w:proofErr w:type="spellStart"/>
      <w:r w:rsidR="006906FF">
        <w:rPr>
          <w:rFonts w:ascii="Arial" w:eastAsia="Times New Roman" w:hAnsi="Arial" w:cs="Arial"/>
          <w:color w:val="000000"/>
          <w:kern w:val="0"/>
          <w:sz w:val="22"/>
          <w:szCs w:val="22"/>
          <w:lang w:val="en-US" w:eastAsia="fr-CA"/>
          <w14:ligatures w14:val="none"/>
        </w:rPr>
        <w:t>TgC</w:t>
      </w:r>
      <w:proofErr w:type="spellEnd"/>
      <w:r w:rsidR="006906FF">
        <w:rPr>
          <w:rFonts w:ascii="Arial" w:eastAsia="Times New Roman" w:hAnsi="Arial" w:cs="Arial"/>
          <w:color w:val="000000"/>
          <w:kern w:val="0"/>
          <w:sz w:val="22"/>
          <w:szCs w:val="22"/>
          <w:lang w:val="en-US" w:eastAsia="fr-CA"/>
          <w14:ligatures w14:val="none"/>
        </w:rPr>
        <w:t> y</w:t>
      </w:r>
      <w:r w:rsidR="006906FF" w:rsidRPr="006906FF">
        <w:rPr>
          <w:rFonts w:ascii="Arial" w:eastAsia="Times New Roman" w:hAnsi="Arial" w:cs="Arial"/>
          <w:color w:val="000000"/>
          <w:kern w:val="0"/>
          <w:sz w:val="22"/>
          <w:szCs w:val="22"/>
          <w:vertAlign w:val="superscript"/>
          <w:lang w:val="en-US" w:eastAsia="fr-CA"/>
          <w14:ligatures w14:val="none"/>
        </w:rPr>
        <w:t>-1</w:t>
      </w:r>
      <w:r w:rsidR="006906FF">
        <w:rPr>
          <w:rFonts w:ascii="Arial" w:eastAsia="Times New Roman" w:hAnsi="Arial" w:cs="Arial"/>
          <w:color w:val="000000"/>
          <w:kern w:val="0"/>
          <w:sz w:val="22"/>
          <w:szCs w:val="22"/>
          <w:lang w:val="en-US" w:eastAsia="fr-CA"/>
          <w14:ligatures w14:val="none"/>
        </w:rPr>
        <w:t>)</w:t>
      </w:r>
      <w:r w:rsidRPr="00B9585A">
        <w:rPr>
          <w:rFonts w:ascii="Arial" w:eastAsia="Times New Roman" w:hAnsi="Arial" w:cs="Arial"/>
          <w:color w:val="000000"/>
          <w:kern w:val="0"/>
          <w:sz w:val="22"/>
          <w:szCs w:val="22"/>
          <w:lang w:val="en-US" w:eastAsia="fr-CA"/>
          <w14:ligatures w14:val="none"/>
        </w:rPr>
        <w:t xml:space="preserve"> of the Southern Hotspot with the original Blais (2017) timeseries in orange and the long time series of this study in blue teal. </w:t>
      </w:r>
    </w:p>
    <w:p w14:paraId="420B3501" w14:textId="12E465BA" w:rsidR="002260CE" w:rsidRPr="00B9585A" w:rsidRDefault="00210F74" w:rsidP="002260CE">
      <w:pPr>
        <w:spacing w:after="240"/>
        <w:rPr>
          <w:rFonts w:ascii="Times New Roman" w:eastAsia="Times New Roman" w:hAnsi="Times New Roman" w:cs="Times New Roman"/>
          <w:kern w:val="0"/>
          <w:lang w:val="en-US" w:eastAsia="fr-CA"/>
          <w14:ligatures w14:val="none"/>
        </w:rPr>
      </w:pPr>
      <w:r>
        <w:rPr>
          <w:rFonts w:ascii="Arial" w:hAnsi="Arial" w:cs="Arial"/>
          <w:noProof/>
          <w:color w:val="000000"/>
          <w:sz w:val="22"/>
          <w:szCs w:val="22"/>
          <w:bdr w:val="none" w:sz="0" w:space="0" w:color="auto" w:frame="1"/>
        </w:rPr>
        <w:drawing>
          <wp:inline distT="0" distB="0" distL="0" distR="0" wp14:anchorId="432FEFBB" wp14:editId="341C81D4">
            <wp:extent cx="5467350" cy="3202305"/>
            <wp:effectExtent l="0" t="0" r="6350" b="0"/>
            <wp:docPr id="6501616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61612" name="Image 4"/>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467350" cy="3202305"/>
                    </a:xfrm>
                    <a:prstGeom prst="rect">
                      <a:avLst/>
                    </a:prstGeom>
                    <a:noFill/>
                    <a:ln>
                      <a:noFill/>
                    </a:ln>
                  </pic:spPr>
                </pic:pic>
              </a:graphicData>
            </a:graphic>
          </wp:inline>
        </w:drawing>
      </w:r>
    </w:p>
    <w:p w14:paraId="42FD3D62" w14:textId="77777777" w:rsidR="002260CE" w:rsidRPr="00B9585A" w:rsidRDefault="002260CE" w:rsidP="002260CE">
      <w:pPr>
        <w:spacing w:after="240"/>
        <w:rPr>
          <w:rFonts w:ascii="Times New Roman" w:eastAsia="Times New Roman" w:hAnsi="Times New Roman" w:cs="Times New Roman"/>
          <w:kern w:val="0"/>
          <w:lang w:val="en-US" w:eastAsia="fr-CA"/>
          <w14:ligatures w14:val="none"/>
        </w:rPr>
      </w:pPr>
    </w:p>
    <w:p w14:paraId="0828A029" w14:textId="260B4D03"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Arial" w:eastAsia="Times New Roman" w:hAnsi="Arial" w:cs="Arial"/>
          <w:color w:val="000000"/>
          <w:kern w:val="0"/>
          <w:sz w:val="22"/>
          <w:szCs w:val="22"/>
          <w:lang w:val="en-US" w:eastAsia="fr-CA"/>
          <w14:ligatures w14:val="none"/>
        </w:rPr>
        <w:t xml:space="preserve">Fig. S4 (below). Annual PP </w:t>
      </w:r>
      <w:r w:rsidR="006906FF">
        <w:rPr>
          <w:rFonts w:ascii="Arial" w:eastAsia="Times New Roman" w:hAnsi="Arial" w:cs="Arial"/>
          <w:color w:val="000000"/>
          <w:kern w:val="0"/>
          <w:sz w:val="22"/>
          <w:szCs w:val="22"/>
          <w:lang w:val="en-US" w:eastAsia="fr-CA"/>
          <w14:ligatures w14:val="none"/>
        </w:rPr>
        <w:t>(</w:t>
      </w:r>
      <w:proofErr w:type="spellStart"/>
      <w:r w:rsidR="006906FF">
        <w:rPr>
          <w:rFonts w:ascii="Arial" w:eastAsia="Times New Roman" w:hAnsi="Arial" w:cs="Arial"/>
          <w:color w:val="000000"/>
          <w:kern w:val="0"/>
          <w:sz w:val="22"/>
          <w:szCs w:val="22"/>
          <w:lang w:val="en-US" w:eastAsia="fr-CA"/>
          <w14:ligatures w14:val="none"/>
        </w:rPr>
        <w:t>TgC</w:t>
      </w:r>
      <w:proofErr w:type="spellEnd"/>
      <w:r w:rsidR="006906FF">
        <w:rPr>
          <w:rFonts w:ascii="Arial" w:eastAsia="Times New Roman" w:hAnsi="Arial" w:cs="Arial"/>
          <w:color w:val="000000"/>
          <w:kern w:val="0"/>
          <w:sz w:val="22"/>
          <w:szCs w:val="22"/>
          <w:lang w:val="en-US" w:eastAsia="fr-CA"/>
          <w14:ligatures w14:val="none"/>
        </w:rPr>
        <w:t> y</w:t>
      </w:r>
      <w:r w:rsidR="006906FF" w:rsidRPr="006906FF">
        <w:rPr>
          <w:rFonts w:ascii="Arial" w:eastAsia="Times New Roman" w:hAnsi="Arial" w:cs="Arial"/>
          <w:color w:val="000000"/>
          <w:kern w:val="0"/>
          <w:sz w:val="22"/>
          <w:szCs w:val="22"/>
          <w:vertAlign w:val="superscript"/>
          <w:lang w:val="en-US" w:eastAsia="fr-CA"/>
          <w14:ligatures w14:val="none"/>
        </w:rPr>
        <w:t>-1</w:t>
      </w:r>
      <w:r w:rsidR="006906FF">
        <w:rPr>
          <w:rFonts w:ascii="Arial" w:eastAsia="Times New Roman" w:hAnsi="Arial" w:cs="Arial"/>
          <w:color w:val="000000"/>
          <w:kern w:val="0"/>
          <w:sz w:val="22"/>
          <w:szCs w:val="22"/>
          <w:lang w:val="en-US" w:eastAsia="fr-CA"/>
          <w14:ligatures w14:val="none"/>
        </w:rPr>
        <w:t xml:space="preserve">) </w:t>
      </w:r>
      <w:r w:rsidRPr="006906FF">
        <w:rPr>
          <w:rFonts w:ascii="Arial" w:eastAsia="Times New Roman" w:hAnsi="Arial" w:cs="Arial"/>
          <w:color w:val="000000"/>
          <w:kern w:val="0"/>
          <w:sz w:val="22"/>
          <w:szCs w:val="22"/>
          <w:lang w:val="en-US" w:eastAsia="fr-CA"/>
          <w14:ligatures w14:val="none"/>
        </w:rPr>
        <w:t>from</w:t>
      </w:r>
      <w:r w:rsidRPr="00B9585A">
        <w:rPr>
          <w:rFonts w:ascii="Arial" w:eastAsia="Times New Roman" w:hAnsi="Arial" w:cs="Arial"/>
          <w:color w:val="000000"/>
          <w:kern w:val="0"/>
          <w:sz w:val="22"/>
          <w:szCs w:val="22"/>
          <w:lang w:val="en-US" w:eastAsia="fr-CA"/>
          <w14:ligatures w14:val="none"/>
        </w:rPr>
        <w:t xml:space="preserve"> 2003 to 2023 and the corresponding Sen slope. Years 2004 and 2014 were not included in the slope estimation (Sen’s slope = 0.0138, </w:t>
      </w:r>
      <w:r w:rsidRPr="00B9585A">
        <w:rPr>
          <w:rFonts w:ascii="Arial" w:eastAsia="Times New Roman" w:hAnsi="Arial" w:cs="Arial"/>
          <w:color w:val="000000"/>
          <w:kern w:val="0"/>
          <w:sz w:val="22"/>
          <w:szCs w:val="22"/>
          <w:lang w:eastAsia="fr-CA"/>
          <w14:ligatures w14:val="none"/>
        </w:rPr>
        <w:t>τ</w:t>
      </w:r>
      <w:r w:rsidRPr="00B9585A">
        <w:rPr>
          <w:rFonts w:ascii="Arial" w:eastAsia="Times New Roman" w:hAnsi="Arial" w:cs="Arial"/>
          <w:color w:val="000000"/>
          <w:kern w:val="0"/>
          <w:sz w:val="22"/>
          <w:szCs w:val="22"/>
          <w:lang w:val="en-US" w:eastAsia="fr-CA"/>
          <w14:ligatures w14:val="none"/>
        </w:rPr>
        <w:t xml:space="preserve"> = 0.135, </w:t>
      </w:r>
      <w:r w:rsidRPr="00B9585A">
        <w:rPr>
          <w:rFonts w:ascii="Arial" w:eastAsia="Times New Roman" w:hAnsi="Arial" w:cs="Arial"/>
          <w:i/>
          <w:iCs/>
          <w:color w:val="000000"/>
          <w:kern w:val="0"/>
          <w:sz w:val="22"/>
          <w:szCs w:val="22"/>
          <w:lang w:val="en-US" w:eastAsia="fr-CA"/>
          <w14:ligatures w14:val="none"/>
        </w:rPr>
        <w:t>p</w:t>
      </w:r>
      <w:r w:rsidRPr="00B9585A">
        <w:rPr>
          <w:rFonts w:ascii="Arial" w:eastAsia="Times New Roman" w:hAnsi="Arial" w:cs="Arial"/>
          <w:color w:val="000000"/>
          <w:kern w:val="0"/>
          <w:sz w:val="22"/>
          <w:szCs w:val="22"/>
          <w:lang w:val="en-US" w:eastAsia="fr-CA"/>
          <w14:ligatures w14:val="none"/>
        </w:rPr>
        <w:t> = 0.441).</w:t>
      </w:r>
    </w:p>
    <w:p w14:paraId="19950A48" w14:textId="5349E8D9" w:rsidR="002260CE" w:rsidRPr="00B9585A" w:rsidRDefault="00210F74" w:rsidP="002260CE">
      <w:pPr>
        <w:rPr>
          <w:rFonts w:ascii="Times New Roman" w:eastAsia="Times New Roman" w:hAnsi="Times New Roman" w:cs="Times New Roman"/>
          <w:kern w:val="0"/>
          <w:lang w:val="en-US" w:eastAsia="fr-CA"/>
          <w14:ligatures w14:val="none"/>
        </w:rPr>
      </w:pPr>
      <w:r>
        <w:rPr>
          <w:rFonts w:ascii="Arial" w:hAnsi="Arial" w:cs="Arial"/>
          <w:noProof/>
          <w:color w:val="000000"/>
          <w:sz w:val="22"/>
          <w:szCs w:val="22"/>
          <w:bdr w:val="none" w:sz="0" w:space="0" w:color="auto" w:frame="1"/>
        </w:rPr>
        <w:drawing>
          <wp:inline distT="0" distB="0" distL="0" distR="0" wp14:anchorId="64B2E58B" wp14:editId="5333408E">
            <wp:extent cx="5439410" cy="2877590"/>
            <wp:effectExtent l="0" t="0" r="0" b="5715"/>
            <wp:docPr id="121921948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9481" name="Image 5"/>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439410" cy="2877590"/>
                    </a:xfrm>
                    <a:prstGeom prst="rect">
                      <a:avLst/>
                    </a:prstGeom>
                    <a:noFill/>
                    <a:ln>
                      <a:noFill/>
                    </a:ln>
                  </pic:spPr>
                </pic:pic>
              </a:graphicData>
            </a:graphic>
          </wp:inline>
        </w:drawing>
      </w:r>
    </w:p>
    <w:p w14:paraId="05B82747" w14:textId="77777777" w:rsidR="002260CE" w:rsidRPr="00B9585A" w:rsidRDefault="002260CE" w:rsidP="002260CE">
      <w:pPr>
        <w:rPr>
          <w:rFonts w:ascii="Times New Roman" w:eastAsia="Times New Roman" w:hAnsi="Times New Roman" w:cs="Times New Roman"/>
          <w:kern w:val="0"/>
          <w:lang w:val="en-US" w:eastAsia="fr-CA"/>
          <w14:ligatures w14:val="none"/>
        </w:rPr>
      </w:pPr>
    </w:p>
    <w:p w14:paraId="04C78E56" w14:textId="77777777"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Arial" w:eastAsia="Times New Roman" w:hAnsi="Arial" w:cs="Arial"/>
          <w:color w:val="000000"/>
          <w:kern w:val="0"/>
          <w:sz w:val="22"/>
          <w:szCs w:val="22"/>
          <w:lang w:val="en-US" w:eastAsia="fr-CA"/>
          <w14:ligatures w14:val="none"/>
        </w:rPr>
        <w:lastRenderedPageBreak/>
        <w:t xml:space="preserve">Fig. S5 (below): </w:t>
      </w:r>
      <w:r w:rsidRPr="00B9585A">
        <w:rPr>
          <w:rFonts w:ascii="Arial" w:eastAsia="Times New Roman" w:hAnsi="Arial" w:cs="Arial"/>
          <w:i/>
          <w:iCs/>
          <w:color w:val="000000"/>
          <w:kern w:val="0"/>
          <w:sz w:val="22"/>
          <w:szCs w:val="22"/>
          <w:lang w:val="en-US" w:eastAsia="fr-CA"/>
          <w14:ligatures w14:val="none"/>
        </w:rPr>
        <w:t>K</w:t>
      </w:r>
      <w:r w:rsidRPr="00B9585A">
        <w:rPr>
          <w:rFonts w:ascii="Arial" w:eastAsia="Times New Roman" w:hAnsi="Arial" w:cs="Arial"/>
          <w:color w:val="000000"/>
          <w:kern w:val="0"/>
          <w:sz w:val="22"/>
          <w:szCs w:val="22"/>
          <w:lang w:val="en-US" w:eastAsia="fr-CA"/>
          <w14:ligatures w14:val="none"/>
        </w:rPr>
        <w:t xml:space="preserve">-means clustering analytical maps for </w:t>
      </w:r>
      <w:r w:rsidRPr="00B9585A">
        <w:rPr>
          <w:rFonts w:ascii="Arial" w:eastAsia="Times New Roman" w:hAnsi="Arial" w:cs="Arial"/>
          <w:i/>
          <w:iCs/>
          <w:color w:val="000000"/>
          <w:kern w:val="0"/>
          <w:sz w:val="22"/>
          <w:szCs w:val="22"/>
          <w:lang w:val="en-US" w:eastAsia="fr-CA"/>
          <w14:ligatures w14:val="none"/>
        </w:rPr>
        <w:t>k</w:t>
      </w:r>
      <w:r w:rsidRPr="00B9585A">
        <w:rPr>
          <w:rFonts w:ascii="Arial" w:eastAsia="Times New Roman" w:hAnsi="Arial" w:cs="Arial"/>
          <w:color w:val="000000"/>
          <w:kern w:val="0"/>
          <w:sz w:val="22"/>
          <w:szCs w:val="22"/>
          <w:lang w:val="en-US" w:eastAsia="fr-CA"/>
          <w14:ligatures w14:val="none"/>
        </w:rPr>
        <w:t> = 2 to 11 using SNAP toolbox and default parameters.</w:t>
      </w:r>
    </w:p>
    <w:p w14:paraId="76AC2DEA" w14:textId="408716F4" w:rsidR="002260CE" w:rsidRPr="00B9585A" w:rsidRDefault="00210F74" w:rsidP="002260CE">
      <w:pPr>
        <w:spacing w:after="240"/>
        <w:rPr>
          <w:rFonts w:ascii="Times New Roman" w:eastAsia="Times New Roman" w:hAnsi="Times New Roman" w:cs="Times New Roman"/>
          <w:kern w:val="0"/>
          <w:lang w:val="en-US" w:eastAsia="fr-CA"/>
          <w14:ligatures w14:val="none"/>
        </w:rPr>
      </w:pPr>
      <w:r>
        <w:rPr>
          <w:rFonts w:ascii="Calibri" w:hAnsi="Calibri" w:cs="Calibri"/>
          <w:noProof/>
          <w:color w:val="000000"/>
          <w:sz w:val="28"/>
          <w:szCs w:val="28"/>
          <w:bdr w:val="none" w:sz="0" w:space="0" w:color="auto" w:frame="1"/>
        </w:rPr>
        <w:drawing>
          <wp:inline distT="0" distB="0" distL="0" distR="0" wp14:anchorId="2740152D" wp14:editId="64816602">
            <wp:extent cx="5460609" cy="2665095"/>
            <wp:effectExtent l="0" t="0" r="635" b="1905"/>
            <wp:docPr id="29341863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18635" name="Image 6"/>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460609" cy="2665095"/>
                    </a:xfrm>
                    <a:prstGeom prst="rect">
                      <a:avLst/>
                    </a:prstGeom>
                    <a:noFill/>
                    <a:ln>
                      <a:noFill/>
                    </a:ln>
                  </pic:spPr>
                </pic:pic>
              </a:graphicData>
            </a:graphic>
          </wp:inline>
        </w:drawing>
      </w:r>
    </w:p>
    <w:p w14:paraId="466A5E72" w14:textId="21593C4D" w:rsidR="002260CE" w:rsidRPr="00B9585A" w:rsidRDefault="002260CE" w:rsidP="002260CE">
      <w:pPr>
        <w:jc w:val="both"/>
        <w:rPr>
          <w:rFonts w:ascii="Times New Roman" w:eastAsia="Times New Roman" w:hAnsi="Times New Roman" w:cs="Times New Roman"/>
          <w:kern w:val="0"/>
          <w:lang w:val="en-US" w:eastAsia="fr-CA"/>
          <w14:ligatures w14:val="none"/>
        </w:rPr>
      </w:pPr>
      <w:r w:rsidRPr="00B9585A">
        <w:rPr>
          <w:rFonts w:ascii="Calibri" w:eastAsia="Times New Roman" w:hAnsi="Calibri" w:cs="Calibri"/>
          <w:color w:val="000000"/>
          <w:kern w:val="0"/>
          <w:sz w:val="28"/>
          <w:szCs w:val="28"/>
          <w:lang w:val="en-US" w:eastAsia="fr-CA"/>
          <w14:ligatures w14:val="none"/>
        </w:rPr>
        <w:t>Fig. S6 (below): Changes in the timing of the break-up (filled circle; Sen’s slope = -0.519 d</w:t>
      </w:r>
      <w:r w:rsidR="006906FF">
        <w:rPr>
          <w:rFonts w:ascii="Calibri" w:eastAsia="Times New Roman" w:hAnsi="Calibri" w:cs="Calibri"/>
          <w:color w:val="000000"/>
          <w:kern w:val="0"/>
          <w:sz w:val="28"/>
          <w:szCs w:val="28"/>
          <w:lang w:val="en-US" w:eastAsia="fr-CA"/>
          <w14:ligatures w14:val="none"/>
        </w:rPr>
        <w:t> y</w:t>
      </w:r>
      <w:r w:rsidR="006906FF" w:rsidRPr="006906FF">
        <w:rPr>
          <w:rFonts w:ascii="Calibri" w:eastAsia="Times New Roman" w:hAnsi="Calibri" w:cs="Calibri"/>
          <w:color w:val="000000"/>
          <w:kern w:val="0"/>
          <w:sz w:val="28"/>
          <w:szCs w:val="28"/>
          <w:vertAlign w:val="superscript"/>
          <w:lang w:val="en-US" w:eastAsia="fr-CA"/>
          <w14:ligatures w14:val="none"/>
        </w:rPr>
        <w:t>-1</w:t>
      </w:r>
      <w:r w:rsidRPr="00B9585A">
        <w:rPr>
          <w:rFonts w:ascii="Calibri" w:eastAsia="Times New Roman" w:hAnsi="Calibri" w:cs="Calibri"/>
          <w:color w:val="000000"/>
          <w:kern w:val="0"/>
          <w:sz w:val="28"/>
          <w:szCs w:val="28"/>
          <w:lang w:val="en-US" w:eastAsia="fr-CA"/>
          <w14:ligatures w14:val="none"/>
        </w:rPr>
        <w:t>, Kendall’s </w:t>
      </w:r>
      <w:r w:rsidRPr="00B9585A">
        <w:rPr>
          <w:rFonts w:ascii="Arial" w:eastAsia="Times New Roman" w:hAnsi="Arial" w:cs="Arial"/>
          <w:color w:val="000000"/>
          <w:kern w:val="0"/>
          <w:sz w:val="22"/>
          <w:szCs w:val="22"/>
          <w:lang w:eastAsia="fr-CA"/>
          <w14:ligatures w14:val="none"/>
        </w:rPr>
        <w:t>τ</w:t>
      </w:r>
      <w:r w:rsidRPr="00B9585A">
        <w:rPr>
          <w:rFonts w:ascii="Calibri" w:eastAsia="Times New Roman" w:hAnsi="Calibri" w:cs="Calibri"/>
          <w:color w:val="000000"/>
          <w:kern w:val="0"/>
          <w:sz w:val="28"/>
          <w:szCs w:val="28"/>
          <w:lang w:val="en-US" w:eastAsia="fr-CA"/>
          <w14:ligatures w14:val="none"/>
        </w:rPr>
        <w:t xml:space="preserve"> = -0.177, </w:t>
      </w:r>
      <w:r w:rsidRPr="00B9585A">
        <w:rPr>
          <w:rFonts w:ascii="Calibri" w:eastAsia="Times New Roman" w:hAnsi="Calibri" w:cs="Calibri"/>
          <w:i/>
          <w:iCs/>
          <w:color w:val="000000"/>
          <w:kern w:val="0"/>
          <w:sz w:val="28"/>
          <w:szCs w:val="28"/>
          <w:lang w:val="en-US" w:eastAsia="fr-CA"/>
          <w14:ligatures w14:val="none"/>
        </w:rPr>
        <w:t>p</w:t>
      </w:r>
      <w:r w:rsidRPr="00B9585A">
        <w:rPr>
          <w:rFonts w:ascii="Calibri" w:eastAsia="Times New Roman" w:hAnsi="Calibri" w:cs="Calibri"/>
          <w:color w:val="000000"/>
          <w:kern w:val="0"/>
          <w:sz w:val="28"/>
          <w:szCs w:val="28"/>
          <w:lang w:val="en-US" w:eastAsia="fr-CA"/>
          <w14:ligatures w14:val="none"/>
        </w:rPr>
        <w:t> = 0.263) and freeze-up (open circle; Sen’s slope = 0.345 d </w:t>
      </w:r>
      <w:r w:rsidR="006906FF">
        <w:rPr>
          <w:rFonts w:ascii="Calibri" w:eastAsia="Times New Roman" w:hAnsi="Calibri" w:cs="Calibri"/>
          <w:color w:val="000000"/>
          <w:kern w:val="0"/>
          <w:sz w:val="28"/>
          <w:szCs w:val="28"/>
          <w:lang w:val="en-US" w:eastAsia="fr-CA"/>
          <w14:ligatures w14:val="none"/>
        </w:rPr>
        <w:t>y</w:t>
      </w:r>
      <w:r w:rsidR="006906FF" w:rsidRPr="006906FF">
        <w:rPr>
          <w:rFonts w:ascii="Calibri" w:eastAsia="Times New Roman" w:hAnsi="Calibri" w:cs="Calibri"/>
          <w:color w:val="000000"/>
          <w:kern w:val="0"/>
          <w:sz w:val="28"/>
          <w:szCs w:val="28"/>
          <w:vertAlign w:val="superscript"/>
          <w:lang w:val="en-US" w:eastAsia="fr-CA"/>
          <w14:ligatures w14:val="none"/>
        </w:rPr>
        <w:t>-1</w:t>
      </w:r>
      <w:r w:rsidRPr="00B9585A">
        <w:rPr>
          <w:rFonts w:ascii="Calibri" w:eastAsia="Times New Roman" w:hAnsi="Calibri" w:cs="Calibri"/>
          <w:color w:val="000000"/>
          <w:kern w:val="0"/>
          <w:sz w:val="28"/>
          <w:szCs w:val="28"/>
          <w:lang w:val="en-US" w:eastAsia="fr-CA"/>
          <w14:ligatures w14:val="none"/>
        </w:rPr>
        <w:t>, Kendall’s </w:t>
      </w:r>
      <w:r w:rsidRPr="00B9585A">
        <w:rPr>
          <w:rFonts w:ascii="Arial" w:eastAsia="Times New Roman" w:hAnsi="Arial" w:cs="Arial"/>
          <w:color w:val="000000"/>
          <w:kern w:val="0"/>
          <w:sz w:val="22"/>
          <w:szCs w:val="22"/>
          <w:lang w:eastAsia="fr-CA"/>
          <w14:ligatures w14:val="none"/>
        </w:rPr>
        <w:t>τ</w:t>
      </w:r>
      <w:r w:rsidRPr="00B9585A">
        <w:rPr>
          <w:rFonts w:ascii="Calibri" w:eastAsia="Times New Roman" w:hAnsi="Calibri" w:cs="Calibri"/>
          <w:color w:val="000000"/>
          <w:kern w:val="0"/>
          <w:sz w:val="28"/>
          <w:szCs w:val="28"/>
          <w:lang w:val="en-US" w:eastAsia="fr-CA"/>
          <w14:ligatures w14:val="none"/>
        </w:rPr>
        <w:t xml:space="preserve"> = 0.163, </w:t>
      </w:r>
      <w:r w:rsidRPr="00B9585A">
        <w:rPr>
          <w:rFonts w:ascii="Calibri" w:eastAsia="Times New Roman" w:hAnsi="Calibri" w:cs="Calibri"/>
          <w:i/>
          <w:iCs/>
          <w:color w:val="000000"/>
          <w:kern w:val="0"/>
          <w:sz w:val="28"/>
          <w:szCs w:val="28"/>
          <w:lang w:val="en-US" w:eastAsia="fr-CA"/>
          <w14:ligatures w14:val="none"/>
        </w:rPr>
        <w:t>p</w:t>
      </w:r>
      <w:r w:rsidRPr="00B9585A">
        <w:rPr>
          <w:rFonts w:ascii="Calibri" w:eastAsia="Times New Roman" w:hAnsi="Calibri" w:cs="Calibri"/>
          <w:color w:val="000000"/>
          <w:kern w:val="0"/>
          <w:sz w:val="28"/>
          <w:szCs w:val="28"/>
          <w:lang w:val="en-US" w:eastAsia="fr-CA"/>
          <w14:ligatures w14:val="none"/>
        </w:rPr>
        <w:t> = 0.304) of the open water period (ice fraction less than 0.35 for a 21 consecutive days).</w:t>
      </w:r>
    </w:p>
    <w:p w14:paraId="79B61F97" w14:textId="77777777" w:rsidR="002260CE" w:rsidRPr="00B9585A" w:rsidRDefault="002260CE" w:rsidP="002260CE">
      <w:pPr>
        <w:rPr>
          <w:rFonts w:ascii="Times New Roman" w:eastAsia="Times New Roman" w:hAnsi="Times New Roman" w:cs="Times New Roman"/>
          <w:kern w:val="0"/>
          <w:lang w:val="en-US" w:eastAsia="fr-CA"/>
          <w14:ligatures w14:val="none"/>
        </w:rPr>
      </w:pPr>
    </w:p>
    <w:p w14:paraId="5AE6DE70" w14:textId="57A05773" w:rsidR="002260CE" w:rsidRPr="00B9585A" w:rsidRDefault="00210F74" w:rsidP="002260CE">
      <w:pPr>
        <w:rPr>
          <w:rFonts w:ascii="Times New Roman" w:eastAsia="Times New Roman" w:hAnsi="Times New Roman" w:cs="Times New Roman"/>
          <w:kern w:val="0"/>
          <w:lang w:val="en-US" w:eastAsia="fr-CA"/>
          <w14:ligatures w14:val="none"/>
        </w:rPr>
      </w:pPr>
      <w:r>
        <w:rPr>
          <w:rFonts w:ascii="Calibri" w:hAnsi="Calibri" w:cs="Calibri"/>
          <w:noProof/>
          <w:color w:val="000000"/>
          <w:sz w:val="28"/>
          <w:szCs w:val="28"/>
          <w:bdr w:val="none" w:sz="0" w:space="0" w:color="auto" w:frame="1"/>
        </w:rPr>
        <w:drawing>
          <wp:inline distT="0" distB="0" distL="0" distR="0" wp14:anchorId="5E2DFB01" wp14:editId="42328BFE">
            <wp:extent cx="5486400" cy="3264766"/>
            <wp:effectExtent l="0" t="0" r="0" b="0"/>
            <wp:docPr id="71354114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41145" name="Image 7"/>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486400" cy="3264766"/>
                    </a:xfrm>
                    <a:prstGeom prst="rect">
                      <a:avLst/>
                    </a:prstGeom>
                    <a:noFill/>
                    <a:ln>
                      <a:noFill/>
                    </a:ln>
                  </pic:spPr>
                </pic:pic>
              </a:graphicData>
            </a:graphic>
          </wp:inline>
        </w:drawing>
      </w:r>
    </w:p>
    <w:p w14:paraId="65F04ED2" w14:textId="77777777" w:rsidR="002260CE" w:rsidRPr="00B9585A" w:rsidRDefault="002260CE" w:rsidP="002260CE">
      <w:pPr>
        <w:rPr>
          <w:lang w:val="en-US"/>
        </w:rPr>
      </w:pPr>
    </w:p>
    <w:p w14:paraId="054ADDB1" w14:textId="77777777" w:rsidR="00283691" w:rsidRPr="002260CE" w:rsidRDefault="00283691">
      <w:pPr>
        <w:rPr>
          <w:lang w:val="en-US"/>
        </w:rPr>
      </w:pPr>
    </w:p>
    <w:sectPr w:rsidR="00283691" w:rsidRPr="002260CE" w:rsidSect="002260CE">
      <w:pgSz w:w="12240" w:h="15840"/>
      <w:pgMar w:top="1440" w:right="1800" w:bottom="1440" w:left="180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60CE"/>
    <w:rsid w:val="001545A1"/>
    <w:rsid w:val="00210F74"/>
    <w:rsid w:val="002260CE"/>
    <w:rsid w:val="00283691"/>
    <w:rsid w:val="006906FF"/>
    <w:rsid w:val="00715941"/>
    <w:rsid w:val="00C47F3C"/>
    <w:rsid w:val="00C722E2"/>
    <w:rsid w:val="00DF4E7E"/>
    <w:rsid w:val="00E74BF4"/>
    <w:rsid w:val="00E833D1"/>
    <w:rsid w:val="00F74622"/>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4:docId w14:val="1815D1BF"/>
  <w15:chartTrackingRefBased/>
  <w15:docId w15:val="{55DF24E8-5E75-6648-B439-447ECD93D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60CE"/>
  </w:style>
  <w:style w:type="paragraph" w:styleId="Titre1">
    <w:name w:val="heading 1"/>
    <w:basedOn w:val="Normal"/>
    <w:next w:val="Normal"/>
    <w:link w:val="Titre1Car"/>
    <w:uiPriority w:val="9"/>
    <w:qFormat/>
    <w:rsid w:val="002260C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2260C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2260CE"/>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2260CE"/>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2260CE"/>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2260CE"/>
    <w:pPr>
      <w:keepNext/>
      <w:keepLines/>
      <w:spacing w:before="4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2260CE"/>
    <w:pPr>
      <w:keepNext/>
      <w:keepLines/>
      <w:spacing w:before="4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2260CE"/>
    <w:pPr>
      <w:keepNext/>
      <w:keepLines/>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2260CE"/>
    <w:pPr>
      <w:keepNext/>
      <w:keepLines/>
      <w:outlineLvl w:val="8"/>
    </w:pPr>
    <w:rPr>
      <w:rFonts w:eastAsiaTheme="majorEastAsia" w:cstheme="majorBidi"/>
      <w:color w:val="272727" w:themeColor="text1" w:themeTint="D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260CE"/>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2260CE"/>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2260CE"/>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2260CE"/>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2260CE"/>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2260CE"/>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2260CE"/>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2260CE"/>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2260CE"/>
    <w:rPr>
      <w:rFonts w:eastAsiaTheme="majorEastAsia" w:cstheme="majorBidi"/>
      <w:color w:val="272727" w:themeColor="text1" w:themeTint="D8"/>
    </w:rPr>
  </w:style>
  <w:style w:type="paragraph" w:styleId="Titre">
    <w:name w:val="Title"/>
    <w:basedOn w:val="Normal"/>
    <w:next w:val="Normal"/>
    <w:link w:val="TitreCar"/>
    <w:uiPriority w:val="10"/>
    <w:qFormat/>
    <w:rsid w:val="002260CE"/>
    <w:pPr>
      <w:spacing w:after="8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260CE"/>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2260CE"/>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2260CE"/>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2260CE"/>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2260CE"/>
    <w:rPr>
      <w:i/>
      <w:iCs/>
      <w:color w:val="404040" w:themeColor="text1" w:themeTint="BF"/>
    </w:rPr>
  </w:style>
  <w:style w:type="paragraph" w:styleId="Paragraphedeliste">
    <w:name w:val="List Paragraph"/>
    <w:basedOn w:val="Normal"/>
    <w:uiPriority w:val="34"/>
    <w:qFormat/>
    <w:rsid w:val="002260CE"/>
    <w:pPr>
      <w:ind w:left="720"/>
      <w:contextualSpacing/>
    </w:pPr>
  </w:style>
  <w:style w:type="character" w:styleId="Accentuationintense">
    <w:name w:val="Intense Emphasis"/>
    <w:basedOn w:val="Policepardfaut"/>
    <w:uiPriority w:val="21"/>
    <w:qFormat/>
    <w:rsid w:val="002260CE"/>
    <w:rPr>
      <w:i/>
      <w:iCs/>
      <w:color w:val="2F5496" w:themeColor="accent1" w:themeShade="BF"/>
    </w:rPr>
  </w:style>
  <w:style w:type="paragraph" w:styleId="Citationintense">
    <w:name w:val="Intense Quote"/>
    <w:basedOn w:val="Normal"/>
    <w:next w:val="Normal"/>
    <w:link w:val="CitationintenseCar"/>
    <w:uiPriority w:val="30"/>
    <w:qFormat/>
    <w:rsid w:val="002260C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2260CE"/>
    <w:rPr>
      <w:i/>
      <w:iCs/>
      <w:color w:val="2F5496" w:themeColor="accent1" w:themeShade="BF"/>
    </w:rPr>
  </w:style>
  <w:style w:type="character" w:styleId="Rfrenceintense">
    <w:name w:val="Intense Reference"/>
    <w:basedOn w:val="Policepardfaut"/>
    <w:uiPriority w:val="32"/>
    <w:qFormat/>
    <w:rsid w:val="002260CE"/>
    <w:rPr>
      <w:b/>
      <w:bCs/>
      <w:smallCaps/>
      <w:color w:val="2F5496" w:themeColor="accent1" w:themeShade="BF"/>
      <w:spacing w:val="5"/>
    </w:rPr>
  </w:style>
  <w:style w:type="character" w:styleId="Numrodeligne">
    <w:name w:val="line number"/>
    <w:basedOn w:val="Policepardfaut"/>
    <w:uiPriority w:val="99"/>
    <w:semiHidden/>
    <w:unhideWhenUsed/>
    <w:rsid w:val="002260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hyperlink" Target="https://earth.esa.int/eogateway/tools/snap" TargetMode="External"/><Relationship Id="rId9" Type="http://schemas.openxmlformats.org/officeDocument/2006/relationships/image" Target="media/image5.tif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6</Pages>
  <Words>581</Words>
  <Characters>3196</Characters>
  <Application>Microsoft Office Word</Application>
  <DocSecurity>0</DocSecurity>
  <Lines>26</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Foucaut Tachon</dc:creator>
  <cp:keywords/>
  <dc:description/>
  <cp:lastModifiedBy>Foucaut Tachon</cp:lastModifiedBy>
  <cp:revision>6</cp:revision>
  <dcterms:created xsi:type="dcterms:W3CDTF">2025-10-08T00:32:00Z</dcterms:created>
  <dcterms:modified xsi:type="dcterms:W3CDTF">2025-10-09T14:36:00Z</dcterms:modified>
</cp:coreProperties>
</file>