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F7A41" w14:textId="77777777" w:rsidR="001345B2" w:rsidRPr="00A06A0B" w:rsidRDefault="001345B2" w:rsidP="001345B2">
      <w:pPr>
        <w:spacing w:after="0"/>
        <w:jc w:val="both"/>
        <w:rPr>
          <w:rFonts w:ascii="Arial" w:hAnsi="Arial" w:cs="Arial"/>
          <w:b/>
          <w:lang w:val="en-US"/>
        </w:rPr>
      </w:pPr>
      <w:r w:rsidRPr="00A06A0B">
        <w:rPr>
          <w:rFonts w:ascii="Arial" w:hAnsi="Arial" w:cs="Arial"/>
          <w:b/>
          <w:lang w:val="en-US"/>
        </w:rPr>
        <w:t>Supplemental Material</w:t>
      </w:r>
    </w:p>
    <w:p w14:paraId="4BA1F9DC" w14:textId="77777777" w:rsidR="001345B2" w:rsidRDefault="001345B2" w:rsidP="001345B2">
      <w:pPr>
        <w:spacing w:line="240" w:lineRule="auto"/>
        <w:jc w:val="both"/>
        <w:rPr>
          <w:rFonts w:ascii="Arial" w:hAnsi="Arial" w:cs="Arial"/>
          <w:b/>
          <w:lang w:val="en-US"/>
        </w:rPr>
      </w:pPr>
    </w:p>
    <w:p w14:paraId="1FFB5C7E" w14:textId="77777777" w:rsidR="001345B2" w:rsidRDefault="001345B2" w:rsidP="001345B2">
      <w:pPr>
        <w:spacing w:line="240" w:lineRule="auto"/>
        <w:jc w:val="both"/>
        <w:rPr>
          <w:rFonts w:ascii="Arial" w:hAnsi="Arial" w:cs="Arial"/>
          <w:lang w:val="en-US"/>
        </w:rPr>
      </w:pPr>
      <w:r w:rsidRPr="005701AB">
        <w:rPr>
          <w:rFonts w:ascii="Arial" w:hAnsi="Arial" w:cs="Arial"/>
          <w:b/>
          <w:lang w:val="en-US"/>
        </w:rPr>
        <w:t>Supplemental Table 1</w:t>
      </w:r>
      <w:r>
        <w:rPr>
          <w:rFonts w:ascii="Arial" w:hAnsi="Arial" w:cs="Arial"/>
          <w:b/>
          <w:lang w:val="en-US"/>
        </w:rPr>
        <w:t>S</w:t>
      </w:r>
      <w:r w:rsidRPr="005701AB">
        <w:rPr>
          <w:rFonts w:ascii="Arial" w:hAnsi="Arial" w:cs="Arial"/>
          <w:b/>
          <w:lang w:val="en-US"/>
        </w:rPr>
        <w:t>.</w:t>
      </w:r>
      <w:r>
        <w:rPr>
          <w:rFonts w:ascii="Arial" w:hAnsi="Arial" w:cs="Arial"/>
          <w:b/>
          <w:lang w:val="en-US"/>
        </w:rPr>
        <w:t xml:space="preserve"> </w:t>
      </w:r>
      <w:r w:rsidRPr="009F263C">
        <w:rPr>
          <w:rFonts w:ascii="Arial" w:hAnsi="Arial" w:cs="Arial"/>
          <w:lang w:val="en-US"/>
        </w:rPr>
        <w:t>Analysis of fractions obtained during IgG antibodies preparation.</w:t>
      </w:r>
      <w:r>
        <w:rPr>
          <w:rFonts w:ascii="Arial" w:hAnsi="Arial" w:cs="Arial"/>
          <w:lang w:val="en-US"/>
        </w:rPr>
        <w:br/>
      </w:r>
      <w:r w:rsidRPr="009F263C">
        <w:rPr>
          <w:rFonts w:ascii="Arial" w:hAnsi="Arial" w:cs="Arial"/>
          <w:lang w:val="en-US"/>
        </w:rPr>
        <w:t>* calculated as the percentage of total protein content of sample before purification.</w:t>
      </w:r>
      <w:r>
        <w:rPr>
          <w:rFonts w:ascii="Arial" w:hAnsi="Arial" w:cs="Arial"/>
          <w:lang w:val="en-US"/>
        </w:rPr>
        <w:t xml:space="preserve"> </w:t>
      </w:r>
    </w:p>
    <w:p w14:paraId="09181303" w14:textId="77777777" w:rsidR="001345B2" w:rsidRPr="005D5297" w:rsidRDefault="001345B2" w:rsidP="001345B2">
      <w:pPr>
        <w:jc w:val="both"/>
        <w:rPr>
          <w:rFonts w:ascii="Arial" w:hAnsi="Arial" w:cs="Arial"/>
          <w:b/>
          <w:lang w:val="en-US"/>
        </w:rPr>
      </w:pPr>
      <w:r>
        <w:rPr>
          <w:rFonts w:ascii="Arial" w:hAnsi="Arial" w:cs="Arial"/>
          <w:b/>
          <w:lang w:val="en-US"/>
        </w:rPr>
        <w:t xml:space="preserve">Supplemental </w:t>
      </w:r>
      <w:r w:rsidRPr="00AA39A6">
        <w:rPr>
          <w:rFonts w:ascii="Arial" w:hAnsi="Arial" w:cs="Arial"/>
          <w:b/>
          <w:lang w:val="en-US"/>
        </w:rPr>
        <w:t xml:space="preserve">Table </w:t>
      </w:r>
      <w:r>
        <w:rPr>
          <w:rFonts w:ascii="Arial" w:hAnsi="Arial" w:cs="Arial"/>
          <w:b/>
          <w:lang w:val="en-US"/>
        </w:rPr>
        <w:t>2S</w:t>
      </w:r>
      <w:r w:rsidRPr="00AA39A6">
        <w:rPr>
          <w:rFonts w:ascii="Arial" w:hAnsi="Arial" w:cs="Arial"/>
          <w:b/>
          <w:lang w:val="en-US"/>
        </w:rPr>
        <w:t>.</w:t>
      </w:r>
      <w:r w:rsidRPr="00AA39A6">
        <w:rPr>
          <w:lang w:val="en-US"/>
        </w:rPr>
        <w:t xml:space="preserve"> </w:t>
      </w:r>
      <w:r w:rsidRPr="005D5297">
        <w:rPr>
          <w:rFonts w:ascii="Arial" w:hAnsi="Arial" w:cs="Arial"/>
          <w:lang w:val="en-US"/>
        </w:rPr>
        <w:t xml:space="preserve">The levels </w:t>
      </w:r>
      <w:r w:rsidRPr="00C229A3">
        <w:rPr>
          <w:rFonts w:ascii="Arial" w:hAnsi="Arial" w:cs="Arial"/>
          <w:lang w:val="en-US"/>
        </w:rPr>
        <w:t>of reactivity of selected anti-C1P serum IgG in two phases of RRMS patients: relapse (RRMS-rel) and re</w:t>
      </w:r>
      <w:r w:rsidRPr="005D5297">
        <w:rPr>
          <w:rFonts w:ascii="Arial" w:hAnsi="Arial" w:cs="Arial"/>
          <w:lang w:val="en-US"/>
        </w:rPr>
        <w:t>mission (RRMS-rem). Significant differences compared to reference groups were indicated as follows: a- inflammatory other neurological diseases (I-OND), b- non-inflammatory other neurological diseases (NI-OND), c-healthy subjects (HS). Difference between RRMS-rel and RRMS-rem was also examined and marked as d.</w:t>
      </w:r>
    </w:p>
    <w:p w14:paraId="7B9E0745" w14:textId="77777777" w:rsidR="001345B2" w:rsidRDefault="001345B2" w:rsidP="001345B2">
      <w:pPr>
        <w:jc w:val="both"/>
        <w:rPr>
          <w:rFonts w:ascii="Arial" w:eastAsia="Times New Roman" w:hAnsi="Arial" w:cs="Arial"/>
          <w:lang w:val="en-US"/>
        </w:rPr>
      </w:pPr>
      <w:r w:rsidRPr="00C229A3">
        <w:rPr>
          <w:rFonts w:ascii="Arial" w:eastAsia="Times New Roman" w:hAnsi="Arial" w:cs="Arial"/>
          <w:b/>
          <w:lang w:val="en-US"/>
        </w:rPr>
        <w:t>Supplemental Fig. 1S.</w:t>
      </w:r>
      <w:r w:rsidRPr="00C229A3">
        <w:rPr>
          <w:rFonts w:eastAsia="Times New Roman" w:cs="Arial"/>
          <w:lang w:val="en-US"/>
        </w:rPr>
        <w:t xml:space="preserve"> </w:t>
      </w:r>
      <w:r w:rsidRPr="00C229A3">
        <w:rPr>
          <w:rFonts w:ascii="Arial" w:eastAsia="Times New Roman" w:hAnsi="Arial" w:cs="Arial"/>
          <w:lang w:val="en-US"/>
        </w:rPr>
        <w:t xml:space="preserve">Reactivity of IgG purified from human serum against: </w:t>
      </w:r>
      <w:r w:rsidRPr="00C229A3">
        <w:rPr>
          <w:rFonts w:ascii="Arial" w:eastAsia="Times New Roman" w:hAnsi="Arial" w:cs="Arial"/>
          <w:b/>
          <w:lang w:val="en-US"/>
        </w:rPr>
        <w:t>A</w:t>
      </w:r>
      <w:r w:rsidRPr="00C229A3">
        <w:rPr>
          <w:rFonts w:ascii="Arial" w:eastAsia="Times New Roman" w:hAnsi="Arial" w:cs="Arial"/>
          <w:lang w:val="en-US"/>
        </w:rPr>
        <w:t xml:space="preserve">) C16:0-C1P, </w:t>
      </w:r>
      <w:r w:rsidRPr="00C229A3">
        <w:rPr>
          <w:rFonts w:ascii="Arial" w:eastAsia="Times New Roman" w:hAnsi="Arial" w:cs="Arial"/>
          <w:b/>
          <w:lang w:val="en-US"/>
        </w:rPr>
        <w:t>B</w:t>
      </w:r>
      <w:r w:rsidRPr="00C229A3">
        <w:rPr>
          <w:rFonts w:ascii="Arial" w:eastAsia="Times New Roman" w:hAnsi="Arial" w:cs="Arial"/>
          <w:lang w:val="en-US"/>
        </w:rPr>
        <w:t xml:space="preserve">) C18:0- C1P, </w:t>
      </w:r>
      <w:r w:rsidRPr="00C229A3">
        <w:rPr>
          <w:rFonts w:ascii="Arial" w:eastAsia="Times New Roman" w:hAnsi="Arial" w:cs="Arial"/>
          <w:b/>
          <w:lang w:val="en-US"/>
        </w:rPr>
        <w:t>C)</w:t>
      </w:r>
      <w:r w:rsidRPr="00C229A3">
        <w:rPr>
          <w:rFonts w:ascii="Arial" w:eastAsia="Times New Roman" w:hAnsi="Arial" w:cs="Arial"/>
          <w:lang w:val="en-US"/>
        </w:rPr>
        <w:t xml:space="preserve"> C18:1- C1P, </w:t>
      </w:r>
      <w:r w:rsidRPr="00C229A3">
        <w:rPr>
          <w:rFonts w:ascii="Arial" w:eastAsia="Times New Roman" w:hAnsi="Arial" w:cs="Arial"/>
          <w:b/>
          <w:lang w:val="en-US"/>
        </w:rPr>
        <w:t>D</w:t>
      </w:r>
      <w:r w:rsidRPr="00C229A3">
        <w:rPr>
          <w:rFonts w:ascii="Arial" w:eastAsia="Times New Roman" w:hAnsi="Arial" w:cs="Arial"/>
          <w:lang w:val="en-US"/>
        </w:rPr>
        <w:t xml:space="preserve">) C24:0- C1P and </w:t>
      </w:r>
      <w:r w:rsidRPr="00C229A3">
        <w:rPr>
          <w:rFonts w:ascii="Arial" w:eastAsia="Times New Roman" w:hAnsi="Arial" w:cs="Arial"/>
          <w:b/>
          <w:lang w:val="en-US"/>
        </w:rPr>
        <w:t>E</w:t>
      </w:r>
      <w:r w:rsidRPr="00C229A3">
        <w:rPr>
          <w:rFonts w:ascii="Arial" w:eastAsia="Times New Roman" w:hAnsi="Arial" w:cs="Arial"/>
          <w:lang w:val="en-US"/>
        </w:rPr>
        <w:t>) C24:1- C1P by ELISA test. All boxes represent the 25th–75th percentile while horizontal lines inside of the boxes point out the median (50th percentile). Whiskers extend from the boxes indicate the range of the data - minimum and maximum values, accordingly. Differences between groups of nonparametric data were determined by the Mann Whitney test u</w:t>
      </w:r>
      <w:r w:rsidRPr="001A5EA4">
        <w:rPr>
          <w:rFonts w:ascii="Arial" w:eastAsia="Times New Roman" w:hAnsi="Arial" w:cs="Arial"/>
          <w:lang w:val="en-US"/>
        </w:rPr>
        <w:t>sing GrapPad Prism 7.01. HS (n=12), RRMS-rel (n=23), RRMS-rem (n=16), I-OND (n=13), NI-OND (n=13). Abbreviations: HS</w:t>
      </w:r>
      <w:r>
        <w:rPr>
          <w:rFonts w:ascii="Arial" w:eastAsia="Times New Roman" w:hAnsi="Arial" w:cs="Arial"/>
          <w:lang w:val="en-US"/>
        </w:rPr>
        <w:t>-</w:t>
      </w:r>
      <w:r w:rsidRPr="001A5EA4">
        <w:rPr>
          <w:rFonts w:ascii="Arial" w:eastAsia="Times New Roman" w:hAnsi="Arial" w:cs="Arial"/>
          <w:lang w:val="en-US"/>
        </w:rPr>
        <w:t xml:space="preserve"> healthy subjects</w:t>
      </w:r>
      <w:r>
        <w:rPr>
          <w:rFonts w:ascii="Arial" w:eastAsia="Times New Roman" w:hAnsi="Arial" w:cs="Arial"/>
          <w:lang w:val="en-US"/>
        </w:rPr>
        <w:t>;</w:t>
      </w:r>
      <w:r w:rsidRPr="001A5EA4">
        <w:rPr>
          <w:rFonts w:ascii="Arial" w:eastAsia="Times New Roman" w:hAnsi="Arial" w:cs="Arial"/>
          <w:lang w:val="en-US"/>
        </w:rPr>
        <w:t xml:space="preserve"> I-OND</w:t>
      </w:r>
      <w:r>
        <w:rPr>
          <w:rFonts w:ascii="Arial" w:eastAsia="Times New Roman" w:hAnsi="Arial" w:cs="Arial"/>
          <w:lang w:val="en-US"/>
        </w:rPr>
        <w:t>-</w:t>
      </w:r>
      <w:r w:rsidRPr="001A5EA4">
        <w:rPr>
          <w:rFonts w:ascii="Arial" w:eastAsia="Times New Roman" w:hAnsi="Arial" w:cs="Arial"/>
          <w:lang w:val="en-US"/>
        </w:rPr>
        <w:t xml:space="preserve"> inflammatory other neurological diseases</w:t>
      </w:r>
      <w:r>
        <w:rPr>
          <w:rFonts w:ascii="Arial" w:eastAsia="Times New Roman" w:hAnsi="Arial" w:cs="Arial"/>
          <w:lang w:val="en-US"/>
        </w:rPr>
        <w:t>;</w:t>
      </w:r>
      <w:r w:rsidRPr="001A5EA4">
        <w:rPr>
          <w:rFonts w:ascii="Arial" w:eastAsia="Times New Roman" w:hAnsi="Arial" w:cs="Arial"/>
          <w:lang w:val="en-US"/>
        </w:rPr>
        <w:t xml:space="preserve"> NI-OND</w:t>
      </w:r>
      <w:r>
        <w:rPr>
          <w:rFonts w:ascii="Arial" w:eastAsia="Times New Roman" w:hAnsi="Arial" w:cs="Arial"/>
          <w:lang w:val="en-US"/>
        </w:rPr>
        <w:t>-</w:t>
      </w:r>
      <w:r w:rsidRPr="001A5EA4">
        <w:rPr>
          <w:rFonts w:ascii="Arial" w:eastAsia="Times New Roman" w:hAnsi="Arial" w:cs="Arial"/>
          <w:lang w:val="en-US"/>
        </w:rPr>
        <w:t xml:space="preserve"> non-inflammatory other neurological diseases</w:t>
      </w:r>
      <w:r>
        <w:rPr>
          <w:rFonts w:ascii="Arial" w:eastAsia="Times New Roman" w:hAnsi="Arial" w:cs="Arial"/>
          <w:lang w:val="en-US"/>
        </w:rPr>
        <w:t>;</w:t>
      </w:r>
      <w:r w:rsidRPr="001A5EA4">
        <w:rPr>
          <w:rFonts w:ascii="Arial" w:eastAsia="Times New Roman" w:hAnsi="Arial" w:cs="Arial"/>
          <w:lang w:val="en-US"/>
        </w:rPr>
        <w:t xml:space="preserve"> rel</w:t>
      </w:r>
      <w:r>
        <w:rPr>
          <w:rFonts w:ascii="Arial" w:eastAsia="Times New Roman" w:hAnsi="Arial" w:cs="Arial"/>
          <w:lang w:val="en-US"/>
        </w:rPr>
        <w:t>-</w:t>
      </w:r>
      <w:r w:rsidRPr="001A5EA4">
        <w:rPr>
          <w:rFonts w:ascii="Arial" w:eastAsia="Times New Roman" w:hAnsi="Arial" w:cs="Arial"/>
          <w:lang w:val="en-US"/>
        </w:rPr>
        <w:t xml:space="preserve"> relapse</w:t>
      </w:r>
      <w:r>
        <w:rPr>
          <w:rFonts w:ascii="Arial" w:eastAsia="Times New Roman" w:hAnsi="Arial" w:cs="Arial"/>
          <w:lang w:val="en-US"/>
        </w:rPr>
        <w:t>;</w:t>
      </w:r>
      <w:r w:rsidRPr="001A5EA4">
        <w:rPr>
          <w:rFonts w:ascii="Arial" w:eastAsia="Times New Roman" w:hAnsi="Arial" w:cs="Arial"/>
          <w:lang w:val="en-US"/>
        </w:rPr>
        <w:t xml:space="preserve"> rem</w:t>
      </w:r>
      <w:r>
        <w:rPr>
          <w:rFonts w:ascii="Arial" w:eastAsia="Times New Roman" w:hAnsi="Arial" w:cs="Arial"/>
          <w:lang w:val="en-US"/>
        </w:rPr>
        <w:t>-</w:t>
      </w:r>
      <w:r w:rsidRPr="001A5EA4">
        <w:rPr>
          <w:rFonts w:ascii="Arial" w:eastAsia="Times New Roman" w:hAnsi="Arial" w:cs="Arial"/>
          <w:lang w:val="en-US"/>
        </w:rPr>
        <w:t xml:space="preserve"> remission</w:t>
      </w:r>
      <w:r>
        <w:rPr>
          <w:rFonts w:ascii="Arial" w:eastAsia="Times New Roman" w:hAnsi="Arial" w:cs="Arial"/>
          <w:lang w:val="en-US"/>
        </w:rPr>
        <w:t>;</w:t>
      </w:r>
      <w:r w:rsidRPr="001A5EA4">
        <w:rPr>
          <w:rFonts w:ascii="Arial" w:eastAsia="Times New Roman" w:hAnsi="Arial" w:cs="Arial"/>
          <w:lang w:val="en-US"/>
        </w:rPr>
        <w:t xml:space="preserve"> RRMS</w:t>
      </w:r>
      <w:r>
        <w:rPr>
          <w:rFonts w:ascii="Arial" w:eastAsia="Times New Roman" w:hAnsi="Arial" w:cs="Arial"/>
          <w:lang w:val="en-US"/>
        </w:rPr>
        <w:t>-</w:t>
      </w:r>
      <w:r w:rsidRPr="001A5EA4">
        <w:rPr>
          <w:rFonts w:ascii="Arial" w:eastAsia="Times New Roman" w:hAnsi="Arial" w:cs="Arial"/>
          <w:lang w:val="en-US"/>
        </w:rPr>
        <w:t xml:space="preserve"> relapsing-remitting multiple sclerosis.</w:t>
      </w:r>
    </w:p>
    <w:p w14:paraId="7889D035" w14:textId="77777777" w:rsidR="001345B2" w:rsidRPr="005D5297" w:rsidRDefault="001345B2" w:rsidP="001345B2">
      <w:pPr>
        <w:jc w:val="both"/>
        <w:rPr>
          <w:rFonts w:ascii="Arial" w:hAnsi="Arial" w:cs="Arial"/>
          <w:lang w:val="en-US"/>
        </w:rPr>
      </w:pPr>
      <w:r w:rsidRPr="00313F7B">
        <w:rPr>
          <w:rFonts w:ascii="Arial" w:eastAsia="Times New Roman" w:hAnsi="Arial" w:cs="Arial"/>
          <w:b/>
          <w:lang w:val="en-US"/>
        </w:rPr>
        <w:t>Supplemental</w:t>
      </w:r>
      <w:r w:rsidRPr="00313F7B">
        <w:rPr>
          <w:rFonts w:ascii="Arial" w:hAnsi="Arial" w:cs="Arial"/>
          <w:b/>
          <w:lang w:val="en-US"/>
        </w:rPr>
        <w:t xml:space="preserve"> Fig. </w:t>
      </w:r>
      <w:r>
        <w:rPr>
          <w:rFonts w:ascii="Arial" w:hAnsi="Arial" w:cs="Arial"/>
          <w:b/>
          <w:lang w:val="en-US"/>
        </w:rPr>
        <w:t>2</w:t>
      </w:r>
      <w:r w:rsidRPr="00313F7B">
        <w:rPr>
          <w:rFonts w:ascii="Arial" w:hAnsi="Arial" w:cs="Arial"/>
          <w:b/>
          <w:lang w:val="en-US"/>
        </w:rPr>
        <w:t>S.</w:t>
      </w:r>
      <w:r w:rsidRPr="00313F7B">
        <w:rPr>
          <w:rFonts w:ascii="Arial" w:hAnsi="Arial" w:cs="Arial"/>
          <w:lang w:val="en-US"/>
        </w:rPr>
        <w:t xml:space="preserve"> </w:t>
      </w:r>
      <w:r w:rsidRPr="005D5297">
        <w:rPr>
          <w:rFonts w:ascii="Arial" w:hAnsi="Arial" w:cs="Arial"/>
          <w:lang w:val="en-US"/>
        </w:rPr>
        <w:t>Dendrogram of cluster analysis of serum IgG samples. The cluster analysis was performed for parameters which simultaneously comply the following criteria: they allow for the differentiation of study groups and in the ROC curve analysis had moderate or high clinical utility (AUC</w:t>
      </w:r>
      <w:r w:rsidRPr="005D5297">
        <w:rPr>
          <w:rFonts w:ascii="Arial" w:hAnsi="Arial" w:cs="Arial"/>
          <w:lang w:val="en-US"/>
        </w:rPr>
        <w:sym w:font="Symbol" w:char="F0B3"/>
      </w:r>
      <w:r w:rsidRPr="005D5297">
        <w:rPr>
          <w:rFonts w:ascii="Arial" w:hAnsi="Arial" w:cs="Arial"/>
          <w:lang w:val="en-US"/>
        </w:rPr>
        <w:t xml:space="preserve">0.769). Each serum sample is represented by a vector of four parameters: anti-C16:0-C1P, anti-C18:0-C1P, anti-C24:0-C1P and anti-C24:1-C1P. </w:t>
      </w:r>
    </w:p>
    <w:p w14:paraId="5A05820E" w14:textId="77777777" w:rsidR="001345B2" w:rsidRPr="005D5297" w:rsidRDefault="001345B2" w:rsidP="001345B2">
      <w:pPr>
        <w:jc w:val="both"/>
        <w:rPr>
          <w:rFonts w:ascii="Arial" w:hAnsi="Arial" w:cs="Arial"/>
          <w:lang w:val="en-US"/>
        </w:rPr>
      </w:pPr>
      <w:r w:rsidRPr="007F2992">
        <w:rPr>
          <w:rFonts w:ascii="Arial" w:eastAsia="Times New Roman" w:hAnsi="Arial" w:cs="Arial"/>
          <w:b/>
          <w:lang w:val="en-US"/>
        </w:rPr>
        <w:t>Supplemental</w:t>
      </w:r>
      <w:r w:rsidRPr="007F2992">
        <w:rPr>
          <w:rFonts w:ascii="Arial" w:hAnsi="Arial" w:cs="Arial"/>
          <w:b/>
          <w:lang w:val="en-US"/>
        </w:rPr>
        <w:t xml:space="preserve"> Fig. 3S. </w:t>
      </w:r>
      <w:r w:rsidRPr="005D5297">
        <w:rPr>
          <w:rFonts w:ascii="Arial" w:hAnsi="Arial" w:cs="Arial"/>
          <w:lang w:val="en-US"/>
        </w:rPr>
        <w:t xml:space="preserve">K-means clustering of serum IgG samples from RRMS, HS and OND groups. Four parameters: anti-C16:0-C1P, anti-C18:0-C1P, anti-C24:0-C1P and anti-C24:1-C1P IgG levels were taken for the analysis.  </w:t>
      </w:r>
    </w:p>
    <w:p w14:paraId="205B3638" w14:textId="77777777" w:rsidR="001345B2" w:rsidRPr="005D5297" w:rsidRDefault="001345B2" w:rsidP="001345B2">
      <w:pPr>
        <w:jc w:val="both"/>
        <w:rPr>
          <w:rFonts w:ascii="Arial" w:eastAsia="Times New Roman" w:hAnsi="Arial" w:cs="Arial"/>
          <w:lang w:val="en-US"/>
        </w:rPr>
      </w:pPr>
      <w:r w:rsidRPr="007F2992">
        <w:rPr>
          <w:rFonts w:ascii="Arial" w:eastAsia="Times New Roman" w:hAnsi="Arial" w:cs="Arial"/>
          <w:b/>
          <w:lang w:val="en-US"/>
        </w:rPr>
        <w:t>Supplemental</w:t>
      </w:r>
      <w:r w:rsidRPr="007F2992">
        <w:rPr>
          <w:rFonts w:ascii="Arial" w:hAnsi="Arial" w:cs="Arial"/>
          <w:b/>
          <w:lang w:val="en-US"/>
        </w:rPr>
        <w:t xml:space="preserve"> Fig. 4S.</w:t>
      </w:r>
      <w:r w:rsidRPr="007F2992">
        <w:rPr>
          <w:rFonts w:ascii="Arial" w:eastAsia="Times New Roman" w:hAnsi="Arial" w:cs="Arial"/>
          <w:b/>
          <w:lang w:val="en-US"/>
        </w:rPr>
        <w:t xml:space="preserve"> </w:t>
      </w:r>
      <w:r w:rsidRPr="005D5297">
        <w:rPr>
          <w:rFonts w:ascii="Arial" w:eastAsia="Times New Roman" w:hAnsi="Arial" w:cs="Arial"/>
          <w:lang w:val="en-US"/>
        </w:rPr>
        <w:t xml:space="preserve">Heat map showing distribution of selected anti-C1P IgG levels in the subjects examined. </w:t>
      </w:r>
    </w:p>
    <w:p w14:paraId="663BC1BB" w14:textId="77777777" w:rsidR="001345B2" w:rsidRPr="005D5297" w:rsidRDefault="001345B2" w:rsidP="001345B2">
      <w:pPr>
        <w:jc w:val="both"/>
        <w:rPr>
          <w:rFonts w:ascii="Arial" w:hAnsi="Arial" w:cs="Arial"/>
          <w:b/>
          <w:lang w:val="en-US"/>
        </w:rPr>
      </w:pPr>
      <w:r w:rsidRPr="007F2992">
        <w:rPr>
          <w:rFonts w:ascii="Arial" w:eastAsia="Times New Roman" w:hAnsi="Arial" w:cs="Arial"/>
          <w:b/>
          <w:lang w:val="en-US"/>
        </w:rPr>
        <w:t>Supplemental</w:t>
      </w:r>
      <w:r w:rsidRPr="007F2992">
        <w:rPr>
          <w:rFonts w:ascii="Arial" w:hAnsi="Arial" w:cs="Arial"/>
          <w:b/>
          <w:lang w:val="en-US"/>
        </w:rPr>
        <w:t xml:space="preserve"> Fig. 5S.</w:t>
      </w:r>
      <w:r w:rsidRPr="007F2992">
        <w:rPr>
          <w:rFonts w:ascii="Arial" w:hAnsi="Arial" w:cs="Arial"/>
          <w:lang w:val="en-US"/>
        </w:rPr>
        <w:t xml:space="preserve"> </w:t>
      </w:r>
      <w:r w:rsidRPr="005D5297">
        <w:rPr>
          <w:rFonts w:ascii="Arial" w:hAnsi="Arial" w:cs="Arial"/>
          <w:lang w:val="en-US"/>
        </w:rPr>
        <w:t>K-means clustering of serum IgG samples from RRMS and HS groups. Two parameters: anti-C18:0-C1P and anti-C24:1-C1P IgG levels were taken for the analysis.</w:t>
      </w:r>
    </w:p>
    <w:p w14:paraId="1D841667" w14:textId="77777777" w:rsidR="001345B2" w:rsidRPr="005D5297" w:rsidRDefault="001345B2" w:rsidP="001345B2">
      <w:pPr>
        <w:jc w:val="both"/>
        <w:rPr>
          <w:rFonts w:ascii="Arial" w:hAnsi="Arial" w:cs="Arial"/>
          <w:lang w:val="en-US"/>
        </w:rPr>
      </w:pPr>
      <w:r w:rsidRPr="00AB3A14">
        <w:rPr>
          <w:rFonts w:ascii="Arial" w:eastAsia="Times New Roman" w:hAnsi="Arial" w:cs="Arial"/>
          <w:b/>
          <w:lang w:val="en-US"/>
        </w:rPr>
        <w:t>Supplemental</w:t>
      </w:r>
      <w:r w:rsidRPr="00AB3A14">
        <w:rPr>
          <w:rFonts w:ascii="Arial" w:hAnsi="Arial" w:cs="Arial"/>
          <w:b/>
          <w:lang w:val="en-US"/>
        </w:rPr>
        <w:t xml:space="preserve"> Fig. 6S. </w:t>
      </w:r>
      <w:r w:rsidRPr="005D5297">
        <w:rPr>
          <w:rFonts w:ascii="Arial" w:hAnsi="Arial" w:cs="Arial"/>
          <w:lang w:val="en-US"/>
        </w:rPr>
        <w:t xml:space="preserve">K-means clustering of serum IgG samples from RRMS and OND groups. Two parameters: anti-C16:0-C1P and anti-C24:0-C1P IgG levels were taken for the analysis. </w:t>
      </w:r>
    </w:p>
    <w:p w14:paraId="6F5C1D5F" w14:textId="77777777" w:rsidR="001345B2" w:rsidRDefault="001345B2" w:rsidP="001345B2">
      <w:pPr>
        <w:jc w:val="both"/>
        <w:rPr>
          <w:rFonts w:ascii="Arial" w:eastAsia="Times New Roman" w:hAnsi="Arial" w:cs="Arial"/>
          <w:lang w:val="en-US"/>
        </w:rPr>
      </w:pPr>
      <w:r w:rsidRPr="00E81D01">
        <w:rPr>
          <w:rFonts w:ascii="Arial" w:hAnsi="Arial" w:cs="Arial"/>
          <w:b/>
          <w:lang w:val="en-US"/>
        </w:rPr>
        <w:t>Supplemental Fig. S</w:t>
      </w:r>
      <w:r>
        <w:rPr>
          <w:rFonts w:ascii="Arial" w:hAnsi="Arial" w:cs="Arial"/>
          <w:b/>
          <w:lang w:val="en-US"/>
        </w:rPr>
        <w:t>7</w:t>
      </w:r>
      <w:r w:rsidRPr="00E81D01">
        <w:rPr>
          <w:rFonts w:ascii="Arial" w:hAnsi="Arial" w:cs="Arial"/>
          <w:b/>
          <w:lang w:val="en-US"/>
        </w:rPr>
        <w:t xml:space="preserve">. </w:t>
      </w:r>
      <w:r w:rsidRPr="005D5297">
        <w:rPr>
          <w:rFonts w:ascii="Arial" w:eastAsia="Times New Roman" w:hAnsi="Arial" w:cs="Arial"/>
          <w:lang w:val="en-US"/>
        </w:rPr>
        <w:t xml:space="preserve">Correlation of serum anti-C16:0-C1P (panels </w:t>
      </w:r>
      <w:r w:rsidRPr="001A5EA4">
        <w:rPr>
          <w:rFonts w:ascii="Arial" w:eastAsia="Times New Roman" w:hAnsi="Arial" w:cs="Arial"/>
          <w:b/>
          <w:lang w:val="en-US"/>
        </w:rPr>
        <w:t>A-C</w:t>
      </w:r>
      <w:r w:rsidRPr="005D5297">
        <w:rPr>
          <w:rFonts w:ascii="Arial" w:eastAsia="Times New Roman" w:hAnsi="Arial" w:cs="Arial"/>
          <w:lang w:val="en-US"/>
        </w:rPr>
        <w:t xml:space="preserve">), anti-C18:0-C1P (panels </w:t>
      </w:r>
      <w:r w:rsidRPr="001A5EA4">
        <w:rPr>
          <w:rFonts w:ascii="Arial" w:eastAsia="Times New Roman" w:hAnsi="Arial" w:cs="Arial"/>
          <w:b/>
          <w:lang w:val="en-US"/>
        </w:rPr>
        <w:t>D-F</w:t>
      </w:r>
      <w:r w:rsidRPr="005D5297">
        <w:rPr>
          <w:rFonts w:ascii="Arial" w:eastAsia="Times New Roman" w:hAnsi="Arial" w:cs="Arial"/>
          <w:lang w:val="en-US"/>
        </w:rPr>
        <w:t xml:space="preserve">), anti-C18:1-C1P (panels </w:t>
      </w:r>
      <w:r w:rsidRPr="001A5EA4">
        <w:rPr>
          <w:rFonts w:ascii="Arial" w:eastAsia="Times New Roman" w:hAnsi="Arial" w:cs="Arial"/>
          <w:b/>
          <w:lang w:val="en-US"/>
        </w:rPr>
        <w:t>G-J</w:t>
      </w:r>
      <w:r w:rsidRPr="005D5297">
        <w:rPr>
          <w:rFonts w:ascii="Arial" w:eastAsia="Times New Roman" w:hAnsi="Arial" w:cs="Arial"/>
          <w:lang w:val="en-US"/>
        </w:rPr>
        <w:t xml:space="preserve">), anti-C24:0-C1P (panels </w:t>
      </w:r>
      <w:r w:rsidRPr="001A5EA4">
        <w:rPr>
          <w:rFonts w:ascii="Arial" w:eastAsia="Times New Roman" w:hAnsi="Arial" w:cs="Arial"/>
          <w:b/>
          <w:lang w:val="en-US"/>
        </w:rPr>
        <w:t>J-L</w:t>
      </w:r>
      <w:r w:rsidRPr="005D5297">
        <w:rPr>
          <w:rFonts w:ascii="Arial" w:eastAsia="Times New Roman" w:hAnsi="Arial" w:cs="Arial"/>
          <w:lang w:val="en-US"/>
        </w:rPr>
        <w:t xml:space="preserve">) and anti-C24:1-C1P (panels </w:t>
      </w:r>
      <w:r w:rsidRPr="001A5EA4">
        <w:rPr>
          <w:rFonts w:ascii="Arial" w:eastAsia="Times New Roman" w:hAnsi="Arial" w:cs="Arial"/>
          <w:b/>
          <w:lang w:val="en-US"/>
        </w:rPr>
        <w:t>M-O</w:t>
      </w:r>
      <w:r w:rsidRPr="005D5297">
        <w:rPr>
          <w:rFonts w:ascii="Arial" w:eastAsia="Times New Roman" w:hAnsi="Arial" w:cs="Arial"/>
          <w:lang w:val="en-US"/>
        </w:rPr>
        <w:t xml:space="preserve">) IgG derived from patients with RRMS with clinical parameters. Clinical variables included: disease duration (panels </w:t>
      </w:r>
      <w:r w:rsidRPr="001A5EA4">
        <w:rPr>
          <w:rFonts w:ascii="Arial" w:eastAsia="Times New Roman" w:hAnsi="Arial" w:cs="Arial"/>
          <w:b/>
          <w:lang w:val="en-US"/>
        </w:rPr>
        <w:t>A, D, G, J</w:t>
      </w:r>
      <w:r w:rsidRPr="005D5297">
        <w:rPr>
          <w:rFonts w:ascii="Arial" w:eastAsia="Times New Roman" w:hAnsi="Arial" w:cs="Arial"/>
          <w:lang w:val="en-US"/>
        </w:rPr>
        <w:t xml:space="preserve"> and </w:t>
      </w:r>
      <w:r w:rsidRPr="001A5EA4">
        <w:rPr>
          <w:rFonts w:ascii="Arial" w:eastAsia="Times New Roman" w:hAnsi="Arial" w:cs="Arial"/>
          <w:b/>
          <w:lang w:val="en-US"/>
        </w:rPr>
        <w:t>M</w:t>
      </w:r>
      <w:r w:rsidRPr="005D5297">
        <w:rPr>
          <w:rFonts w:ascii="Arial" w:eastAsia="Times New Roman" w:hAnsi="Arial" w:cs="Arial"/>
          <w:lang w:val="en-US"/>
        </w:rPr>
        <w:t xml:space="preserve">), EDSS (panels </w:t>
      </w:r>
      <w:r w:rsidRPr="001A5EA4">
        <w:rPr>
          <w:rFonts w:ascii="Arial" w:eastAsia="Times New Roman" w:hAnsi="Arial" w:cs="Arial"/>
          <w:b/>
          <w:lang w:val="en-US"/>
        </w:rPr>
        <w:t>B, E, H, K</w:t>
      </w:r>
      <w:r w:rsidRPr="005D5297">
        <w:rPr>
          <w:rFonts w:ascii="Arial" w:eastAsia="Times New Roman" w:hAnsi="Arial" w:cs="Arial"/>
          <w:lang w:val="en-US"/>
        </w:rPr>
        <w:t xml:space="preserve"> and </w:t>
      </w:r>
      <w:r w:rsidRPr="001A5EA4">
        <w:rPr>
          <w:rFonts w:ascii="Arial" w:eastAsia="Times New Roman" w:hAnsi="Arial" w:cs="Arial"/>
          <w:b/>
          <w:lang w:val="en-US"/>
        </w:rPr>
        <w:t>N</w:t>
      </w:r>
      <w:r w:rsidRPr="005D5297">
        <w:rPr>
          <w:rFonts w:ascii="Arial" w:eastAsia="Times New Roman" w:hAnsi="Arial" w:cs="Arial"/>
          <w:lang w:val="en-US"/>
        </w:rPr>
        <w:t xml:space="preserve">) and Link index (panels </w:t>
      </w:r>
      <w:r w:rsidRPr="001A5EA4">
        <w:rPr>
          <w:rFonts w:ascii="Arial" w:eastAsia="Times New Roman" w:hAnsi="Arial" w:cs="Arial"/>
          <w:b/>
          <w:lang w:val="en-US"/>
        </w:rPr>
        <w:t>C, F, I, L</w:t>
      </w:r>
      <w:r w:rsidRPr="005D5297">
        <w:rPr>
          <w:rFonts w:ascii="Arial" w:eastAsia="Times New Roman" w:hAnsi="Arial" w:cs="Arial"/>
          <w:lang w:val="en-US"/>
        </w:rPr>
        <w:t xml:space="preserve"> and </w:t>
      </w:r>
      <w:r w:rsidRPr="00C74097">
        <w:rPr>
          <w:rFonts w:ascii="Arial" w:eastAsia="Times New Roman" w:hAnsi="Arial" w:cs="Arial"/>
          <w:b/>
          <w:lang w:val="en-US"/>
        </w:rPr>
        <w:t>O</w:t>
      </w:r>
      <w:r w:rsidRPr="005D5297">
        <w:rPr>
          <w:rFonts w:ascii="Arial" w:eastAsia="Times New Roman" w:hAnsi="Arial" w:cs="Arial"/>
          <w:lang w:val="en-US"/>
        </w:rPr>
        <w:t>). Statistical significance (p value) with appropriate Spearman’s correlation coefficient predictor (r value) was provided. Abbreviations: C1P</w:t>
      </w:r>
      <w:r>
        <w:rPr>
          <w:rFonts w:ascii="Arial" w:eastAsia="Times New Roman" w:hAnsi="Arial" w:cs="Arial"/>
          <w:lang w:val="en-US"/>
        </w:rPr>
        <w:t>-</w:t>
      </w:r>
      <w:r w:rsidRPr="005D5297">
        <w:rPr>
          <w:rFonts w:ascii="Arial" w:eastAsia="Times New Roman" w:hAnsi="Arial" w:cs="Arial"/>
          <w:lang w:val="en-US"/>
        </w:rPr>
        <w:t xml:space="preserve"> </w:t>
      </w:r>
      <w:r w:rsidRPr="005D5297">
        <w:rPr>
          <w:rFonts w:ascii="Arial" w:eastAsia="Times New Roman" w:hAnsi="Arial" w:cs="Arial"/>
          <w:lang w:val="en-US"/>
        </w:rPr>
        <w:lastRenderedPageBreak/>
        <w:t>ceramide-1-phosphate</w:t>
      </w:r>
      <w:r>
        <w:rPr>
          <w:rFonts w:ascii="Arial" w:eastAsia="Times New Roman" w:hAnsi="Arial" w:cs="Arial"/>
          <w:lang w:val="en-US"/>
        </w:rPr>
        <w:t>;</w:t>
      </w:r>
      <w:r w:rsidRPr="005D5297">
        <w:rPr>
          <w:rFonts w:ascii="Arial" w:eastAsia="Times New Roman" w:hAnsi="Arial" w:cs="Arial"/>
          <w:lang w:val="en-US"/>
        </w:rPr>
        <w:t xml:space="preserve"> EDSS</w:t>
      </w:r>
      <w:r>
        <w:rPr>
          <w:rFonts w:ascii="Arial" w:eastAsia="Times New Roman" w:hAnsi="Arial" w:cs="Arial"/>
          <w:lang w:val="en-US"/>
        </w:rPr>
        <w:t>-</w:t>
      </w:r>
      <w:r w:rsidRPr="005D5297">
        <w:rPr>
          <w:rFonts w:ascii="Arial" w:eastAsia="Times New Roman" w:hAnsi="Arial" w:cs="Arial"/>
          <w:lang w:val="en-US"/>
        </w:rPr>
        <w:t xml:space="preserve"> </w:t>
      </w:r>
      <w:r>
        <w:rPr>
          <w:rFonts w:ascii="Arial" w:eastAsia="Times New Roman" w:hAnsi="Arial" w:cs="Arial"/>
          <w:lang w:val="en-US"/>
        </w:rPr>
        <w:t>E</w:t>
      </w:r>
      <w:r w:rsidRPr="005D5297">
        <w:rPr>
          <w:rFonts w:ascii="Arial" w:eastAsia="Times New Roman" w:hAnsi="Arial" w:cs="Arial"/>
          <w:lang w:val="en-US"/>
        </w:rPr>
        <w:t xml:space="preserve">xpanded </w:t>
      </w:r>
      <w:r>
        <w:rPr>
          <w:rFonts w:ascii="Arial" w:eastAsia="Times New Roman" w:hAnsi="Arial" w:cs="Arial"/>
          <w:lang w:val="en-US"/>
        </w:rPr>
        <w:t>D</w:t>
      </w:r>
      <w:r w:rsidRPr="005D5297">
        <w:rPr>
          <w:rFonts w:ascii="Arial" w:eastAsia="Times New Roman" w:hAnsi="Arial" w:cs="Arial"/>
          <w:lang w:val="en-US"/>
        </w:rPr>
        <w:t xml:space="preserve">isability </w:t>
      </w:r>
      <w:r>
        <w:rPr>
          <w:rFonts w:ascii="Arial" w:eastAsia="Times New Roman" w:hAnsi="Arial" w:cs="Arial"/>
          <w:lang w:val="en-US"/>
        </w:rPr>
        <w:t>S</w:t>
      </w:r>
      <w:r w:rsidRPr="005D5297">
        <w:rPr>
          <w:rFonts w:ascii="Arial" w:eastAsia="Times New Roman" w:hAnsi="Arial" w:cs="Arial"/>
          <w:lang w:val="en-US"/>
        </w:rPr>
        <w:t xml:space="preserve">tatus </w:t>
      </w:r>
      <w:r>
        <w:rPr>
          <w:rFonts w:ascii="Arial" w:eastAsia="Times New Roman" w:hAnsi="Arial" w:cs="Arial"/>
          <w:lang w:val="en-US"/>
        </w:rPr>
        <w:t>S</w:t>
      </w:r>
      <w:r w:rsidRPr="005D5297">
        <w:rPr>
          <w:rFonts w:ascii="Arial" w:eastAsia="Times New Roman" w:hAnsi="Arial" w:cs="Arial"/>
          <w:lang w:val="en-US"/>
        </w:rPr>
        <w:t>cale</w:t>
      </w:r>
      <w:r>
        <w:rPr>
          <w:rFonts w:ascii="Arial" w:eastAsia="Times New Roman" w:hAnsi="Arial" w:cs="Arial"/>
          <w:lang w:val="en-US"/>
        </w:rPr>
        <w:t>;</w:t>
      </w:r>
      <w:r w:rsidRPr="005D5297">
        <w:rPr>
          <w:rFonts w:ascii="Arial" w:eastAsia="Times New Roman" w:hAnsi="Arial" w:cs="Arial"/>
          <w:lang w:val="en-US"/>
        </w:rPr>
        <w:t xml:space="preserve"> RRMS</w:t>
      </w:r>
      <w:r>
        <w:rPr>
          <w:rFonts w:ascii="Arial" w:eastAsia="Times New Roman" w:hAnsi="Arial" w:cs="Arial"/>
          <w:lang w:val="en-US"/>
        </w:rPr>
        <w:t>-</w:t>
      </w:r>
      <w:r w:rsidRPr="005D5297">
        <w:rPr>
          <w:rFonts w:ascii="Arial" w:eastAsia="Times New Roman" w:hAnsi="Arial" w:cs="Arial"/>
          <w:lang w:val="en-US"/>
        </w:rPr>
        <w:t xml:space="preserve"> relapsing-remitting multiple sclerosis.</w:t>
      </w:r>
    </w:p>
    <w:p w14:paraId="0AB188F6"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5B2"/>
    <w:rsid w:val="001345B2"/>
    <w:rsid w:val="005C0D39"/>
    <w:rsid w:val="0070406C"/>
    <w:rsid w:val="00724754"/>
    <w:rsid w:val="00C321FA"/>
    <w:rsid w:val="00CB5B09"/>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3219B"/>
  <w15:chartTrackingRefBased/>
  <w15:docId w15:val="{9C1D428E-44AF-48D1-AC7A-D2437216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5B2"/>
    <w:pPr>
      <w:spacing w:after="200" w:line="276" w:lineRule="auto"/>
    </w:pPr>
    <w:rPr>
      <w:kern w:val="0"/>
      <w:sz w:val="22"/>
      <w:szCs w:val="22"/>
      <w:lang w:val="pl-PL"/>
      <w14:ligatures w14:val="none"/>
    </w:rPr>
  </w:style>
  <w:style w:type="paragraph" w:styleId="Heading1">
    <w:name w:val="heading 1"/>
    <w:basedOn w:val="Normal"/>
    <w:next w:val="Normal"/>
    <w:link w:val="Heading1Char"/>
    <w:uiPriority w:val="9"/>
    <w:qFormat/>
    <w:rsid w:val="001345B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1345B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1345B2"/>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1345B2"/>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1345B2"/>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1345B2"/>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1345B2"/>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1345B2"/>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1345B2"/>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5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45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45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45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45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45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45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45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45B2"/>
    <w:rPr>
      <w:rFonts w:eastAsiaTheme="majorEastAsia" w:cstheme="majorBidi"/>
      <w:color w:val="272727" w:themeColor="text1" w:themeTint="D8"/>
    </w:rPr>
  </w:style>
  <w:style w:type="paragraph" w:styleId="Title">
    <w:name w:val="Title"/>
    <w:basedOn w:val="Normal"/>
    <w:next w:val="Normal"/>
    <w:link w:val="TitleChar"/>
    <w:uiPriority w:val="10"/>
    <w:qFormat/>
    <w:rsid w:val="001345B2"/>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1345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45B2"/>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1345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45B2"/>
    <w:pPr>
      <w:spacing w:before="160" w:after="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1345B2"/>
    <w:rPr>
      <w:i/>
      <w:iCs/>
      <w:color w:val="404040" w:themeColor="text1" w:themeTint="BF"/>
    </w:rPr>
  </w:style>
  <w:style w:type="paragraph" w:styleId="ListParagraph">
    <w:name w:val="List Paragraph"/>
    <w:basedOn w:val="Normal"/>
    <w:uiPriority w:val="34"/>
    <w:qFormat/>
    <w:rsid w:val="001345B2"/>
    <w:pPr>
      <w:spacing w:after="160"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1345B2"/>
    <w:rPr>
      <w:i/>
      <w:iCs/>
      <w:color w:val="0F4761" w:themeColor="accent1" w:themeShade="BF"/>
    </w:rPr>
  </w:style>
  <w:style w:type="paragraph" w:styleId="IntenseQuote">
    <w:name w:val="Intense Quote"/>
    <w:basedOn w:val="Normal"/>
    <w:next w:val="Normal"/>
    <w:link w:val="IntenseQuoteChar"/>
    <w:uiPriority w:val="30"/>
    <w:qFormat/>
    <w:rsid w:val="001345B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1345B2"/>
    <w:rPr>
      <w:i/>
      <w:iCs/>
      <w:color w:val="0F4761" w:themeColor="accent1" w:themeShade="BF"/>
    </w:rPr>
  </w:style>
  <w:style w:type="character" w:styleId="IntenseReference">
    <w:name w:val="Intense Reference"/>
    <w:basedOn w:val="DefaultParagraphFont"/>
    <w:uiPriority w:val="32"/>
    <w:qFormat/>
    <w:rsid w:val="001345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461</Words>
  <Characters>2766</Characters>
  <Application>Microsoft Office Word</Application>
  <DocSecurity>0</DocSecurity>
  <Lines>64</Lines>
  <Paragraphs>26</Paragraphs>
  <ScaleCrop>false</ScaleCrop>
  <Company/>
  <LinksUpToDate>false</LinksUpToDate>
  <CharactersWithSpaces>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2025-11-05T06:54:00Z</dcterms:created>
  <dcterms:modified xsi:type="dcterms:W3CDTF">2025-11-05T06:54:00Z</dcterms:modified>
</cp:coreProperties>
</file>