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4465" w14:textId="77777777" w:rsidR="005F2A41" w:rsidRPr="004543C7" w:rsidRDefault="005F2A41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Appendices</w:t>
      </w:r>
      <w:proofErr w:type="spellEnd"/>
    </w:p>
    <w:p w14:paraId="773AACC8" w14:textId="77777777" w:rsidR="005F2A41" w:rsidRPr="004543C7" w:rsidRDefault="005F2A41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Appendix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A.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Interview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Guide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Sample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Extracts</w:t>
      </w:r>
      <w:proofErr w:type="spellEnd"/>
    </w:p>
    <w:p w14:paraId="2103698C" w14:textId="77777777" w:rsidR="005F2A41" w:rsidRPr="004543C7" w:rsidRDefault="005F2A41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Development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 Tourism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System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Mandalika Region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West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Nusa Tenggara</w:t>
      </w:r>
    </w:p>
    <w:p w14:paraId="2C19A682" w14:textId="77777777" w:rsidR="005F2A41" w:rsidRPr="004543C7" w:rsidRDefault="005F2A41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Period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Field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collection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mid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-November 2022</w:t>
      </w:r>
    </w:p>
    <w:p w14:paraId="252E6A43" w14:textId="2567B6D3" w:rsidR="00924B83" w:rsidRPr="004543C7" w:rsidRDefault="005F2A41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>Data Sour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Note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The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qualitative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excerpts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below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key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stakeholders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supported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primary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survey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compiled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Kuesioner_-_Preferensi_(Jawaban).xlsx (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Sheet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coding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”).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160"/>
        <w:gridCol w:w="2484"/>
        <w:gridCol w:w="2160"/>
        <w:gridCol w:w="2802"/>
      </w:tblGrid>
      <w:tr w:rsidR="005F2A41" w:rsidRPr="004543C7" w14:paraId="713D86A3" w14:textId="77777777" w:rsidTr="005F2A41">
        <w:tc>
          <w:tcPr>
            <w:tcW w:w="2160" w:type="dxa"/>
          </w:tcPr>
          <w:p w14:paraId="02784E9A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2484" w:type="dxa"/>
          </w:tcPr>
          <w:p w14:paraId="5C6C291C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Target Respondent</w:t>
            </w:r>
          </w:p>
        </w:tc>
        <w:tc>
          <w:tcPr>
            <w:tcW w:w="2160" w:type="dxa"/>
          </w:tcPr>
          <w:p w14:paraId="3C71F5BC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Institution / Role</w:t>
            </w:r>
          </w:p>
        </w:tc>
        <w:tc>
          <w:tcPr>
            <w:tcW w:w="2802" w:type="dxa"/>
          </w:tcPr>
          <w:p w14:paraId="7AED009D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Rationale</w:t>
            </w:r>
          </w:p>
        </w:tc>
      </w:tr>
      <w:tr w:rsidR="005F2A41" w:rsidRPr="004543C7" w14:paraId="11D404CD" w14:textId="77777777" w:rsidTr="005F2A41">
        <w:tc>
          <w:tcPr>
            <w:tcW w:w="2160" w:type="dxa"/>
          </w:tcPr>
          <w:p w14:paraId="606301F1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Regional Government</w:t>
            </w:r>
          </w:p>
        </w:tc>
        <w:tc>
          <w:tcPr>
            <w:tcW w:w="2484" w:type="dxa"/>
          </w:tcPr>
          <w:p w14:paraId="514E5597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Officials from Central Lombok Tourism and Transportation Offices</w:t>
            </w:r>
          </w:p>
        </w:tc>
        <w:tc>
          <w:tcPr>
            <w:tcW w:w="2160" w:type="dxa"/>
          </w:tcPr>
          <w:p w14:paraId="45364FEE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Policy and infrastructure planning</w:t>
            </w:r>
          </w:p>
        </w:tc>
        <w:tc>
          <w:tcPr>
            <w:tcW w:w="2802" w:type="dxa"/>
          </w:tcPr>
          <w:p w14:paraId="4FA541A4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 understand public policy frameworks and investment priorities</w:t>
            </w:r>
          </w:p>
        </w:tc>
      </w:tr>
      <w:tr w:rsidR="005F2A41" w:rsidRPr="004543C7" w14:paraId="20177407" w14:textId="77777777" w:rsidTr="005F2A41">
        <w:tc>
          <w:tcPr>
            <w:tcW w:w="2160" w:type="dxa"/>
          </w:tcPr>
          <w:p w14:paraId="0DC8E63F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Village Government</w:t>
            </w:r>
          </w:p>
        </w:tc>
        <w:tc>
          <w:tcPr>
            <w:tcW w:w="2484" w:type="dxa"/>
          </w:tcPr>
          <w:p w14:paraId="6F35B415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Head of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Bilebante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Village</w:t>
            </w:r>
          </w:p>
        </w:tc>
        <w:tc>
          <w:tcPr>
            <w:tcW w:w="2160" w:type="dxa"/>
          </w:tcPr>
          <w:p w14:paraId="7A4A887B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Local coordination</w:t>
            </w:r>
          </w:p>
        </w:tc>
        <w:tc>
          <w:tcPr>
            <w:tcW w:w="2802" w:type="dxa"/>
          </w:tcPr>
          <w:p w14:paraId="1862C475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 capture integration between village programs and regional tourism planning</w:t>
            </w:r>
          </w:p>
        </w:tc>
      </w:tr>
      <w:tr w:rsidR="005F2A41" w:rsidRPr="004543C7" w14:paraId="66771152" w14:textId="77777777" w:rsidTr="005F2A41">
        <w:tc>
          <w:tcPr>
            <w:tcW w:w="2160" w:type="dxa"/>
          </w:tcPr>
          <w:p w14:paraId="3ECAFADF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Community Tourism Group (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Pokdarwis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84" w:type="dxa"/>
          </w:tcPr>
          <w:p w14:paraId="0C071E0C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Chairperson and active members of 'Jari Sholah'</w:t>
            </w:r>
          </w:p>
        </w:tc>
        <w:tc>
          <w:tcPr>
            <w:tcW w:w="2160" w:type="dxa"/>
          </w:tcPr>
          <w:p w14:paraId="08186E75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Local tourism implementers</w:t>
            </w:r>
          </w:p>
        </w:tc>
        <w:tc>
          <w:tcPr>
            <w:tcW w:w="2802" w:type="dxa"/>
          </w:tcPr>
          <w:p w14:paraId="2C52258B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Insights into operational practices and local participation</w:t>
            </w:r>
          </w:p>
        </w:tc>
      </w:tr>
      <w:tr w:rsidR="005F2A41" w:rsidRPr="004543C7" w14:paraId="76200C54" w14:textId="77777777" w:rsidTr="005F2A41">
        <w:tc>
          <w:tcPr>
            <w:tcW w:w="2160" w:type="dxa"/>
          </w:tcPr>
          <w:p w14:paraId="00E0701A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Tourism Transport Operators</w:t>
            </w:r>
          </w:p>
        </w:tc>
        <w:tc>
          <w:tcPr>
            <w:tcW w:w="2484" w:type="dxa"/>
          </w:tcPr>
          <w:p w14:paraId="3D394BD8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Drivers, shuttle owners, local rental service providers</w:t>
            </w:r>
          </w:p>
        </w:tc>
        <w:tc>
          <w:tcPr>
            <w:tcW w:w="2160" w:type="dxa"/>
          </w:tcPr>
          <w:p w14:paraId="5A1F725D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Transport providers</w:t>
            </w:r>
          </w:p>
        </w:tc>
        <w:tc>
          <w:tcPr>
            <w:tcW w:w="2802" w:type="dxa"/>
          </w:tcPr>
          <w:p w14:paraId="03733760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Experience in mobility management and service challenges</w:t>
            </w:r>
          </w:p>
        </w:tc>
      </w:tr>
      <w:tr w:rsidR="005F2A41" w:rsidRPr="004543C7" w14:paraId="7B7EEACB" w14:textId="77777777" w:rsidTr="005F2A41">
        <w:tc>
          <w:tcPr>
            <w:tcW w:w="2160" w:type="dxa"/>
          </w:tcPr>
          <w:p w14:paraId="4685E408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 / Visitors</w:t>
            </w:r>
          </w:p>
        </w:tc>
        <w:tc>
          <w:tcPr>
            <w:tcW w:w="2484" w:type="dxa"/>
          </w:tcPr>
          <w:p w14:paraId="1989E7F1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Domestic and international travelers</w:t>
            </w:r>
          </w:p>
        </w:tc>
        <w:tc>
          <w:tcPr>
            <w:tcW w:w="2160" w:type="dxa"/>
          </w:tcPr>
          <w:p w14:paraId="5A93C4A4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Service users</w:t>
            </w:r>
          </w:p>
        </w:tc>
        <w:tc>
          <w:tcPr>
            <w:tcW w:w="2802" w:type="dxa"/>
          </w:tcPr>
          <w:p w14:paraId="71EBBB57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Perceptions of accessibility, digital information, and satisfaction</w:t>
            </w:r>
          </w:p>
        </w:tc>
      </w:tr>
      <w:tr w:rsidR="005F2A41" w:rsidRPr="004543C7" w14:paraId="3CEBC157" w14:textId="77777777" w:rsidTr="005F2A41">
        <w:tc>
          <w:tcPr>
            <w:tcW w:w="2160" w:type="dxa"/>
          </w:tcPr>
          <w:p w14:paraId="4F02670E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Partner Institutions</w:t>
            </w:r>
          </w:p>
        </w:tc>
        <w:tc>
          <w:tcPr>
            <w:tcW w:w="2484" w:type="dxa"/>
          </w:tcPr>
          <w:p w14:paraId="2A3860EC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Universities, NGOs, private sectors</w:t>
            </w:r>
          </w:p>
        </w:tc>
        <w:tc>
          <w:tcPr>
            <w:tcW w:w="2160" w:type="dxa"/>
          </w:tcPr>
          <w:p w14:paraId="4FEB1999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Supporting institutions</w:t>
            </w:r>
          </w:p>
        </w:tc>
        <w:tc>
          <w:tcPr>
            <w:tcW w:w="2802" w:type="dxa"/>
          </w:tcPr>
          <w:p w14:paraId="0941D096" w14:textId="77777777" w:rsidR="005F2A41" w:rsidRPr="004543C7" w:rsidRDefault="005F2A41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Collaboration and technology transfer roles</w:t>
            </w:r>
          </w:p>
        </w:tc>
      </w:tr>
    </w:tbl>
    <w:p w14:paraId="288E9F0C" w14:textId="77777777" w:rsidR="005F2A41" w:rsidRPr="004543C7" w:rsidRDefault="005F2A41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74CBC6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Sample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Interview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Extracts</w:t>
      </w:r>
      <w:proofErr w:type="spellEnd"/>
    </w:p>
    <w:p w14:paraId="75BA3E52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Excerpt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1 –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Tourism Group (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Pokdarwis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4F5D65D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Tania (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), November 2022,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Bilebante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Village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Central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Lombok.</w:t>
      </w:r>
    </w:p>
    <w:p w14:paraId="662D69F3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improvement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influenced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Bilebante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(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Pokdarwis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): “After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repairs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were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completed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visitors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increased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 lot.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Many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come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rental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cars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motorcycles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Mandalika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Mataram,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helps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homestays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food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vendors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77468A02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kind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coordination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government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office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“We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regularly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coordinate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Tourism Office,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especially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MotoGP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festivals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They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assist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scheduling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shuttle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services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promote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routes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Google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regency’s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website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68295CCB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digitalisation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affected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promotion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: “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Digitalisation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changed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promote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Bilebante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We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Instagram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daily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updates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Pokdarwis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account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often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tagged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Tourism Office.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members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were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trained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upload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locations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Google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share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QR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codes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visitors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15D9D182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Are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challenges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managing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community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: “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Fuel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maintenance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costs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still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but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because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visibility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digital media has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grown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get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visitors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often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say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media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government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websites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60472212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Additional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probing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questions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:</w:t>
      </w:r>
    </w:p>
    <w:p w14:paraId="23F2EF12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online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promotions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reflect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actual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visitor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numbers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</w:p>
    <w:p w14:paraId="39CA59E9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Are digital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tools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Google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Instagram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integrated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Pokdarwis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’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routine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planning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</w:p>
    <w:p w14:paraId="22E8075A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6EDB04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Excerpt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2 – Tourism Transport Operator</w:t>
      </w:r>
    </w:p>
    <w:p w14:paraId="49D501B1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Tania (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), November 2022, Praya,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Central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Lombok.</w:t>
      </w:r>
    </w:p>
    <w:p w14:paraId="0BAEC9F5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mobility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around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Mandalika?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Driver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): “We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connect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airport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Mandalika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Circuit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nearby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villages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Bilebante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Many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contact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directly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via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seeing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posts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Tourism Office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Pokdarwis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accounts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4B8669A3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Do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digital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tools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“Yes, Google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Waze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essential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route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planning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We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share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live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attended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digital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training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Tourism Office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learn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update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routes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add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online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7E8F5D70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has digital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promotion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affected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business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: “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helps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 lot. The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government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posts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contacts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website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media.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feature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routes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bookings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increase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—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especially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weekends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events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5D009FFA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challenges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face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“The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signal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isn’t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always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strong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sometimes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get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outdated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info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online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If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were 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single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digital platform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make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coordination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much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easier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7C061142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Additional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probing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questions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:</w:t>
      </w:r>
    </w:p>
    <w:p w14:paraId="0FD11035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monitor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demand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online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channels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</w:p>
    <w:p w14:paraId="62678536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improvements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suggest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government-led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digital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</w:p>
    <w:p w14:paraId="386E5F28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542A4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lastRenderedPageBreak/>
        <w:t>Excerpt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3 –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Tourist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Visitor</w:t>
      </w:r>
      <w:proofErr w:type="spellEnd"/>
    </w:p>
    <w:p w14:paraId="651A87DC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Tania (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), November 2022, Mandalika Tourism Area.</w:t>
      </w:r>
    </w:p>
    <w:p w14:paraId="45DAED8B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experience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traveling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nearby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destinations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Bilebante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Domestic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): “The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good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easy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follow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Google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Maps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were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few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signs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but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route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clear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were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helpful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7AD7D98A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online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resources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trip?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“Yes, I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official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‘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Explore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Lombok’ Instagram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page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saw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videos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promoting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eco-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Bilebante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That’s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decided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visit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45C1807D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evaluate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services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: “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It’s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quite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comfortable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though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public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organised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great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travel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options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were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listed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website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app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2B6B10E8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Tania: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improvements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suggest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digital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promotion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?</w:t>
      </w:r>
      <w:r w:rsidRPr="004543C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Respondent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: “More QR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codes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updated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links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media.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government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websites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feature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direct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contact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info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drivers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Pokdarwis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.”</w:t>
      </w:r>
    </w:p>
    <w:p w14:paraId="4574516C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47E78" w14:textId="77777777" w:rsidR="004543C7" w:rsidRPr="004543C7" w:rsidRDefault="004543C7" w:rsidP="00454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All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interviews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were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conducted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in Bahasa Indonesia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translated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into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English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for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analysis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NVivo-assisted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thematic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coding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identified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five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major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themes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accessibility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digitalisation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coordination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community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participation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tourist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experience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. The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authors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restructured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synthesised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interview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narratives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align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them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with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analytical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perspective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journal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article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particularly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emphasise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dimension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digitalisation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local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governance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practice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Supporting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evidence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digitalisation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promotion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efforts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can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be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verified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accompanying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Excel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dataset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LPPD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online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media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managed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by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Central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Lombok Regency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Government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Bilebante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i/>
          <w:iCs/>
          <w:sz w:val="20"/>
          <w:szCs w:val="20"/>
        </w:rPr>
        <w:t>actors</w:t>
      </w:r>
      <w:proofErr w:type="spellEnd"/>
      <w:r w:rsidRPr="004543C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543C7">
        <w:rPr>
          <w:rFonts w:ascii="Times New Roman" w:hAnsi="Times New Roman" w:cs="Times New Roman"/>
          <w:sz w:val="20"/>
          <w:szCs w:val="20"/>
        </w:rPr>
        <w:br/>
      </w:r>
    </w:p>
    <w:p w14:paraId="1C547A18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FF9144" w14:textId="6FDC9C8B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Appendix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B.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Coding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Framework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Thematic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Analysis</w:t>
      </w:r>
      <w:proofErr w:type="spellEnd"/>
      <w:r w:rsidRPr="004543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809"/>
        <w:gridCol w:w="1728"/>
        <w:gridCol w:w="2383"/>
        <w:gridCol w:w="1728"/>
        <w:gridCol w:w="2099"/>
      </w:tblGrid>
      <w:tr w:rsidR="004543C7" w:rsidRPr="004543C7" w14:paraId="5D3BEF69" w14:textId="77777777" w:rsidTr="004543C7">
        <w:tc>
          <w:tcPr>
            <w:tcW w:w="1809" w:type="dxa"/>
          </w:tcPr>
          <w:p w14:paraId="53ECA7DF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Theme</w:t>
            </w:r>
          </w:p>
        </w:tc>
        <w:tc>
          <w:tcPr>
            <w:tcW w:w="1728" w:type="dxa"/>
          </w:tcPr>
          <w:p w14:paraId="38F1085A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Sub-theme</w:t>
            </w:r>
          </w:p>
        </w:tc>
        <w:tc>
          <w:tcPr>
            <w:tcW w:w="2383" w:type="dxa"/>
          </w:tcPr>
          <w:p w14:paraId="11DA4595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Representative Code / Survey Variable (from Excel – Sheet 'coding')</w:t>
            </w:r>
          </w:p>
        </w:tc>
        <w:tc>
          <w:tcPr>
            <w:tcW w:w="1728" w:type="dxa"/>
          </w:tcPr>
          <w:p w14:paraId="7DAC1348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Source (Respondent Type)</w:t>
            </w:r>
          </w:p>
        </w:tc>
        <w:tc>
          <w:tcPr>
            <w:tcW w:w="2099" w:type="dxa"/>
          </w:tcPr>
          <w:p w14:paraId="4D6CAD2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Interpretation / Supporting Evidence</w:t>
            </w:r>
          </w:p>
        </w:tc>
      </w:tr>
      <w:tr w:rsidR="004543C7" w:rsidRPr="004543C7" w14:paraId="383D0A90" w14:textId="77777777" w:rsidTr="004543C7">
        <w:tc>
          <w:tcPr>
            <w:tcW w:w="1809" w:type="dxa"/>
          </w:tcPr>
          <w:p w14:paraId="5F5C701A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Accessibility and Connectivity</w:t>
            </w:r>
          </w:p>
        </w:tc>
        <w:tc>
          <w:tcPr>
            <w:tcW w:w="1728" w:type="dxa"/>
          </w:tcPr>
          <w:p w14:paraId="784570EE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Ease</w:t>
            </w:r>
            <w:proofErr w:type="gram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of travel to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Mandalika</w:t>
            </w:r>
            <w:proofErr w:type="spellEnd"/>
          </w:p>
        </w:tc>
        <w:tc>
          <w:tcPr>
            <w:tcW w:w="2383" w:type="dxa"/>
          </w:tcPr>
          <w:p w14:paraId="1B0A525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Aksesibilitas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kemudahan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untuk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perjalanan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menuju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lokasi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Mandalika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? (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mayoritas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'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Mudah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' – 'Agak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mudah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')</w:t>
            </w:r>
          </w:p>
        </w:tc>
        <w:tc>
          <w:tcPr>
            <w:tcW w:w="1728" w:type="dxa"/>
          </w:tcPr>
          <w:p w14:paraId="7605EBC8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</w:t>
            </w:r>
          </w:p>
        </w:tc>
        <w:tc>
          <w:tcPr>
            <w:tcW w:w="2099" w:type="dxa"/>
          </w:tcPr>
          <w:p w14:paraId="5C33547C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High accessibility encourages more independent travel using private/rental vehicles.</w:t>
            </w:r>
          </w:p>
        </w:tc>
      </w:tr>
      <w:tr w:rsidR="004543C7" w:rsidRPr="004543C7" w14:paraId="30AE4118" w14:textId="77777777" w:rsidTr="004543C7">
        <w:tc>
          <w:tcPr>
            <w:tcW w:w="1809" w:type="dxa"/>
          </w:tcPr>
          <w:p w14:paraId="18CB1746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Accessibility and Connectivity</w:t>
            </w:r>
          </w:p>
        </w:tc>
        <w:tc>
          <w:tcPr>
            <w:tcW w:w="1728" w:type="dxa"/>
          </w:tcPr>
          <w:p w14:paraId="42488D8E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Road infrastructure quality</w:t>
            </w:r>
          </w:p>
        </w:tc>
        <w:tc>
          <w:tcPr>
            <w:tcW w:w="2383" w:type="dxa"/>
          </w:tcPr>
          <w:p w14:paraId="746B521B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Kesan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jaringan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rute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jalan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menuju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lokasi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Mandalika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? (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dominan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'Baik')</w:t>
            </w:r>
          </w:p>
        </w:tc>
        <w:tc>
          <w:tcPr>
            <w:tcW w:w="1728" w:type="dxa"/>
          </w:tcPr>
          <w:p w14:paraId="5439C7A0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 / Drivers</w:t>
            </w:r>
          </w:p>
        </w:tc>
        <w:tc>
          <w:tcPr>
            <w:tcW w:w="2099" w:type="dxa"/>
          </w:tcPr>
          <w:p w14:paraId="47AC1BAB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Improved roads support tourism mobility and connect peripheral villages such as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Bilebante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43C7" w:rsidRPr="004543C7" w14:paraId="7C6B381F" w14:textId="77777777" w:rsidTr="004543C7">
        <w:tc>
          <w:tcPr>
            <w:tcW w:w="1809" w:type="dxa"/>
          </w:tcPr>
          <w:p w14:paraId="2804049F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Public Transport Condition</w:t>
            </w:r>
          </w:p>
        </w:tc>
        <w:tc>
          <w:tcPr>
            <w:tcW w:w="1728" w:type="dxa"/>
          </w:tcPr>
          <w:p w14:paraId="3D320581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Service quality – safety, comfort, speed</w:t>
            </w:r>
          </w:p>
        </w:tc>
        <w:tc>
          <w:tcPr>
            <w:tcW w:w="2383" w:type="dxa"/>
          </w:tcPr>
          <w:p w14:paraId="4309F31D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angkutan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Keamanan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Kenyamanan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Kecepatan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] ('Baik' – 'Agak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')</w:t>
            </w:r>
          </w:p>
        </w:tc>
        <w:tc>
          <w:tcPr>
            <w:tcW w:w="1728" w:type="dxa"/>
          </w:tcPr>
          <w:p w14:paraId="6FC083C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 / Operators</w:t>
            </w:r>
          </w:p>
        </w:tc>
        <w:tc>
          <w:tcPr>
            <w:tcW w:w="2099" w:type="dxa"/>
          </w:tcPr>
          <w:p w14:paraId="478CB792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Indicates partial satisfaction; quality varies with route coverage and vehicle condition.</w:t>
            </w:r>
          </w:p>
        </w:tc>
      </w:tr>
      <w:tr w:rsidR="004543C7" w:rsidRPr="004543C7" w14:paraId="24659FDB" w14:textId="77777777" w:rsidTr="004543C7">
        <w:tc>
          <w:tcPr>
            <w:tcW w:w="1809" w:type="dxa"/>
          </w:tcPr>
          <w:p w14:paraId="38550688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Public Transport Condition</w:t>
            </w:r>
          </w:p>
        </w:tc>
        <w:tc>
          <w:tcPr>
            <w:tcW w:w="1728" w:type="dxa"/>
          </w:tcPr>
          <w:p w14:paraId="30E86041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Availability and route diversity</w:t>
            </w:r>
          </w:p>
        </w:tc>
        <w:tc>
          <w:tcPr>
            <w:tcW w:w="2383" w:type="dxa"/>
          </w:tcPr>
          <w:p w14:paraId="5DC17713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Ketersediaan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angkutan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('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', 'Sangat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');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Keragaman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rute</w:t>
            </w:r>
            <w:proofErr w:type="spellEnd"/>
          </w:p>
        </w:tc>
        <w:tc>
          <w:tcPr>
            <w:tcW w:w="1728" w:type="dxa"/>
          </w:tcPr>
          <w:p w14:paraId="62020F75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</w:t>
            </w:r>
          </w:p>
        </w:tc>
        <w:tc>
          <w:tcPr>
            <w:tcW w:w="2099" w:type="dxa"/>
          </w:tcPr>
          <w:p w14:paraId="0417E981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Limited frequency and route coverage lead to preference for private modes.</w:t>
            </w:r>
          </w:p>
        </w:tc>
      </w:tr>
      <w:tr w:rsidR="004543C7" w:rsidRPr="004543C7" w14:paraId="2E3389F1" w14:textId="77777777" w:rsidTr="004543C7">
        <w:tc>
          <w:tcPr>
            <w:tcW w:w="1809" w:type="dxa"/>
          </w:tcPr>
          <w:p w14:paraId="69B24B8E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Transport Mode Preference</w:t>
            </w:r>
          </w:p>
        </w:tc>
        <w:tc>
          <w:tcPr>
            <w:tcW w:w="1728" w:type="dxa"/>
          </w:tcPr>
          <w:p w14:paraId="78096CDC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Mode selection</w:t>
            </w:r>
          </w:p>
        </w:tc>
        <w:tc>
          <w:tcPr>
            <w:tcW w:w="2383" w:type="dxa"/>
          </w:tcPr>
          <w:p w14:paraId="1CA231CE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Moda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transportasi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Bandara/Hotel/Rumah) → Mobil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sewa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&amp; motor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pribadi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dominant</w:t>
            </w:r>
          </w:p>
        </w:tc>
        <w:tc>
          <w:tcPr>
            <w:tcW w:w="1728" w:type="dxa"/>
          </w:tcPr>
          <w:p w14:paraId="155D654F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</w:t>
            </w:r>
          </w:p>
        </w:tc>
        <w:tc>
          <w:tcPr>
            <w:tcW w:w="2099" w:type="dxa"/>
          </w:tcPr>
          <w:p w14:paraId="3B044764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Shows reliance on flexible, self-arranged mobility rather than structured public transport.</w:t>
            </w:r>
          </w:p>
        </w:tc>
      </w:tr>
      <w:tr w:rsidR="004543C7" w:rsidRPr="004543C7" w14:paraId="1609E570" w14:textId="77777777" w:rsidTr="004543C7">
        <w:tc>
          <w:tcPr>
            <w:tcW w:w="1809" w:type="dxa"/>
          </w:tcPr>
          <w:p w14:paraId="0A3FA863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Transport Mode Preference</w:t>
            </w:r>
          </w:p>
        </w:tc>
        <w:tc>
          <w:tcPr>
            <w:tcW w:w="1728" w:type="dxa"/>
          </w:tcPr>
          <w:p w14:paraId="472B9C88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Motivation / reason for choice</w:t>
            </w:r>
          </w:p>
        </w:tc>
        <w:tc>
          <w:tcPr>
            <w:tcW w:w="2383" w:type="dxa"/>
          </w:tcPr>
          <w:p w14:paraId="6F20DA94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Alasan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moda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transportasi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aman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praktis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milik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sendiri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14:paraId="5A6E636A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 / Drivers</w:t>
            </w:r>
          </w:p>
        </w:tc>
        <w:tc>
          <w:tcPr>
            <w:tcW w:w="2099" w:type="dxa"/>
          </w:tcPr>
          <w:p w14:paraId="57E8B8E4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Convenience and autonomy drive transport mode decisions.</w:t>
            </w:r>
          </w:p>
        </w:tc>
      </w:tr>
      <w:tr w:rsidR="004543C7" w:rsidRPr="004543C7" w14:paraId="7F675703" w14:textId="77777777" w:rsidTr="004543C7">
        <w:tc>
          <w:tcPr>
            <w:tcW w:w="1809" w:type="dxa"/>
          </w:tcPr>
          <w:p w14:paraId="14B3AEAA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Community Participation and Coordination</w:t>
            </w:r>
          </w:p>
        </w:tc>
        <w:tc>
          <w:tcPr>
            <w:tcW w:w="1728" w:type="dxa"/>
          </w:tcPr>
          <w:p w14:paraId="4C407358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Local partnership</w:t>
            </w:r>
          </w:p>
        </w:tc>
        <w:tc>
          <w:tcPr>
            <w:tcW w:w="2383" w:type="dxa"/>
          </w:tcPr>
          <w:p w14:paraId="5F95CAA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Interview data: collaboration between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Pokdarwis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and Tourism Office for shuttle management</w:t>
            </w:r>
          </w:p>
        </w:tc>
        <w:tc>
          <w:tcPr>
            <w:tcW w:w="1728" w:type="dxa"/>
          </w:tcPr>
          <w:p w14:paraId="108CB17B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Pokdarwis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/ Government Officers</w:t>
            </w:r>
          </w:p>
        </w:tc>
        <w:tc>
          <w:tcPr>
            <w:tcW w:w="2099" w:type="dxa"/>
          </w:tcPr>
          <w:p w14:paraId="0081675F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Demonstrates bottom-up coordination aligning local initiatives with government promotion.</w:t>
            </w:r>
          </w:p>
        </w:tc>
      </w:tr>
      <w:tr w:rsidR="004543C7" w:rsidRPr="004543C7" w14:paraId="006018F7" w14:textId="77777777" w:rsidTr="004543C7">
        <w:tc>
          <w:tcPr>
            <w:tcW w:w="1809" w:type="dxa"/>
          </w:tcPr>
          <w:p w14:paraId="3A821470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Community Participation and Coordination</w:t>
            </w:r>
          </w:p>
        </w:tc>
        <w:tc>
          <w:tcPr>
            <w:tcW w:w="1728" w:type="dxa"/>
          </w:tcPr>
          <w:p w14:paraId="2B56E5EE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Benefit distribution</w:t>
            </w:r>
          </w:p>
        </w:tc>
        <w:tc>
          <w:tcPr>
            <w:tcW w:w="2383" w:type="dxa"/>
          </w:tcPr>
          <w:p w14:paraId="3FBF9BC0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Interview – economic effects on homestays and vendors</w:t>
            </w:r>
          </w:p>
        </w:tc>
        <w:tc>
          <w:tcPr>
            <w:tcW w:w="1728" w:type="dxa"/>
          </w:tcPr>
          <w:p w14:paraId="34C6E8BF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Pokdarwis</w:t>
            </w:r>
            <w:proofErr w:type="spellEnd"/>
          </w:p>
        </w:tc>
        <w:tc>
          <w:tcPr>
            <w:tcW w:w="2099" w:type="dxa"/>
          </w:tcPr>
          <w:p w14:paraId="4DDBB29D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Transport improvement and tourist influx support community income diversification.</w:t>
            </w:r>
          </w:p>
        </w:tc>
      </w:tr>
      <w:tr w:rsidR="004543C7" w:rsidRPr="004543C7" w14:paraId="3FD312CD" w14:textId="77777777" w:rsidTr="004543C7">
        <w:tc>
          <w:tcPr>
            <w:tcW w:w="1809" w:type="dxa"/>
          </w:tcPr>
          <w:p w14:paraId="01AA6CBD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Digitalisation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and Promotion</w:t>
            </w:r>
          </w:p>
        </w:tc>
        <w:tc>
          <w:tcPr>
            <w:tcW w:w="1728" w:type="dxa"/>
          </w:tcPr>
          <w:p w14:paraId="021A3A33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Online visibility and digital mapping</w:t>
            </w:r>
          </w:p>
        </w:tc>
        <w:tc>
          <w:tcPr>
            <w:tcW w:w="2383" w:type="dxa"/>
          </w:tcPr>
          <w:p w14:paraId="43376678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Interview + field note: '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Pokdarwis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members trained to upload locations on Google Maps.'</w:t>
            </w:r>
          </w:p>
        </w:tc>
        <w:tc>
          <w:tcPr>
            <w:tcW w:w="1728" w:type="dxa"/>
          </w:tcPr>
          <w:p w14:paraId="3F62ED23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Pokdarwis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/ Operators</w:t>
            </w:r>
          </w:p>
        </w:tc>
        <w:tc>
          <w:tcPr>
            <w:tcW w:w="2099" w:type="dxa"/>
          </w:tcPr>
          <w:p w14:paraId="51302A4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Reflects grassroots adaptation to digital tools for tourism promotion.</w:t>
            </w:r>
          </w:p>
        </w:tc>
      </w:tr>
      <w:tr w:rsidR="004543C7" w:rsidRPr="004543C7" w14:paraId="763E8A83" w14:textId="77777777" w:rsidTr="004543C7">
        <w:tc>
          <w:tcPr>
            <w:tcW w:w="1809" w:type="dxa"/>
          </w:tcPr>
          <w:p w14:paraId="1F852BF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Digitalisation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and Promotion</w:t>
            </w:r>
          </w:p>
        </w:tc>
        <w:tc>
          <w:tcPr>
            <w:tcW w:w="1728" w:type="dxa"/>
          </w:tcPr>
          <w:p w14:paraId="52F4BFB4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Government &amp; stakeholder digital platforms</w:t>
            </w:r>
          </w:p>
        </w:tc>
        <w:tc>
          <w:tcPr>
            <w:tcW w:w="2383" w:type="dxa"/>
          </w:tcPr>
          <w:p w14:paraId="126B4AD7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Cross-reference with LPPD and official social media (Explore Lombok, Central Lombok Tourism)</w:t>
            </w:r>
          </w:p>
        </w:tc>
        <w:tc>
          <w:tcPr>
            <w:tcW w:w="1728" w:type="dxa"/>
          </w:tcPr>
          <w:p w14:paraId="3922C38B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Local Gov / Tourists</w:t>
            </w:r>
          </w:p>
        </w:tc>
        <w:tc>
          <w:tcPr>
            <w:tcW w:w="2099" w:type="dxa"/>
          </w:tcPr>
          <w:p w14:paraId="05B47022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Integration of transport and tourism data online strengthens destination branding.</w:t>
            </w:r>
          </w:p>
        </w:tc>
      </w:tr>
      <w:tr w:rsidR="004543C7" w:rsidRPr="004543C7" w14:paraId="0AD50CD6" w14:textId="77777777" w:rsidTr="004543C7">
        <w:tc>
          <w:tcPr>
            <w:tcW w:w="1809" w:type="dxa"/>
          </w:tcPr>
          <w:p w14:paraId="5854AC57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Digitalisation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and Promotion</w:t>
            </w:r>
          </w:p>
        </w:tc>
        <w:tc>
          <w:tcPr>
            <w:tcW w:w="1728" w:type="dxa"/>
          </w:tcPr>
          <w:p w14:paraId="43645D0C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Digital interaction with tourists</w:t>
            </w:r>
          </w:p>
        </w:tc>
        <w:tc>
          <w:tcPr>
            <w:tcW w:w="2383" w:type="dxa"/>
          </w:tcPr>
          <w:p w14:paraId="7C526E3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Excel ('Kesan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ketersediaan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angkutan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') + Interview: 'Tourists contact via WhatsApp, Instagram'</w:t>
            </w:r>
          </w:p>
        </w:tc>
        <w:tc>
          <w:tcPr>
            <w:tcW w:w="1728" w:type="dxa"/>
          </w:tcPr>
          <w:p w14:paraId="015B6AE2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 / Operators</w:t>
            </w:r>
          </w:p>
        </w:tc>
        <w:tc>
          <w:tcPr>
            <w:tcW w:w="2099" w:type="dxa"/>
          </w:tcPr>
          <w:p w14:paraId="2B20226A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Tourists rely on informal digital networks rather than </w:t>
            </w:r>
            <w:proofErr w:type="spell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centralised</w:t>
            </w:r>
            <w:proofErr w:type="spell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systems.</w:t>
            </w:r>
          </w:p>
        </w:tc>
      </w:tr>
      <w:tr w:rsidR="004543C7" w:rsidRPr="004543C7" w14:paraId="7630867A" w14:textId="77777777" w:rsidTr="004543C7">
        <w:tc>
          <w:tcPr>
            <w:tcW w:w="1809" w:type="dxa"/>
          </w:tcPr>
          <w:p w14:paraId="2A5A21EE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 Experience</w:t>
            </w:r>
          </w:p>
        </w:tc>
        <w:tc>
          <w:tcPr>
            <w:tcW w:w="1728" w:type="dxa"/>
          </w:tcPr>
          <w:p w14:paraId="5ED481C9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Trip satisfaction</w:t>
            </w:r>
          </w:p>
        </w:tc>
        <w:tc>
          <w:tcPr>
            <w:tcW w:w="2383" w:type="dxa"/>
          </w:tcPr>
          <w:p w14:paraId="1983E7CE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Excel – road quality &amp; safety + Interview: 'Route was easy using Google Maps.'</w:t>
            </w:r>
          </w:p>
        </w:tc>
        <w:tc>
          <w:tcPr>
            <w:tcW w:w="1728" w:type="dxa"/>
          </w:tcPr>
          <w:p w14:paraId="74609BA8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</w:t>
            </w:r>
          </w:p>
        </w:tc>
        <w:tc>
          <w:tcPr>
            <w:tcW w:w="2099" w:type="dxa"/>
          </w:tcPr>
          <w:p w14:paraId="3940635C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Positive experience </w:t>
            </w:r>
            <w:proofErr w:type="gramStart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shaped</w:t>
            </w:r>
            <w:proofErr w:type="gramEnd"/>
            <w:r w:rsidRPr="004543C7">
              <w:rPr>
                <w:rFonts w:ascii="Times New Roman" w:hAnsi="Times New Roman" w:cs="Times New Roman"/>
                <w:sz w:val="20"/>
                <w:szCs w:val="20"/>
              </w:rPr>
              <w:t xml:space="preserve"> by physical access and digital guidance.</w:t>
            </w:r>
          </w:p>
        </w:tc>
      </w:tr>
      <w:tr w:rsidR="004543C7" w:rsidRPr="004543C7" w14:paraId="5C931D22" w14:textId="77777777" w:rsidTr="004543C7">
        <w:tc>
          <w:tcPr>
            <w:tcW w:w="1809" w:type="dxa"/>
          </w:tcPr>
          <w:p w14:paraId="3EA3F027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 Experience</w:t>
            </w:r>
          </w:p>
        </w:tc>
        <w:tc>
          <w:tcPr>
            <w:tcW w:w="1728" w:type="dxa"/>
          </w:tcPr>
          <w:p w14:paraId="3240EF7F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Expectation for digital integration</w:t>
            </w:r>
          </w:p>
        </w:tc>
        <w:tc>
          <w:tcPr>
            <w:tcW w:w="2383" w:type="dxa"/>
          </w:tcPr>
          <w:p w14:paraId="0030A120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Interview – demand for online shuttle information and QR codes</w:t>
            </w:r>
          </w:p>
        </w:tc>
        <w:tc>
          <w:tcPr>
            <w:tcW w:w="1728" w:type="dxa"/>
          </w:tcPr>
          <w:p w14:paraId="64A1EEC3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Tourists</w:t>
            </w:r>
          </w:p>
        </w:tc>
        <w:tc>
          <w:tcPr>
            <w:tcW w:w="2099" w:type="dxa"/>
          </w:tcPr>
          <w:p w14:paraId="33519A24" w14:textId="77777777" w:rsidR="004543C7" w:rsidRPr="004543C7" w:rsidRDefault="004543C7" w:rsidP="0045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3C7">
              <w:rPr>
                <w:rFonts w:ascii="Times New Roman" w:hAnsi="Times New Roman" w:cs="Times New Roman"/>
                <w:sz w:val="20"/>
                <w:szCs w:val="20"/>
              </w:rPr>
              <w:t>Highlights opportunity for smart-tourism applications and unified online transport systems.</w:t>
            </w:r>
          </w:p>
        </w:tc>
      </w:tr>
    </w:tbl>
    <w:p w14:paraId="47C6FACD" w14:textId="77777777" w:rsidR="004543C7" w:rsidRDefault="004543C7" w:rsidP="00454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Themes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1–3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derive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indicators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Excel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dataset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(e.g.,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accessibility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ratings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modal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preferences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evaluations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12D19B30" w14:textId="17E1AD6D" w:rsidR="004543C7" w:rsidRPr="004543C7" w:rsidRDefault="004543C7" w:rsidP="00454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Themes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4–6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emerge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qualitative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interviews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November 2022.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Together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provide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mixed-methods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understanding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transport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digitalisation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influence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mobility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Mandalika region.</w:t>
      </w:r>
    </w:p>
    <w:p w14:paraId="0E3B4141" w14:textId="77777777" w:rsidR="004543C7" w:rsidRPr="004543C7" w:rsidRDefault="004543C7" w:rsidP="00454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3C7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reconstructed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coding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structure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integrate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survey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dimensions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qualitative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insights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aligning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framework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journal’s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analytical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focus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digitalisation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tourism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3C7">
        <w:rPr>
          <w:rFonts w:ascii="Times New Roman" w:hAnsi="Times New Roman" w:cs="Times New Roman"/>
          <w:sz w:val="20"/>
          <w:szCs w:val="20"/>
        </w:rPr>
        <w:t>governance</w:t>
      </w:r>
      <w:proofErr w:type="spellEnd"/>
      <w:r w:rsidRPr="004543C7">
        <w:rPr>
          <w:rFonts w:ascii="Times New Roman" w:hAnsi="Times New Roman" w:cs="Times New Roman"/>
          <w:sz w:val="20"/>
          <w:szCs w:val="20"/>
        </w:rPr>
        <w:t>.</w:t>
      </w:r>
    </w:p>
    <w:p w14:paraId="3487F146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1F2CE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4E7EF" w14:textId="77777777" w:rsidR="004543C7" w:rsidRPr="004543C7" w:rsidRDefault="004543C7" w:rsidP="00454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43C7" w:rsidRPr="004543C7" w:rsidSect="005F2A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DA"/>
    <w:rsid w:val="00000538"/>
    <w:rsid w:val="000D414A"/>
    <w:rsid w:val="001A0507"/>
    <w:rsid w:val="002D7F77"/>
    <w:rsid w:val="003506AC"/>
    <w:rsid w:val="004543C7"/>
    <w:rsid w:val="005F2A41"/>
    <w:rsid w:val="00761EA1"/>
    <w:rsid w:val="00816F6B"/>
    <w:rsid w:val="00865640"/>
    <w:rsid w:val="0088408A"/>
    <w:rsid w:val="00924B83"/>
    <w:rsid w:val="00966533"/>
    <w:rsid w:val="00AF63DA"/>
    <w:rsid w:val="00C23BA1"/>
    <w:rsid w:val="00ED38A7"/>
    <w:rsid w:val="00EF7168"/>
    <w:rsid w:val="00F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A26D"/>
  <w15:chartTrackingRefBased/>
  <w15:docId w15:val="{CAD1E847-22B6-41CE-BC62-E859A14C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F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F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F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F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F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F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F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F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F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F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F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F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F63DA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F63DA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F63D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F63D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F63D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F63D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F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F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F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F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F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F63D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F63D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F63DA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F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F63DA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F63DA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59"/>
    <w:rsid w:val="005F2A41"/>
    <w:pPr>
      <w:spacing w:after="0" w:line="240" w:lineRule="auto"/>
    </w:pPr>
    <w:rPr>
      <w:rFonts w:eastAsiaTheme="minorEastAsi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BRIN-5THX2T3</dc:creator>
  <cp:keywords/>
  <dc:description/>
  <cp:lastModifiedBy>BRIN-5THX2T3</cp:lastModifiedBy>
  <cp:revision>3</cp:revision>
  <dcterms:created xsi:type="dcterms:W3CDTF">2025-10-24T08:01:00Z</dcterms:created>
  <dcterms:modified xsi:type="dcterms:W3CDTF">2025-10-24T08:26:00Z</dcterms:modified>
</cp:coreProperties>
</file>