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5" w14:textId="1C24B4C1" w:rsidR="007E6721"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b/>
          <w:sz w:val="24"/>
          <w:szCs w:val="24"/>
        </w:rPr>
        <w:t>Additional File</w:t>
      </w:r>
      <w:r w:rsidRPr="00EE61FE">
        <w:rPr>
          <w:rFonts w:ascii="Times New Roman" w:hAnsi="Times New Roman" w:cs="Times New Roman"/>
          <w:b/>
          <w:sz w:val="24"/>
          <w:szCs w:val="24"/>
        </w:rPr>
        <w:t xml:space="preserve"> 1</w:t>
      </w:r>
      <w:r w:rsidRPr="00EE61FE">
        <w:rPr>
          <w:rFonts w:ascii="Times New Roman" w:hAnsi="Times New Roman" w:cs="Times New Roman"/>
          <w:sz w:val="24"/>
          <w:szCs w:val="24"/>
        </w:rPr>
        <w:t>:</w:t>
      </w:r>
      <w:r w:rsidRPr="00EE61FE">
        <w:rPr>
          <w:rFonts w:ascii="Times New Roman" w:hAnsi="Times New Roman" w:cs="Times New Roman"/>
          <w:sz w:val="24"/>
          <w:szCs w:val="24"/>
        </w:rPr>
        <w:t xml:space="preserve"> Refugee and Migrant Health in Undergraduate Medical Education: A Scoping Review</w:t>
      </w:r>
    </w:p>
    <w:p w14:paraId="00000006" w14:textId="26C16629" w:rsidR="007E6721" w:rsidRPr="00EE61FE"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sz w:val="24"/>
          <w:szCs w:val="24"/>
        </w:rPr>
        <w:t xml:space="preserve">This scoping review was conducted </w:t>
      </w:r>
      <w:proofErr w:type="gramStart"/>
      <w:r w:rsidRPr="00EE61FE">
        <w:rPr>
          <w:rFonts w:ascii="Times New Roman" w:hAnsi="Times New Roman" w:cs="Times New Roman"/>
          <w:sz w:val="24"/>
          <w:szCs w:val="24"/>
        </w:rPr>
        <w:t>in order to</w:t>
      </w:r>
      <w:proofErr w:type="gramEnd"/>
      <w:r w:rsidRPr="00EE61FE">
        <w:rPr>
          <w:rFonts w:ascii="Times New Roman" w:hAnsi="Times New Roman" w:cs="Times New Roman"/>
          <w:sz w:val="24"/>
          <w:szCs w:val="24"/>
        </w:rPr>
        <w:t xml:space="preserve"> map existing literature regarding refugee and migrant health education at the undergraduate medical level. More specif</w:t>
      </w:r>
      <w:r w:rsidRPr="00EE61FE">
        <w:rPr>
          <w:rFonts w:ascii="Times New Roman" w:hAnsi="Times New Roman" w:cs="Times New Roman"/>
          <w:sz w:val="24"/>
          <w:szCs w:val="24"/>
        </w:rPr>
        <w:t>ically, the primary objective was to identify educational content that has been delivered at the medical undergraduate level regarding refugee and migrant health. Secondary objectives for the review were to identify methods of content delivery and associat</w:t>
      </w:r>
      <w:r w:rsidRPr="00EE61FE">
        <w:rPr>
          <w:rFonts w:ascii="Times New Roman" w:hAnsi="Times New Roman" w:cs="Times New Roman"/>
          <w:sz w:val="24"/>
          <w:szCs w:val="24"/>
        </w:rPr>
        <w:t xml:space="preserve">ed educational outcomes. The results were then used to assess common themes emerging from the literature and to assess whether any gaps in knowledge exist in the literature. The methodology for this scoping review followed the approach developed by Arksey </w:t>
      </w:r>
      <w:r w:rsidRPr="00EE61FE">
        <w:rPr>
          <w:rFonts w:ascii="Times New Roman" w:hAnsi="Times New Roman" w:cs="Times New Roman"/>
          <w:sz w:val="24"/>
          <w:szCs w:val="24"/>
        </w:rPr>
        <w:t xml:space="preserve">and O’Malley (2005) with recommendations made by </w:t>
      </w:r>
      <w:proofErr w:type="spellStart"/>
      <w:r w:rsidRPr="00EE61FE">
        <w:rPr>
          <w:rFonts w:ascii="Times New Roman" w:hAnsi="Times New Roman" w:cs="Times New Roman"/>
          <w:sz w:val="24"/>
          <w:szCs w:val="24"/>
        </w:rPr>
        <w:t>Levac</w:t>
      </w:r>
      <w:proofErr w:type="spellEnd"/>
      <w:r w:rsidRPr="00EE61FE">
        <w:rPr>
          <w:rFonts w:ascii="Times New Roman" w:hAnsi="Times New Roman" w:cs="Times New Roman"/>
          <w:sz w:val="24"/>
          <w:szCs w:val="24"/>
        </w:rPr>
        <w:t>, Colquhoun and O’Brien (2010).</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UWzWlXtg","properties":{"formattedCitation":"(1,2)","plainCitation":"(1,2)","noteIndex":0},"citationItems":[{"id":472,"uris":["http://zotero.org/users/6776980/items/53PNKNNB"],"uri":["http://zotero.org/users/6776980/items/53PNKNNB"],"itemData":{"id":472,"type":"article-journal","container-title":"International journal of social research methodology","ISSN":"1364-5579","issue":"1","journalAbbreviation":"International journal of social research methodology","note":"publisher: Taylor &amp; Francis","page":"19-32","title":"Scoping studies: towards a methodological framework","volume":"8","author":[{"family":"Arksey","given":"Hilary"},{"family":"O'Malley","given":"Lisa"}],"issued":{"date-parts":[["2005"]]}},"label":"page"},{"id":471,"uris":["http://zotero.org/users/6776980/items/VAVDX8H3"],"uri":["http://zotero.org/users/6776980/items/VAVDX8H3"],"itemData":{"id":471,"type":"article-journal","container-title":"Implementation science","ISSN":"1748-5908","issue":"1","journalAbbreviation":"Implementation science","note":"publisher: Springer","page":"69","title":"Scoping studies: advancing the methodology","volume":"5","author":[{"family":"Levac","given":"Danielle"},{"family":"Colquhoun","given":"Heather"},{"family":"O'Brien","given":"Kelly K"}],"issued":{"date-parts":[["2010"]]}},"label":"page"}],"schema":"https://github.com/citation-style-language/schema/raw/master/csl-citation.json"}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(1,2)</w:t>
      </w:r>
      <w:r w:rsidRPr="00EE61FE">
        <w:rPr>
          <w:rFonts w:ascii="Times New Roman" w:hAnsi="Times New Roman" w:cs="Times New Roman"/>
          <w:sz w:val="24"/>
          <w:szCs w:val="24"/>
          <w:vertAlign w:val="superscript"/>
        </w:rPr>
        <w:fldChar w:fldCharType="end"/>
      </w:r>
      <w:r w:rsidRPr="00EE61FE">
        <w:rPr>
          <w:rFonts w:ascii="Times New Roman" w:hAnsi="Times New Roman" w:cs="Times New Roman"/>
          <w:sz w:val="24"/>
          <w:szCs w:val="24"/>
        </w:rPr>
        <w:t xml:space="preserve"> The methodology of a scoping review was best suite</w:t>
      </w:r>
      <w:r w:rsidRPr="00EE61FE">
        <w:rPr>
          <w:rFonts w:ascii="Times New Roman" w:hAnsi="Times New Roman" w:cs="Times New Roman"/>
          <w:sz w:val="24"/>
          <w:szCs w:val="24"/>
        </w:rPr>
        <w:t xml:space="preserve">d for our purposes given our broad research objectives and the goal of identifying gaps in current research. </w:t>
      </w:r>
    </w:p>
    <w:p w14:paraId="486DFF0D" w14:textId="77777777" w:rsidR="00EE61FE" w:rsidRDefault="00EE61FE" w:rsidP="00EE61FE">
      <w:pPr>
        <w:spacing w:line="480" w:lineRule="auto"/>
        <w:rPr>
          <w:rFonts w:ascii="Times New Roman" w:hAnsi="Times New Roman" w:cs="Times New Roman"/>
          <w:b/>
          <w:bCs/>
          <w:sz w:val="24"/>
          <w:szCs w:val="24"/>
        </w:rPr>
      </w:pPr>
    </w:p>
    <w:p w14:paraId="750A332D" w14:textId="59F5DEB7" w:rsidR="00EE61FE" w:rsidRPr="00EE61FE" w:rsidRDefault="00EE61FE" w:rsidP="00EE61FE">
      <w:pPr>
        <w:spacing w:line="480" w:lineRule="auto"/>
        <w:rPr>
          <w:rFonts w:ascii="Times New Roman" w:hAnsi="Times New Roman" w:cs="Times New Roman"/>
          <w:b/>
          <w:bCs/>
          <w:sz w:val="24"/>
          <w:szCs w:val="24"/>
        </w:rPr>
      </w:pPr>
      <w:r w:rsidRPr="00EE61FE">
        <w:rPr>
          <w:rFonts w:ascii="Times New Roman" w:hAnsi="Times New Roman" w:cs="Times New Roman"/>
          <w:b/>
          <w:bCs/>
          <w:sz w:val="24"/>
          <w:szCs w:val="24"/>
        </w:rPr>
        <w:t>Literature search</w:t>
      </w:r>
    </w:p>
    <w:p w14:paraId="00000008" w14:textId="7FBAF484" w:rsidR="007E6721"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sz w:val="24"/>
          <w:szCs w:val="24"/>
        </w:rPr>
        <w:t xml:space="preserve">The literature search was conducted by a health sciences librarian to identify all relevant articles from inception through to </w:t>
      </w:r>
      <w:r w:rsidRPr="00EE61FE">
        <w:rPr>
          <w:rFonts w:ascii="Times New Roman" w:hAnsi="Times New Roman" w:cs="Times New Roman"/>
          <w:sz w:val="24"/>
          <w:szCs w:val="24"/>
        </w:rPr>
        <w:t>September 2018 using the following electronic databases: Medline and Medline in Process (via OVID), Embase Classic + Embase (via OVID), Global Health (CAB Direct), PsycINFO (via Ovid), the Cumulative Index of Allied Health and Nursing Literature (CINAHL vi</w:t>
      </w:r>
      <w:r w:rsidRPr="00EE61FE">
        <w:rPr>
          <w:rFonts w:ascii="Times New Roman" w:hAnsi="Times New Roman" w:cs="Times New Roman"/>
          <w:sz w:val="24"/>
          <w:szCs w:val="24"/>
        </w:rPr>
        <w:t xml:space="preserve">a </w:t>
      </w:r>
      <w:proofErr w:type="spellStart"/>
      <w:r w:rsidRPr="00EE61FE">
        <w:rPr>
          <w:rFonts w:ascii="Times New Roman" w:hAnsi="Times New Roman" w:cs="Times New Roman"/>
          <w:sz w:val="24"/>
          <w:szCs w:val="24"/>
        </w:rPr>
        <w:t>EBSCOHost</w:t>
      </w:r>
      <w:proofErr w:type="spellEnd"/>
      <w:r w:rsidRPr="00EE61FE">
        <w:rPr>
          <w:rFonts w:ascii="Times New Roman" w:hAnsi="Times New Roman" w:cs="Times New Roman"/>
          <w:sz w:val="24"/>
          <w:szCs w:val="24"/>
        </w:rPr>
        <w:t xml:space="preserve">), ERIC (via Ovid), Education Source (via </w:t>
      </w:r>
      <w:proofErr w:type="spellStart"/>
      <w:r w:rsidRPr="00EE61FE">
        <w:rPr>
          <w:rFonts w:ascii="Times New Roman" w:hAnsi="Times New Roman" w:cs="Times New Roman"/>
          <w:sz w:val="24"/>
          <w:szCs w:val="24"/>
        </w:rPr>
        <w:t>EBSCOHost</w:t>
      </w:r>
      <w:proofErr w:type="spellEnd"/>
      <w:r w:rsidRPr="00EE61FE">
        <w:rPr>
          <w:rFonts w:ascii="Times New Roman" w:hAnsi="Times New Roman" w:cs="Times New Roman"/>
          <w:sz w:val="24"/>
          <w:szCs w:val="24"/>
        </w:rPr>
        <w:t>) and Best Evidence Medical and Health Professional Education (BEME) database. The search strategy was established through consensus of the team. The search was designed to associate terms relat</w:t>
      </w:r>
      <w:r w:rsidRPr="00EE61FE">
        <w:rPr>
          <w:rFonts w:ascii="Times New Roman" w:hAnsi="Times New Roman" w:cs="Times New Roman"/>
          <w:sz w:val="24"/>
          <w:szCs w:val="24"/>
        </w:rPr>
        <w:t>ed to refugee and migrant health (e.g</w:t>
      </w:r>
      <w:r>
        <w:rPr>
          <w:rFonts w:ascii="Times New Roman" w:hAnsi="Times New Roman" w:cs="Times New Roman"/>
          <w:sz w:val="24"/>
          <w:szCs w:val="24"/>
        </w:rPr>
        <w:t>.,</w:t>
      </w:r>
      <w:r w:rsidRPr="00EE61FE">
        <w:rPr>
          <w:rFonts w:ascii="Times New Roman" w:hAnsi="Times New Roman" w:cs="Times New Roman"/>
          <w:sz w:val="24"/>
          <w:szCs w:val="24"/>
        </w:rPr>
        <w:t xml:space="preserve"> asylum seekers, stateless and displaced) or cultural safety (e.g</w:t>
      </w:r>
      <w:r>
        <w:rPr>
          <w:rFonts w:ascii="Times New Roman" w:hAnsi="Times New Roman" w:cs="Times New Roman"/>
          <w:sz w:val="24"/>
          <w:szCs w:val="24"/>
        </w:rPr>
        <w:t>.,</w:t>
      </w:r>
      <w:r w:rsidRPr="00EE61FE">
        <w:rPr>
          <w:rFonts w:ascii="Times New Roman" w:hAnsi="Times New Roman" w:cs="Times New Roman"/>
          <w:sz w:val="24"/>
          <w:szCs w:val="24"/>
        </w:rPr>
        <w:t xml:space="preserve"> cultural competency, cultural </w:t>
      </w:r>
      <w:proofErr w:type="gramStart"/>
      <w:r w:rsidRPr="00EE61FE">
        <w:rPr>
          <w:rFonts w:ascii="Times New Roman" w:hAnsi="Times New Roman" w:cs="Times New Roman"/>
          <w:sz w:val="24"/>
          <w:szCs w:val="24"/>
        </w:rPr>
        <w:t>humility</w:t>
      </w:r>
      <w:proofErr w:type="gramEnd"/>
      <w:r w:rsidRPr="00EE61FE">
        <w:rPr>
          <w:rFonts w:ascii="Times New Roman" w:hAnsi="Times New Roman" w:cs="Times New Roman"/>
          <w:sz w:val="24"/>
          <w:szCs w:val="24"/>
        </w:rPr>
        <w:t xml:space="preserve"> and cultural diversity) with terminology analogous to </w:t>
      </w:r>
      <w:r w:rsidRPr="00EE61FE">
        <w:rPr>
          <w:rFonts w:ascii="Times New Roman" w:hAnsi="Times New Roman" w:cs="Times New Roman"/>
          <w:sz w:val="24"/>
          <w:szCs w:val="24"/>
        </w:rPr>
        <w:lastRenderedPageBreak/>
        <w:t>undergraduate medical education (e.g.</w:t>
      </w:r>
      <w:r>
        <w:rPr>
          <w:rFonts w:ascii="Times New Roman" w:hAnsi="Times New Roman" w:cs="Times New Roman"/>
          <w:sz w:val="24"/>
          <w:szCs w:val="24"/>
        </w:rPr>
        <w:t>,</w:t>
      </w:r>
      <w:r w:rsidRPr="00EE61FE">
        <w:rPr>
          <w:rFonts w:ascii="Times New Roman" w:hAnsi="Times New Roman" w:cs="Times New Roman"/>
          <w:sz w:val="24"/>
          <w:szCs w:val="24"/>
        </w:rPr>
        <w:t xml:space="preserve"> medical students, cl</w:t>
      </w:r>
      <w:r w:rsidRPr="00EE61FE">
        <w:rPr>
          <w:rFonts w:ascii="Times New Roman" w:hAnsi="Times New Roman" w:cs="Times New Roman"/>
          <w:sz w:val="24"/>
          <w:szCs w:val="24"/>
        </w:rPr>
        <w:t>erkship and pre-clerkship). Given the widespread inclusion of cultural competence in the curricula of medical school and its association with refugee and migrant health,</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J0LTDL7B","properties":{"formattedCitation":"(3)","plainCitation":"(3)","noteIndex":0},"citationItems":[{"id":470,"uris":["http://zotero.org/users/6776980/items/3ZZRL89E"],"uri":["http://zotero.org/users/6776980/items/3ZZRL89E"],"itemData":{"id":470,"type":"article-journal","container-title":"Academic Medicine","ISSN":"1040-2446","issue":"6","journalAbbreviation":"Academic Medicine","note":"publisher: LWW","page":"548-556","title":"Medical education for a changing world: moving beyond cultural competence into transnational competence","volume":"81","author":[{"family":"Koehn","given":"Peter H"},{"family":"Swick","given":"Herbert M"}],"issued":{"date-parts":[["2006"]]}}}],"schema":"https://github.com/citation-style-language/schema/raw/master/csl-citation.json"}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(3)</w:t>
      </w:r>
      <w:r w:rsidRPr="00EE61FE">
        <w:rPr>
          <w:rFonts w:ascii="Times New Roman" w:hAnsi="Times New Roman" w:cs="Times New Roman"/>
          <w:sz w:val="24"/>
          <w:szCs w:val="24"/>
          <w:vertAlign w:val="superscript"/>
        </w:rPr>
        <w:fldChar w:fldCharType="end"/>
      </w:r>
      <w:r w:rsidRPr="00EE61FE">
        <w:rPr>
          <w:rFonts w:ascii="Times New Roman" w:hAnsi="Times New Roman" w:cs="Times New Roman"/>
          <w:sz w:val="24"/>
          <w:szCs w:val="24"/>
          <w:vertAlign w:val="superscript"/>
        </w:rPr>
        <w:t xml:space="preserve"> </w:t>
      </w:r>
      <w:r w:rsidRPr="00EE61FE">
        <w:rPr>
          <w:rFonts w:ascii="Times New Roman" w:hAnsi="Times New Roman" w:cs="Times New Roman"/>
          <w:sz w:val="24"/>
          <w:szCs w:val="24"/>
        </w:rPr>
        <w:t>we incorporated cultural competency and associated terms into the search in ord</w:t>
      </w:r>
      <w:r w:rsidRPr="00EE61FE">
        <w:rPr>
          <w:rFonts w:ascii="Times New Roman" w:hAnsi="Times New Roman" w:cs="Times New Roman"/>
          <w:sz w:val="24"/>
          <w:szCs w:val="24"/>
        </w:rPr>
        <w:t>er to capture relevant articles. We considered the addition of global health and equivalent terms to the search strategy for similar reasons.</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W5kYIjC8","properties":{"formattedCitation":"(4,5)","plainCitation":"(4,5)","noteIndex":0},"citationItems":[{"id":33,"uris":["http://zotero.org/users/6776980/items/4GZQ7SBC"],"uri":["http://zotero.org/users/6776980/items/4GZQ7SBC"],"itemData":{"id":33,"type":"article-journal","container-title":"Academic Medicine","ISSN":"1040-2446","issue":"3","journalAbbreviation":"Academic Medicine","note":"publisher: LWW","page":"222-225","title":"Three domains of competency in global health education: recommendations for all medical students","volume":"82","author":[{"family":"Houpt","given":"Eric R"},{"family":"Pearson","given":"Richard D"},{"family":"Hall","given":"Thomas L"}],"issued":{"date-parts":[["2007"]]}},"label":"page"},{"id":469,"uris":["http://zotero.org/users/6776980/items/2PDVZAVG"],"uri":["http://zotero.org/users/6776980/items/2PDVZAVG"],"itemData":{"id":469,"type":"article-journal","container-title":"BMC Medical Education","ISSN":"1472-6920","issue":"1","journalAbbreviation":"BMC Medical Education","note":"publisher: Springer","page":"94","title":"Global health competencies and approaches in medical education: a literature review","volume":"10","author":[{"family":"Battat","given":"Robert"},{"family":"Seidman","given":"Gillian"},{"family":"Chadi","given":"Nicholas"},{"family":"Chanda","given":"Mohammed Y"},{"family":"Nehme","given":"Jessica"},{"family":"Hulme","given":"Jennifer"},{"family":"Li","given":"Annie"},{"family":"Faridi","given":"Nazlie"},{"family":"Brewer","given":"Timothy F"}],"issued":{"date-parts":[["2010"]]}},"label":"page"}],"schema":"https://github.com/citation-style-language/schema/raw/master/csl-citation.json"}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(4,5)</w:t>
      </w:r>
      <w:r w:rsidRPr="00EE61FE">
        <w:rPr>
          <w:rFonts w:ascii="Times New Roman" w:hAnsi="Times New Roman" w:cs="Times New Roman"/>
          <w:sz w:val="24"/>
          <w:szCs w:val="24"/>
          <w:vertAlign w:val="superscript"/>
        </w:rPr>
        <w:fldChar w:fldCharType="end"/>
      </w:r>
      <w:r w:rsidRPr="00EE61FE">
        <w:rPr>
          <w:rFonts w:ascii="Times New Roman" w:hAnsi="Times New Roman" w:cs="Times New Roman"/>
          <w:sz w:val="24"/>
          <w:szCs w:val="24"/>
        </w:rPr>
        <w:t xml:space="preserve"> However, we did not include global health in our search terms primarily due to restrictions in feasibility. The search strategy developed for Medline (which served as the basis for translations of the search strategy into other databases) i</w:t>
      </w:r>
      <w:r w:rsidRPr="00EE61FE">
        <w:rPr>
          <w:rFonts w:ascii="Times New Roman" w:hAnsi="Times New Roman" w:cs="Times New Roman"/>
          <w:sz w:val="24"/>
          <w:szCs w:val="24"/>
        </w:rPr>
        <w:t>s outlined in Figure 1 below.</w:t>
      </w:r>
    </w:p>
    <w:p w14:paraId="424370BA" w14:textId="77777777" w:rsidR="00EE61FE" w:rsidRPr="00EE61FE" w:rsidRDefault="00EE61FE" w:rsidP="00EE61FE">
      <w:pPr>
        <w:spacing w:line="480" w:lineRule="auto"/>
        <w:rPr>
          <w:rFonts w:ascii="Times New Roman" w:hAnsi="Times New Roman" w:cs="Times New Roman"/>
          <w:sz w:val="24"/>
          <w:szCs w:val="24"/>
        </w:rPr>
      </w:pPr>
    </w:p>
    <w:p w14:paraId="00000009" w14:textId="5E6FBD38" w:rsidR="007E6721" w:rsidRPr="00EE61FE" w:rsidRDefault="00EE61FE" w:rsidP="00EE61FE">
      <w:pPr>
        <w:spacing w:line="480" w:lineRule="auto"/>
        <w:rPr>
          <w:rFonts w:ascii="Times New Roman" w:hAnsi="Times New Roman" w:cs="Times New Roman"/>
          <w:b/>
          <w:bCs/>
          <w:sz w:val="24"/>
          <w:szCs w:val="24"/>
        </w:rPr>
      </w:pPr>
      <w:r w:rsidRPr="00EE61FE">
        <w:rPr>
          <w:rFonts w:ascii="Times New Roman" w:hAnsi="Times New Roman" w:cs="Times New Roman"/>
          <w:b/>
          <w:bCs/>
          <w:sz w:val="24"/>
          <w:szCs w:val="24"/>
        </w:rPr>
        <w:t>Eligibility criteria</w:t>
      </w:r>
    </w:p>
    <w:p w14:paraId="0000000A" w14:textId="30486451" w:rsidR="007E6721"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sz w:val="24"/>
          <w:szCs w:val="24"/>
        </w:rPr>
        <w:t>We included all types of articles that presented a detailed description of an educational intervention at the undergraduate medical level explicitly related to refugee and migrant health. However, at mini</w:t>
      </w:r>
      <w:r w:rsidRPr="00EE61FE">
        <w:rPr>
          <w:rFonts w:ascii="Times New Roman" w:hAnsi="Times New Roman" w:cs="Times New Roman"/>
          <w:sz w:val="24"/>
          <w:szCs w:val="24"/>
        </w:rPr>
        <w:t>mum, the publication had to include an abstract. To keep the scoping review focused on refugee and migrant health, we only included articles on potentially related domains, such as cultural competency and global health, if there was a stated connection wit</w:t>
      </w:r>
      <w:r w:rsidRPr="00EE61FE">
        <w:rPr>
          <w:rFonts w:ascii="Times New Roman" w:hAnsi="Times New Roman" w:cs="Times New Roman"/>
          <w:sz w:val="24"/>
          <w:szCs w:val="24"/>
        </w:rPr>
        <w:t>h the care of displaced populations.</w:t>
      </w:r>
    </w:p>
    <w:p w14:paraId="643D3B9C" w14:textId="77777777" w:rsidR="00EE61FE" w:rsidRPr="00EE61FE" w:rsidRDefault="00EE61FE" w:rsidP="00EE61FE">
      <w:pPr>
        <w:spacing w:line="480" w:lineRule="auto"/>
        <w:rPr>
          <w:rFonts w:ascii="Times New Roman" w:hAnsi="Times New Roman" w:cs="Times New Roman"/>
          <w:sz w:val="24"/>
          <w:szCs w:val="24"/>
        </w:rPr>
      </w:pPr>
    </w:p>
    <w:p w14:paraId="0000000B" w14:textId="7ED848BA" w:rsidR="007E6721" w:rsidRPr="00EE61FE" w:rsidRDefault="00EE61FE" w:rsidP="00EE61FE">
      <w:pPr>
        <w:spacing w:line="480" w:lineRule="auto"/>
        <w:rPr>
          <w:rFonts w:ascii="Times New Roman" w:hAnsi="Times New Roman" w:cs="Times New Roman"/>
          <w:b/>
          <w:sz w:val="24"/>
          <w:szCs w:val="24"/>
          <w:vertAlign w:val="superscript"/>
        </w:rPr>
      </w:pPr>
      <w:r w:rsidRPr="00EE61FE">
        <w:rPr>
          <w:rFonts w:ascii="Times New Roman" w:hAnsi="Times New Roman" w:cs="Times New Roman"/>
          <w:sz w:val="24"/>
          <w:szCs w:val="24"/>
        </w:rPr>
        <w:t xml:space="preserve">We excluded articles if they were in a language other than English or French, they were published before 1998 or after September 2018, they did not include an organized educational intervention, or they were describing </w:t>
      </w:r>
      <w:r w:rsidRPr="00EE61FE">
        <w:rPr>
          <w:rFonts w:ascii="Times New Roman" w:hAnsi="Times New Roman" w:cs="Times New Roman"/>
          <w:sz w:val="24"/>
          <w:szCs w:val="24"/>
        </w:rPr>
        <w:t>an educational intervention for health care providers other than medical students such as residents, physicians and/or allied health professionals. The cut-off date for publication was established in 1998 to help ensure included articles were still relevan</w:t>
      </w:r>
      <w:r w:rsidRPr="00EE61FE">
        <w:rPr>
          <w:rFonts w:ascii="Times New Roman" w:hAnsi="Times New Roman" w:cs="Times New Roman"/>
          <w:sz w:val="24"/>
          <w:szCs w:val="24"/>
        </w:rPr>
        <w:t xml:space="preserve">t. </w:t>
      </w:r>
      <w:r w:rsidRPr="00EE61FE">
        <w:rPr>
          <w:rFonts w:ascii="Times New Roman" w:hAnsi="Times New Roman" w:cs="Times New Roman"/>
          <w:sz w:val="24"/>
          <w:szCs w:val="24"/>
        </w:rPr>
        <w:lastRenderedPageBreak/>
        <w:t>This range captures articles published since the Liaison Committee on Medical Education set standards in the year 2000 for medical school curricula regarding cultural sensitivity training.</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lfIArkpz","properties":{"formattedCitation":"(6)","plainCitation":"(6)","noteIndex":0},"citationItems":[{"id":468,"uris":["http://zotero.org/users/6776980/items/98J7UA7Q"],"uri":["http://zotero.org/users/6776980/items/98J7UA7Q"],"itemData":{"id":468,"type":"article-journal","container-title":"Academic Medicine","ISSN":"1040-2446","issue":"6","journalAbbreviation":"Academic Medicine","note":"publisher: LWW","page":"557-564","title":"Using the tool for assessing cultural competence training (TACCT) to measure faculty and medical student perceptions of cultural competence instruction in the first three years of the curriculum","volume":"81","author":[{"family":"Lie","given":"Desiree"},{"family":"Boker","given":"John"},{"family":"Cleveland","given":"Ella"}],"issued":{"date-parts":[["2006"]]}}}],"schema":"https://github.com/citation-style-language/schema/raw/master/csl-citation.json"}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(6)</w:t>
      </w:r>
      <w:r w:rsidRPr="00EE61FE">
        <w:rPr>
          <w:rFonts w:ascii="Times New Roman" w:hAnsi="Times New Roman" w:cs="Times New Roman"/>
          <w:sz w:val="24"/>
          <w:szCs w:val="24"/>
          <w:vertAlign w:val="superscript"/>
        </w:rPr>
        <w:fldChar w:fldCharType="end"/>
      </w:r>
    </w:p>
    <w:p w14:paraId="22198D7D" w14:textId="77777777" w:rsidR="00EE61FE" w:rsidRDefault="00EE61FE" w:rsidP="00EE61FE">
      <w:pPr>
        <w:spacing w:line="480" w:lineRule="auto"/>
        <w:rPr>
          <w:rFonts w:ascii="Times New Roman" w:hAnsi="Times New Roman" w:cs="Times New Roman"/>
          <w:b/>
          <w:bCs/>
          <w:sz w:val="24"/>
          <w:szCs w:val="24"/>
        </w:rPr>
      </w:pPr>
    </w:p>
    <w:p w14:paraId="0000000C" w14:textId="30F0D49E" w:rsidR="007E6721" w:rsidRPr="00EE61FE" w:rsidRDefault="00EE61FE" w:rsidP="00EE61FE">
      <w:pPr>
        <w:spacing w:line="480" w:lineRule="auto"/>
        <w:rPr>
          <w:rFonts w:ascii="Times New Roman" w:hAnsi="Times New Roman" w:cs="Times New Roman"/>
          <w:b/>
          <w:bCs/>
          <w:sz w:val="24"/>
          <w:szCs w:val="24"/>
        </w:rPr>
      </w:pPr>
      <w:r w:rsidRPr="00EE61FE">
        <w:rPr>
          <w:rFonts w:ascii="Times New Roman" w:hAnsi="Times New Roman" w:cs="Times New Roman"/>
          <w:b/>
          <w:bCs/>
          <w:sz w:val="24"/>
          <w:szCs w:val="24"/>
        </w:rPr>
        <w:t>Article Review</w:t>
      </w:r>
    </w:p>
    <w:p w14:paraId="0000000D" w14:textId="77AD01DF" w:rsidR="007E6721" w:rsidRPr="00EE61FE"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sz w:val="24"/>
          <w:szCs w:val="24"/>
        </w:rPr>
        <w:t>The search results were uploaded to the systematic review software Covidence</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nPHfAfOT","properties":{"formattedCitation":"(7)","plainCitation":"(7)","noteIndex":0},"citationItems":[{"id":467,"uris":["http://zotero.org/users/6776980/items/3G7NRVKP"],"uri":["http://zotero.org/users/6776980/items/3G7NRVKP"],"itemData":{"id":467,"type":"webpage","abstract":"The world's leading software for managing and streamlining your systematic review. Discover how to do a systematic review in less time, while maintaining quality and accuracy.","container-title":"Covidence","language":"en-AU","title":"Covidence - Better systematic review management","URL":"https://www.covidence.org/","accessed":{"date-parts":[["2021",1,7]]}}}],"schema":"https://github.com/citation-style-language/schema/raw/master/csl-citation.json"}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(7)</w:t>
      </w:r>
      <w:r w:rsidRPr="00EE61FE">
        <w:rPr>
          <w:rFonts w:ascii="Times New Roman" w:hAnsi="Times New Roman" w:cs="Times New Roman"/>
          <w:sz w:val="24"/>
          <w:szCs w:val="24"/>
          <w:vertAlign w:val="superscript"/>
        </w:rPr>
        <w:fldChar w:fldCharType="end"/>
      </w:r>
      <w:r w:rsidRPr="00EE61FE">
        <w:rPr>
          <w:rFonts w:ascii="Times New Roman" w:hAnsi="Times New Roman" w:cs="Times New Roman"/>
          <w:sz w:val="24"/>
          <w:szCs w:val="24"/>
        </w:rPr>
        <w:t xml:space="preserve"> for screening and review. Most duplicates were removed automat</w:t>
      </w:r>
      <w:r w:rsidRPr="00EE61FE">
        <w:rPr>
          <w:rFonts w:ascii="Times New Roman" w:hAnsi="Times New Roman" w:cs="Times New Roman"/>
          <w:sz w:val="24"/>
          <w:szCs w:val="24"/>
        </w:rPr>
        <w:t>ically through Covidence, though some additional duplicates had to be removed manually. Title and abstract screening were</w:t>
      </w:r>
      <w:r w:rsidRPr="00EE61FE">
        <w:rPr>
          <w:rFonts w:ascii="Times New Roman" w:hAnsi="Times New Roman" w:cs="Times New Roman"/>
          <w:sz w:val="24"/>
          <w:szCs w:val="24"/>
        </w:rPr>
        <w:t xml:space="preserve"> performed independently by two reviewers using the pre-determined eligibility criteria. Conflicts between the two reviewers were resolv</w:t>
      </w:r>
      <w:r w:rsidRPr="00EE61FE">
        <w:rPr>
          <w:rFonts w:ascii="Times New Roman" w:hAnsi="Times New Roman" w:cs="Times New Roman"/>
          <w:sz w:val="24"/>
          <w:szCs w:val="24"/>
        </w:rPr>
        <w:t>ed by a third reviewer. A single reviewer then performed the full-text review for the remaining articles and, using the same pre-established eligibility criteria, determined which articles would be included in the scoping review.</w:t>
      </w:r>
    </w:p>
    <w:p w14:paraId="7D22697C" w14:textId="77777777" w:rsidR="00EE61FE" w:rsidRDefault="00EE61FE" w:rsidP="00EE61FE">
      <w:pPr>
        <w:spacing w:line="480" w:lineRule="auto"/>
        <w:rPr>
          <w:rFonts w:ascii="Times New Roman" w:hAnsi="Times New Roman" w:cs="Times New Roman"/>
          <w:b/>
          <w:bCs/>
          <w:sz w:val="24"/>
          <w:szCs w:val="24"/>
        </w:rPr>
      </w:pPr>
    </w:p>
    <w:p w14:paraId="0000000E" w14:textId="4DBA3F7C" w:rsidR="007E6721" w:rsidRPr="00EE61FE" w:rsidRDefault="00EE61FE" w:rsidP="00EE61FE">
      <w:pPr>
        <w:spacing w:line="480" w:lineRule="auto"/>
        <w:rPr>
          <w:rFonts w:ascii="Times New Roman" w:hAnsi="Times New Roman" w:cs="Times New Roman"/>
          <w:b/>
          <w:bCs/>
          <w:sz w:val="24"/>
          <w:szCs w:val="24"/>
        </w:rPr>
      </w:pPr>
      <w:r w:rsidRPr="00EE61FE">
        <w:rPr>
          <w:rFonts w:ascii="Times New Roman" w:hAnsi="Times New Roman" w:cs="Times New Roman"/>
          <w:b/>
          <w:bCs/>
          <w:sz w:val="24"/>
          <w:szCs w:val="24"/>
        </w:rPr>
        <w:t>Charting the data</w:t>
      </w:r>
    </w:p>
    <w:p w14:paraId="0000000F" w14:textId="26830758" w:rsidR="007E6721" w:rsidRPr="00EE61FE" w:rsidRDefault="00EE61FE" w:rsidP="00EE61FE">
      <w:pPr>
        <w:spacing w:line="480" w:lineRule="auto"/>
        <w:rPr>
          <w:rFonts w:ascii="Times New Roman" w:hAnsi="Times New Roman" w:cs="Times New Roman"/>
          <w:b/>
          <w:sz w:val="24"/>
          <w:szCs w:val="24"/>
          <w:vertAlign w:val="superscript"/>
        </w:rPr>
      </w:pPr>
      <w:r w:rsidRPr="00EE61FE">
        <w:rPr>
          <w:rFonts w:ascii="Times New Roman" w:hAnsi="Times New Roman" w:cs="Times New Roman"/>
          <w:sz w:val="24"/>
          <w:szCs w:val="24"/>
        </w:rPr>
        <w:t>Data ab</w:t>
      </w:r>
      <w:r w:rsidRPr="00EE61FE">
        <w:rPr>
          <w:rFonts w:ascii="Times New Roman" w:hAnsi="Times New Roman" w:cs="Times New Roman"/>
          <w:sz w:val="24"/>
          <w:szCs w:val="24"/>
        </w:rPr>
        <w:t>straction was performed by a single reviewer using an iterative data extraction form that was developed by the reviewer and approved by the faculty refugee and migrant health expert. The main characteristics of each article that were extracted include: fir</w:t>
      </w:r>
      <w:r w:rsidRPr="00EE61FE">
        <w:rPr>
          <w:rFonts w:ascii="Times New Roman" w:hAnsi="Times New Roman" w:cs="Times New Roman"/>
          <w:sz w:val="24"/>
          <w:szCs w:val="24"/>
        </w:rPr>
        <w:t>st author, year of publication, setting (associated university and country), learners (sample size and level(s) of participating medical students), research design, content of educational intervention, method(s) of content delivery, participation/length (m</w:t>
      </w:r>
      <w:r w:rsidRPr="00EE61FE">
        <w:rPr>
          <w:rFonts w:ascii="Times New Roman" w:hAnsi="Times New Roman" w:cs="Times New Roman"/>
          <w:sz w:val="24"/>
          <w:szCs w:val="24"/>
        </w:rPr>
        <w:t>andatory or optional, length of time committed), instructors/facilitators, educational assessment method, educational outcomes and associated Kirkpatrick level of educational outcomes. The four-level Kirkpatrick model of evaluating training programs consis</w:t>
      </w:r>
      <w:r w:rsidRPr="00EE61FE">
        <w:rPr>
          <w:rFonts w:ascii="Times New Roman" w:hAnsi="Times New Roman" w:cs="Times New Roman"/>
          <w:sz w:val="24"/>
          <w:szCs w:val="24"/>
        </w:rPr>
        <w:t>ts of the following: level one (reaction), level two (learning), level three (behavior) and level four (results).</w:t>
      </w:r>
      <w:r w:rsidRPr="00EE61FE">
        <w:rPr>
          <w:rFonts w:ascii="Times New Roman" w:hAnsi="Times New Roman" w:cs="Times New Roman"/>
          <w:sz w:val="24"/>
          <w:szCs w:val="24"/>
          <w:vertAlign w:val="superscript"/>
        </w:rPr>
        <w:fldChar w:fldCharType="begin"/>
      </w:r>
      <w:r w:rsidRPr="00EE61FE">
        <w:rPr>
          <w:rFonts w:ascii="Times New Roman" w:hAnsi="Times New Roman" w:cs="Times New Roman"/>
          <w:sz w:val="24"/>
          <w:szCs w:val="24"/>
          <w:vertAlign w:val="superscript"/>
        </w:rPr>
        <w:instrText xml:space="preserve"> ADDIN ZOTERO_ITEM CSL_CITATION {"citationID":"wALtZfr9","properties":{"formattedCitation":"(8)","plainCitation":"(8)","noteIndex":0},"citationItems":[{"id":466,"uris":["http://zotero.org/users/6776980/items/ZRL6H4NF"],"uri":["http://zotero.org/users/6776980/items/ZRL6H4NF"],"itemData":{"id":466,"type":"article-journal","container-title":"Classic writings on instructional technology","issue":"192","journalAbbreviation":"Classic writings on instructional technology","note":"publisher: Libraries Unlimited Englewood, CO","page":"119","title":"Techniques for evaluating training programs","volume":"1","author":[{"family":"Kirkpatrick","given":"Donald L"}],"issued":{"date-parts":[["1996"]]}}}],"schema":"https://github.com/citation-style-language/schema/raw/master/csl-citation.json"} </w:instrText>
      </w:r>
      <w:r w:rsidRPr="00EE61FE">
        <w:rPr>
          <w:rFonts w:ascii="Times New Roman" w:hAnsi="Times New Roman" w:cs="Times New Roman"/>
          <w:sz w:val="24"/>
          <w:szCs w:val="24"/>
          <w:vertAlign w:val="superscript"/>
        </w:rPr>
        <w:fldChar w:fldCharType="separate"/>
      </w:r>
      <w:r w:rsidRPr="00EE61FE">
        <w:rPr>
          <w:rFonts w:ascii="Times New Roman" w:hAnsi="Times New Roman" w:cs="Times New Roman"/>
          <w:sz w:val="24"/>
          <w:szCs w:val="24"/>
          <w:vertAlign w:val="superscript"/>
        </w:rPr>
        <w:t>(8)</w:t>
      </w:r>
      <w:r w:rsidRPr="00EE61FE">
        <w:rPr>
          <w:rFonts w:ascii="Times New Roman" w:hAnsi="Times New Roman" w:cs="Times New Roman"/>
          <w:sz w:val="24"/>
          <w:szCs w:val="24"/>
          <w:vertAlign w:val="superscript"/>
        </w:rPr>
        <w:fldChar w:fldCharType="end"/>
      </w:r>
    </w:p>
    <w:p w14:paraId="00000010" w14:textId="2C35BA67" w:rsidR="007E6721" w:rsidRPr="00EE61FE" w:rsidRDefault="00EE61FE" w:rsidP="00EE61FE">
      <w:pPr>
        <w:spacing w:line="480" w:lineRule="auto"/>
        <w:rPr>
          <w:rFonts w:ascii="Times New Roman" w:hAnsi="Times New Roman" w:cs="Times New Roman"/>
          <w:b/>
          <w:bCs/>
          <w:sz w:val="24"/>
          <w:szCs w:val="24"/>
        </w:rPr>
      </w:pPr>
      <w:r w:rsidRPr="00EE61FE">
        <w:rPr>
          <w:rFonts w:ascii="Times New Roman" w:hAnsi="Times New Roman" w:cs="Times New Roman"/>
          <w:b/>
          <w:bCs/>
          <w:sz w:val="24"/>
          <w:szCs w:val="24"/>
        </w:rPr>
        <w:lastRenderedPageBreak/>
        <w:t>Data Mapping</w:t>
      </w:r>
    </w:p>
    <w:p w14:paraId="00000011" w14:textId="243CBABD" w:rsidR="007E6721"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sz w:val="24"/>
          <w:szCs w:val="24"/>
        </w:rPr>
        <w:t xml:space="preserve">Descriptive statistics were used to summarize information regarding the setting, </w:t>
      </w:r>
      <w:proofErr w:type="gramStart"/>
      <w:r w:rsidRPr="00EE61FE">
        <w:rPr>
          <w:rFonts w:ascii="Times New Roman" w:hAnsi="Times New Roman" w:cs="Times New Roman"/>
          <w:sz w:val="24"/>
          <w:szCs w:val="24"/>
        </w:rPr>
        <w:t>learners</w:t>
      </w:r>
      <w:proofErr w:type="gramEnd"/>
      <w:r w:rsidRPr="00EE61FE">
        <w:rPr>
          <w:rFonts w:ascii="Times New Roman" w:hAnsi="Times New Roman" w:cs="Times New Roman"/>
          <w:sz w:val="24"/>
          <w:szCs w:val="24"/>
        </w:rPr>
        <w:t xml:space="preserve"> and type of participation. A specific focus was then placed o</w:t>
      </w:r>
      <w:r w:rsidRPr="00EE61FE">
        <w:rPr>
          <w:rFonts w:ascii="Times New Roman" w:hAnsi="Times New Roman" w:cs="Times New Roman"/>
          <w:sz w:val="24"/>
          <w:szCs w:val="24"/>
        </w:rPr>
        <w:t>n analyzing the publications for the primary and secondary objectives of the scoping review: identifying the content that has been delivered at the medical undergraduate level regarding refugee and migrant health, the methods of content delivery, and assoc</w:t>
      </w:r>
      <w:r w:rsidRPr="00EE61FE">
        <w:rPr>
          <w:rFonts w:ascii="Times New Roman" w:hAnsi="Times New Roman" w:cs="Times New Roman"/>
          <w:sz w:val="24"/>
          <w:szCs w:val="24"/>
        </w:rPr>
        <w:t xml:space="preserve">iated educational outcomes. The specific content described in each intervention was summarized into broader categories </w:t>
      </w:r>
      <w:proofErr w:type="gramStart"/>
      <w:r w:rsidRPr="00EE61FE">
        <w:rPr>
          <w:rFonts w:ascii="Times New Roman" w:hAnsi="Times New Roman" w:cs="Times New Roman"/>
          <w:sz w:val="24"/>
          <w:szCs w:val="24"/>
        </w:rPr>
        <w:t>in order to</w:t>
      </w:r>
      <w:proofErr w:type="gramEnd"/>
      <w:r w:rsidRPr="00EE61FE">
        <w:rPr>
          <w:rFonts w:ascii="Times New Roman" w:hAnsi="Times New Roman" w:cs="Times New Roman"/>
          <w:sz w:val="24"/>
          <w:szCs w:val="24"/>
        </w:rPr>
        <w:t xml:space="preserve"> facilitate comparison between articles using descriptive statistics. For example, articles which described educational conten</w:t>
      </w:r>
      <w:r w:rsidRPr="00EE61FE">
        <w:rPr>
          <w:rFonts w:ascii="Times New Roman" w:hAnsi="Times New Roman" w:cs="Times New Roman"/>
          <w:sz w:val="24"/>
          <w:szCs w:val="24"/>
        </w:rPr>
        <w:t>t related to tuberculosis, HIV, malaria and/or other tropical diseases were considered to have content related to the category of communicable diseases. A similar approach was used to distill the various described methods of content delivery. Given the het</w:t>
      </w:r>
      <w:r w:rsidRPr="00EE61FE">
        <w:rPr>
          <w:rFonts w:ascii="Times New Roman" w:hAnsi="Times New Roman" w:cs="Times New Roman"/>
          <w:sz w:val="24"/>
          <w:szCs w:val="24"/>
        </w:rPr>
        <w:t>erogeneity in the articles and the lack of quantitative outcomes, we elected not to do a quantitative synthesis of the reported educational outcomes. However, key themes and trends related to the available educational outcomes were qualitatively summarized</w:t>
      </w:r>
      <w:r w:rsidRPr="00EE61FE">
        <w:rPr>
          <w:rFonts w:ascii="Times New Roman" w:hAnsi="Times New Roman" w:cs="Times New Roman"/>
          <w:sz w:val="24"/>
          <w:szCs w:val="24"/>
        </w:rPr>
        <w:t>.</w:t>
      </w:r>
    </w:p>
    <w:p w14:paraId="48D4BCC7" w14:textId="77777777" w:rsidR="00EE61FE" w:rsidRPr="00EE61FE" w:rsidRDefault="00EE61FE" w:rsidP="00EE61FE">
      <w:pPr>
        <w:spacing w:line="480" w:lineRule="auto"/>
        <w:rPr>
          <w:rFonts w:ascii="Times New Roman" w:hAnsi="Times New Roman" w:cs="Times New Roman"/>
          <w:sz w:val="24"/>
          <w:szCs w:val="24"/>
        </w:rPr>
      </w:pPr>
    </w:p>
    <w:p w14:paraId="00000012" w14:textId="77777777" w:rsidR="007E6721" w:rsidRPr="00EE61FE"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b/>
          <w:bCs/>
          <w:sz w:val="24"/>
          <w:szCs w:val="24"/>
        </w:rPr>
        <w:t>Figure 1:</w:t>
      </w:r>
      <w:r w:rsidRPr="00EE61FE">
        <w:rPr>
          <w:rFonts w:ascii="Times New Roman" w:hAnsi="Times New Roman" w:cs="Times New Roman"/>
          <w:sz w:val="24"/>
          <w:szCs w:val="24"/>
        </w:rPr>
        <w:t xml:space="preserve"> Search strategy for Medline database</w:t>
      </w:r>
    </w:p>
    <w:p w14:paraId="00000013"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 "Emigrants and Immigrants"/</w:t>
      </w:r>
    </w:p>
    <w:p w14:paraId="00000014"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2. Refugees/</w:t>
      </w:r>
      <w:r w:rsidRPr="00EE61FE">
        <w:rPr>
          <w:rFonts w:ascii="Times New Roman" w:eastAsia="Times New Roman" w:hAnsi="Times New Roman" w:cs="Times New Roman"/>
          <w:sz w:val="24"/>
          <w:szCs w:val="24"/>
        </w:rPr>
        <w:tab/>
      </w:r>
    </w:p>
    <w:p w14:paraId="00000015"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3. cultural diversity/</w:t>
      </w:r>
      <w:r w:rsidRPr="00EE61FE">
        <w:rPr>
          <w:rFonts w:ascii="Times New Roman" w:eastAsia="Times New Roman" w:hAnsi="Times New Roman" w:cs="Times New Roman"/>
          <w:sz w:val="24"/>
          <w:szCs w:val="24"/>
        </w:rPr>
        <w:tab/>
      </w:r>
    </w:p>
    <w:p w14:paraId="00000016"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4. "Emigration and Immigration"/  </w:t>
      </w:r>
      <w:r w:rsidRPr="00EE61FE">
        <w:rPr>
          <w:rFonts w:ascii="Times New Roman" w:eastAsia="Times New Roman" w:hAnsi="Times New Roman" w:cs="Times New Roman"/>
          <w:sz w:val="24"/>
          <w:szCs w:val="24"/>
        </w:rPr>
        <w:tab/>
      </w:r>
    </w:p>
    <w:p w14:paraId="00000017"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5. Culture Competency/      </w:t>
      </w:r>
      <w:r w:rsidRPr="00EE61FE">
        <w:rPr>
          <w:rFonts w:ascii="Times New Roman" w:eastAsia="Times New Roman" w:hAnsi="Times New Roman" w:cs="Times New Roman"/>
          <w:sz w:val="24"/>
          <w:szCs w:val="24"/>
        </w:rPr>
        <w:tab/>
      </w:r>
    </w:p>
    <w:p w14:paraId="00000018"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6. Culturally Competent Care/        </w:t>
      </w:r>
      <w:r w:rsidRPr="00EE61FE">
        <w:rPr>
          <w:rFonts w:ascii="Times New Roman" w:eastAsia="Times New Roman" w:hAnsi="Times New Roman" w:cs="Times New Roman"/>
          <w:sz w:val="24"/>
          <w:szCs w:val="24"/>
        </w:rPr>
        <w:tab/>
      </w:r>
    </w:p>
    <w:p w14:paraId="00000019"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7. (refugee* or immigrant* or stateless or emigrant* or displaced or (</w:t>
      </w:r>
      <w:proofErr w:type="spellStart"/>
      <w:r w:rsidRPr="00EE61FE">
        <w:rPr>
          <w:rFonts w:ascii="Times New Roman" w:eastAsia="Times New Roman" w:hAnsi="Times New Roman" w:cs="Times New Roman"/>
          <w:sz w:val="24"/>
          <w:szCs w:val="24"/>
        </w:rPr>
        <w:t>asyl</w:t>
      </w:r>
      <w:proofErr w:type="spellEnd"/>
      <w:r w:rsidRPr="00EE61FE">
        <w:rPr>
          <w:rFonts w:ascii="Times New Roman" w:eastAsia="Times New Roman" w:hAnsi="Times New Roman" w:cs="Times New Roman"/>
          <w:sz w:val="24"/>
          <w:szCs w:val="24"/>
        </w:rPr>
        <w:t xml:space="preserve">* adj1 seek*) or (newly  </w:t>
      </w:r>
    </w:p>
    <w:p w14:paraId="0000001A"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lastRenderedPageBreak/>
        <w:t xml:space="preserve">     adj arrived) or resettlement).</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1B"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8. (cultural* adj2 (divers* or safety or </w:t>
      </w:r>
      <w:proofErr w:type="spellStart"/>
      <w:r w:rsidRPr="00EE61FE">
        <w:rPr>
          <w:rFonts w:ascii="Times New Roman" w:eastAsia="Times New Roman" w:hAnsi="Times New Roman" w:cs="Times New Roman"/>
          <w:sz w:val="24"/>
          <w:szCs w:val="24"/>
        </w:rPr>
        <w:t>competen</w:t>
      </w:r>
      <w:proofErr w:type="spellEnd"/>
      <w:r w:rsidRPr="00EE61FE">
        <w:rPr>
          <w:rFonts w:ascii="Times New Roman" w:eastAsia="Times New Roman" w:hAnsi="Times New Roman" w:cs="Times New Roman"/>
          <w:sz w:val="24"/>
          <w:szCs w:val="24"/>
        </w:rPr>
        <w:t xml:space="preserve">* or humility or </w:t>
      </w:r>
      <w:proofErr w:type="spellStart"/>
      <w:r w:rsidRPr="00EE61FE">
        <w:rPr>
          <w:rFonts w:ascii="Times New Roman" w:eastAsia="Times New Roman" w:hAnsi="Times New Roman" w:cs="Times New Roman"/>
          <w:sz w:val="24"/>
          <w:szCs w:val="24"/>
        </w:rPr>
        <w:t>sensitiv</w:t>
      </w:r>
      <w:proofErr w:type="spellEnd"/>
      <w:r w:rsidRPr="00EE61FE">
        <w:rPr>
          <w:rFonts w:ascii="Times New Roman" w:eastAsia="Times New Roman" w:hAnsi="Times New Roman" w:cs="Times New Roman"/>
          <w:sz w:val="24"/>
          <w:szCs w:val="24"/>
        </w:rPr>
        <w:t>*)</w:t>
      </w:r>
      <w:r w:rsidRPr="00EE61FE">
        <w:rPr>
          <w:rFonts w:ascii="Times New Roman" w:eastAsia="Times New Roman" w:hAnsi="Times New Roman" w:cs="Times New Roman"/>
          <w:sz w:val="24"/>
          <w:szCs w:val="24"/>
        </w:rPr>
        <w:t>).</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1C"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9. or/1-8       </w:t>
      </w:r>
      <w:r w:rsidRPr="00EE61FE">
        <w:rPr>
          <w:rFonts w:ascii="Times New Roman" w:eastAsia="Times New Roman" w:hAnsi="Times New Roman" w:cs="Times New Roman"/>
          <w:sz w:val="24"/>
          <w:szCs w:val="24"/>
        </w:rPr>
        <w:tab/>
      </w:r>
    </w:p>
    <w:p w14:paraId="0000001D"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10. Clinical Clerkship/        </w:t>
      </w:r>
      <w:r w:rsidRPr="00EE61FE">
        <w:rPr>
          <w:rFonts w:ascii="Times New Roman" w:eastAsia="Times New Roman" w:hAnsi="Times New Roman" w:cs="Times New Roman"/>
          <w:sz w:val="24"/>
          <w:szCs w:val="24"/>
        </w:rPr>
        <w:tab/>
      </w:r>
    </w:p>
    <w:p w14:paraId="0000001E"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11. education, medical, undergraduate/      </w:t>
      </w:r>
      <w:r w:rsidRPr="00EE61FE">
        <w:rPr>
          <w:rFonts w:ascii="Times New Roman" w:eastAsia="Times New Roman" w:hAnsi="Times New Roman" w:cs="Times New Roman"/>
          <w:sz w:val="24"/>
          <w:szCs w:val="24"/>
        </w:rPr>
        <w:tab/>
      </w:r>
    </w:p>
    <w:p w14:paraId="0000001F"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12. Students, Medical/        </w:t>
      </w:r>
      <w:r w:rsidRPr="00EE61FE">
        <w:rPr>
          <w:rFonts w:ascii="Times New Roman" w:eastAsia="Times New Roman" w:hAnsi="Times New Roman" w:cs="Times New Roman"/>
          <w:sz w:val="24"/>
          <w:szCs w:val="24"/>
        </w:rPr>
        <w:tab/>
      </w:r>
    </w:p>
    <w:p w14:paraId="00000020"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13. (undergraduate* adj2 education*).</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21"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14. (clinical adj2 (</w:t>
      </w:r>
      <w:proofErr w:type="spellStart"/>
      <w:r w:rsidRPr="00EE61FE">
        <w:rPr>
          <w:rFonts w:ascii="Times New Roman" w:eastAsia="Times New Roman" w:hAnsi="Times New Roman" w:cs="Times New Roman"/>
          <w:sz w:val="24"/>
          <w:szCs w:val="24"/>
        </w:rPr>
        <w:t>apprentic</w:t>
      </w:r>
      <w:proofErr w:type="spellEnd"/>
      <w:r w:rsidRPr="00EE61FE">
        <w:rPr>
          <w:rFonts w:ascii="Times New Roman" w:eastAsia="Times New Roman" w:hAnsi="Times New Roman" w:cs="Times New Roman"/>
          <w:sz w:val="24"/>
          <w:szCs w:val="24"/>
        </w:rPr>
        <w:t>* or clerkship*)).</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22"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15. (UGME or UME).</w:t>
      </w:r>
      <w:proofErr w:type="spellStart"/>
      <w:r w:rsidRPr="00EE61FE">
        <w:rPr>
          <w:rFonts w:ascii="Times New Roman" w:eastAsia="Times New Roman" w:hAnsi="Times New Roman" w:cs="Times New Roman"/>
          <w:sz w:val="24"/>
          <w:szCs w:val="24"/>
        </w:rPr>
        <w:t>t</w:t>
      </w:r>
      <w:r w:rsidRPr="00EE61FE">
        <w:rPr>
          <w:rFonts w:ascii="Times New Roman" w:eastAsia="Times New Roman" w:hAnsi="Times New Roman" w:cs="Times New Roman"/>
          <w:sz w:val="24"/>
          <w:szCs w:val="24"/>
        </w:rPr>
        <w: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23"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16. (</w:t>
      </w:r>
      <w:proofErr w:type="spellStart"/>
      <w:r w:rsidRPr="00EE61FE">
        <w:rPr>
          <w:rFonts w:ascii="Times New Roman" w:eastAsia="Times New Roman" w:hAnsi="Times New Roman" w:cs="Times New Roman"/>
          <w:sz w:val="24"/>
          <w:szCs w:val="24"/>
        </w:rPr>
        <w:t>preclerkship</w:t>
      </w:r>
      <w:proofErr w:type="spellEnd"/>
      <w:r w:rsidRPr="00EE61FE">
        <w:rPr>
          <w:rFonts w:ascii="Times New Roman" w:eastAsia="Times New Roman" w:hAnsi="Times New Roman" w:cs="Times New Roman"/>
          <w:sz w:val="24"/>
          <w:szCs w:val="24"/>
        </w:rPr>
        <w:t>* or pre-clerkship*).</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24"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17. (medical* adj3 student*).</w:t>
      </w:r>
      <w:proofErr w:type="spellStart"/>
      <w:r w:rsidRPr="00EE61FE">
        <w:rPr>
          <w:rFonts w:ascii="Times New Roman" w:eastAsia="Times New Roman" w:hAnsi="Times New Roman" w:cs="Times New Roman"/>
          <w:sz w:val="24"/>
          <w:szCs w:val="24"/>
        </w:rPr>
        <w:t>tw</w:t>
      </w:r>
      <w:proofErr w:type="spellEnd"/>
      <w:r w:rsidRPr="00EE61FE">
        <w:rPr>
          <w:rFonts w:ascii="Times New Roman" w:eastAsia="Times New Roman" w:hAnsi="Times New Roman" w:cs="Times New Roman"/>
          <w:sz w:val="24"/>
          <w:szCs w:val="24"/>
        </w:rPr>
        <w:t xml:space="preserve">.    </w:t>
      </w:r>
      <w:r w:rsidRPr="00EE61FE">
        <w:rPr>
          <w:rFonts w:ascii="Times New Roman" w:eastAsia="Times New Roman" w:hAnsi="Times New Roman" w:cs="Times New Roman"/>
          <w:sz w:val="24"/>
          <w:szCs w:val="24"/>
        </w:rPr>
        <w:tab/>
      </w:r>
    </w:p>
    <w:p w14:paraId="00000025" w14:textId="77777777" w:rsidR="007E6721" w:rsidRPr="00EE61FE"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 xml:space="preserve">18. or/10-17 </w:t>
      </w:r>
      <w:r w:rsidRPr="00EE61FE">
        <w:rPr>
          <w:rFonts w:ascii="Times New Roman" w:eastAsia="Times New Roman" w:hAnsi="Times New Roman" w:cs="Times New Roman"/>
          <w:sz w:val="24"/>
          <w:szCs w:val="24"/>
        </w:rPr>
        <w:tab/>
      </w:r>
    </w:p>
    <w:p w14:paraId="00000026" w14:textId="4EAF1BE3" w:rsidR="007E6721" w:rsidRDefault="00EE61FE" w:rsidP="00EE61FE">
      <w:pPr>
        <w:spacing w:line="480" w:lineRule="auto"/>
        <w:rPr>
          <w:rFonts w:ascii="Times New Roman" w:eastAsia="Times New Roman" w:hAnsi="Times New Roman" w:cs="Times New Roman"/>
          <w:sz w:val="24"/>
          <w:szCs w:val="24"/>
        </w:rPr>
      </w:pPr>
      <w:r w:rsidRPr="00EE61FE">
        <w:rPr>
          <w:rFonts w:ascii="Times New Roman" w:eastAsia="Times New Roman" w:hAnsi="Times New Roman" w:cs="Times New Roman"/>
          <w:sz w:val="24"/>
          <w:szCs w:val="24"/>
        </w:rPr>
        <w:t>19. 9 and 18</w:t>
      </w:r>
    </w:p>
    <w:p w14:paraId="2ECDBF70" w14:textId="77777777" w:rsidR="00EE61FE" w:rsidRPr="00EE61FE" w:rsidRDefault="00EE61FE" w:rsidP="00EE61FE">
      <w:pPr>
        <w:spacing w:line="480" w:lineRule="auto"/>
        <w:rPr>
          <w:rFonts w:ascii="Times New Roman" w:eastAsia="Times New Roman" w:hAnsi="Times New Roman" w:cs="Times New Roman"/>
          <w:sz w:val="24"/>
          <w:szCs w:val="24"/>
        </w:rPr>
      </w:pPr>
    </w:p>
    <w:p w14:paraId="0000002C" w14:textId="46B9FB3B" w:rsidR="007E6721" w:rsidRPr="00EE61FE" w:rsidRDefault="00EE61FE" w:rsidP="00EE61FE">
      <w:pPr>
        <w:spacing w:line="480" w:lineRule="auto"/>
        <w:rPr>
          <w:rFonts w:ascii="Times New Roman" w:hAnsi="Times New Roman" w:cs="Times New Roman"/>
          <w:sz w:val="24"/>
          <w:szCs w:val="24"/>
        </w:rPr>
      </w:pPr>
      <w:r w:rsidRPr="00EE61FE">
        <w:rPr>
          <w:rFonts w:ascii="Times New Roman" w:hAnsi="Times New Roman" w:cs="Times New Roman"/>
          <w:b/>
          <w:bCs/>
          <w:sz w:val="24"/>
          <w:szCs w:val="24"/>
        </w:rPr>
        <w:t>References</w:t>
      </w:r>
    </w:p>
    <w:p w14:paraId="4B783310"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fldChar w:fldCharType="begin"/>
      </w:r>
      <w:r w:rsidRPr="00EE61FE">
        <w:rPr>
          <w:rFonts w:ascii="Times New Roman" w:hAnsi="Times New Roman" w:cs="Times New Roman"/>
          <w:sz w:val="24"/>
          <w:szCs w:val="24"/>
        </w:rPr>
        <w:instrText xml:space="preserve"> ADDIN ZOTERO_BIBL {"uncited":[],"omitted":[],"custom":[]} CSL_BIBLIOGRAPHY </w:instrText>
      </w:r>
      <w:r w:rsidRPr="00EE61FE">
        <w:rPr>
          <w:rFonts w:ascii="Times New Roman" w:hAnsi="Times New Roman" w:cs="Times New Roman"/>
          <w:sz w:val="24"/>
          <w:szCs w:val="24"/>
        </w:rPr>
        <w:fldChar w:fldCharType="separate"/>
      </w:r>
      <w:r w:rsidRPr="00EE61FE">
        <w:rPr>
          <w:rFonts w:ascii="Times New Roman" w:hAnsi="Times New Roman" w:cs="Times New Roman"/>
          <w:sz w:val="24"/>
          <w:szCs w:val="24"/>
        </w:rPr>
        <w:t xml:space="preserve">1. </w:t>
      </w:r>
      <w:r w:rsidRPr="00EE61FE">
        <w:rPr>
          <w:rFonts w:ascii="Times New Roman" w:hAnsi="Times New Roman" w:cs="Times New Roman"/>
          <w:sz w:val="24"/>
          <w:szCs w:val="24"/>
        </w:rPr>
        <w:tab/>
        <w:t xml:space="preserve">Arksey H, O’Malley L. Scoping studies: towards a methodological framework. International journal of social research methodology. 2005;8(1):19–32. </w:t>
      </w:r>
    </w:p>
    <w:p w14:paraId="5D4BDCFB"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2. </w:t>
      </w:r>
      <w:r w:rsidRPr="00EE61FE">
        <w:rPr>
          <w:rFonts w:ascii="Times New Roman" w:hAnsi="Times New Roman" w:cs="Times New Roman"/>
          <w:sz w:val="24"/>
          <w:szCs w:val="24"/>
        </w:rPr>
        <w:tab/>
      </w:r>
      <w:proofErr w:type="spellStart"/>
      <w:r w:rsidRPr="00EE61FE">
        <w:rPr>
          <w:rFonts w:ascii="Times New Roman" w:hAnsi="Times New Roman" w:cs="Times New Roman"/>
          <w:sz w:val="24"/>
          <w:szCs w:val="24"/>
        </w:rPr>
        <w:t>Levac</w:t>
      </w:r>
      <w:proofErr w:type="spellEnd"/>
      <w:r w:rsidRPr="00EE61FE">
        <w:rPr>
          <w:rFonts w:ascii="Times New Roman" w:hAnsi="Times New Roman" w:cs="Times New Roman"/>
          <w:sz w:val="24"/>
          <w:szCs w:val="24"/>
        </w:rPr>
        <w:t xml:space="preserve"> D, Colquhoun H, O’Brien KK. Scoping studies: advancing the methodology. Implementation science. 2010;5(1):69. </w:t>
      </w:r>
    </w:p>
    <w:p w14:paraId="42695FCD"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3. </w:t>
      </w:r>
      <w:r w:rsidRPr="00EE61FE">
        <w:rPr>
          <w:rFonts w:ascii="Times New Roman" w:hAnsi="Times New Roman" w:cs="Times New Roman"/>
          <w:sz w:val="24"/>
          <w:szCs w:val="24"/>
        </w:rPr>
        <w:tab/>
        <w:t xml:space="preserve">Koehn PH, Swick HM. Medical education for a changing world: moving beyond cultural competence into transnational competence. Academic Medicine. 2006;81(6):548–56. </w:t>
      </w:r>
    </w:p>
    <w:p w14:paraId="5F8D1469"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4. </w:t>
      </w:r>
      <w:r w:rsidRPr="00EE61FE">
        <w:rPr>
          <w:rFonts w:ascii="Times New Roman" w:hAnsi="Times New Roman" w:cs="Times New Roman"/>
          <w:sz w:val="24"/>
          <w:szCs w:val="24"/>
        </w:rPr>
        <w:tab/>
      </w:r>
      <w:proofErr w:type="spellStart"/>
      <w:r w:rsidRPr="00EE61FE">
        <w:rPr>
          <w:rFonts w:ascii="Times New Roman" w:hAnsi="Times New Roman" w:cs="Times New Roman"/>
          <w:sz w:val="24"/>
          <w:szCs w:val="24"/>
        </w:rPr>
        <w:t>Houpt</w:t>
      </w:r>
      <w:proofErr w:type="spellEnd"/>
      <w:r w:rsidRPr="00EE61FE">
        <w:rPr>
          <w:rFonts w:ascii="Times New Roman" w:hAnsi="Times New Roman" w:cs="Times New Roman"/>
          <w:sz w:val="24"/>
          <w:szCs w:val="24"/>
        </w:rPr>
        <w:t xml:space="preserve"> ER, Pearson RD, Hall TL. Three domains of competency in global health education: recommendations for all medical students. Academic Medicine. 2007;82(3):222–5. </w:t>
      </w:r>
    </w:p>
    <w:p w14:paraId="4254F149"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lastRenderedPageBreak/>
        <w:t xml:space="preserve">5. </w:t>
      </w:r>
      <w:r w:rsidRPr="00EE61FE">
        <w:rPr>
          <w:rFonts w:ascii="Times New Roman" w:hAnsi="Times New Roman" w:cs="Times New Roman"/>
          <w:sz w:val="24"/>
          <w:szCs w:val="24"/>
        </w:rPr>
        <w:tab/>
      </w:r>
      <w:proofErr w:type="spellStart"/>
      <w:r w:rsidRPr="00EE61FE">
        <w:rPr>
          <w:rFonts w:ascii="Times New Roman" w:hAnsi="Times New Roman" w:cs="Times New Roman"/>
          <w:sz w:val="24"/>
          <w:szCs w:val="24"/>
        </w:rPr>
        <w:t>Battat</w:t>
      </w:r>
      <w:proofErr w:type="spellEnd"/>
      <w:r w:rsidRPr="00EE61FE">
        <w:rPr>
          <w:rFonts w:ascii="Times New Roman" w:hAnsi="Times New Roman" w:cs="Times New Roman"/>
          <w:sz w:val="24"/>
          <w:szCs w:val="24"/>
        </w:rPr>
        <w:t xml:space="preserve"> R, Seidman G, Chadi N, Chanda MY, Nehme J, Hulme J, et al. Global health competencies and approaches in medical education: a literature review. BMC Medical Education. 2010;10(1):94. </w:t>
      </w:r>
    </w:p>
    <w:p w14:paraId="4FB961FF"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6. </w:t>
      </w:r>
      <w:r w:rsidRPr="00EE61FE">
        <w:rPr>
          <w:rFonts w:ascii="Times New Roman" w:hAnsi="Times New Roman" w:cs="Times New Roman"/>
          <w:sz w:val="24"/>
          <w:szCs w:val="24"/>
        </w:rPr>
        <w:tab/>
        <w:t xml:space="preserve">Lie D, </w:t>
      </w:r>
      <w:proofErr w:type="spellStart"/>
      <w:r w:rsidRPr="00EE61FE">
        <w:rPr>
          <w:rFonts w:ascii="Times New Roman" w:hAnsi="Times New Roman" w:cs="Times New Roman"/>
          <w:sz w:val="24"/>
          <w:szCs w:val="24"/>
        </w:rPr>
        <w:t>Boker</w:t>
      </w:r>
      <w:proofErr w:type="spellEnd"/>
      <w:r w:rsidRPr="00EE61FE">
        <w:rPr>
          <w:rFonts w:ascii="Times New Roman" w:hAnsi="Times New Roman" w:cs="Times New Roman"/>
          <w:sz w:val="24"/>
          <w:szCs w:val="24"/>
        </w:rPr>
        <w:t xml:space="preserve"> J, Cleveland E. Using the tool for assessing cultural competence training (TACCT) to measure faculty and medical student perceptions of cultural competence instruction in the first three years of the curriculum. Academic Medicine. 2006;81(6):557–64. </w:t>
      </w:r>
    </w:p>
    <w:p w14:paraId="15F163BB"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7. </w:t>
      </w:r>
      <w:r w:rsidRPr="00EE61FE">
        <w:rPr>
          <w:rFonts w:ascii="Times New Roman" w:hAnsi="Times New Roman" w:cs="Times New Roman"/>
          <w:sz w:val="24"/>
          <w:szCs w:val="24"/>
        </w:rPr>
        <w:tab/>
        <w:t>Covidence - Better systematic review management [Internet]. Covidence. [cited 2021 Jan 7]. Available from: https://www.covidence.org/</w:t>
      </w:r>
    </w:p>
    <w:p w14:paraId="688BCC95" w14:textId="77777777" w:rsidR="00EE61FE" w:rsidRPr="00EE61FE" w:rsidRDefault="00EE61FE" w:rsidP="00EE61FE">
      <w:pPr>
        <w:pStyle w:val="Bibliography"/>
        <w:spacing w:after="0" w:line="480" w:lineRule="auto"/>
        <w:rPr>
          <w:rFonts w:ascii="Times New Roman" w:hAnsi="Times New Roman" w:cs="Times New Roman"/>
          <w:sz w:val="24"/>
          <w:szCs w:val="24"/>
        </w:rPr>
      </w:pPr>
      <w:r w:rsidRPr="00EE61FE">
        <w:rPr>
          <w:rFonts w:ascii="Times New Roman" w:hAnsi="Times New Roman" w:cs="Times New Roman"/>
          <w:sz w:val="24"/>
          <w:szCs w:val="24"/>
        </w:rPr>
        <w:t xml:space="preserve">8. </w:t>
      </w:r>
      <w:r w:rsidRPr="00EE61FE">
        <w:rPr>
          <w:rFonts w:ascii="Times New Roman" w:hAnsi="Times New Roman" w:cs="Times New Roman"/>
          <w:sz w:val="24"/>
          <w:szCs w:val="24"/>
        </w:rPr>
        <w:tab/>
        <w:t xml:space="preserve">Kirkpatrick DL. Techniques for evaluating training programs. Classic writings on instructional technology. 1996;1(192):119. </w:t>
      </w:r>
    </w:p>
    <w:p w14:paraId="0000002F" w14:textId="2D5A81E4" w:rsidR="007E6721" w:rsidRPr="00EE61FE" w:rsidRDefault="00EE61FE" w:rsidP="00EE61FE">
      <w:pPr>
        <w:widowControl w:val="0"/>
        <w:pBdr>
          <w:top w:val="nil"/>
          <w:left w:val="nil"/>
          <w:bottom w:val="nil"/>
          <w:right w:val="nil"/>
          <w:between w:val="nil"/>
        </w:pBdr>
        <w:spacing w:line="480" w:lineRule="auto"/>
        <w:ind w:left="384" w:hanging="384"/>
        <w:rPr>
          <w:rFonts w:ascii="Times New Roman" w:hAnsi="Times New Roman" w:cs="Times New Roman"/>
          <w:b/>
          <w:sz w:val="24"/>
          <w:szCs w:val="24"/>
        </w:rPr>
      </w:pPr>
      <w:r w:rsidRPr="00EE61FE">
        <w:rPr>
          <w:rFonts w:ascii="Times New Roman" w:hAnsi="Times New Roman" w:cs="Times New Roman"/>
          <w:sz w:val="24"/>
          <w:szCs w:val="24"/>
        </w:rPr>
        <w:fldChar w:fldCharType="end"/>
      </w:r>
    </w:p>
    <w:p w14:paraId="00000030" w14:textId="1F0FF0DA" w:rsidR="007E6721" w:rsidRPr="00EE61FE" w:rsidRDefault="007E6721" w:rsidP="00EE61FE">
      <w:pPr>
        <w:widowControl w:val="0"/>
        <w:pBdr>
          <w:top w:val="nil"/>
          <w:left w:val="nil"/>
          <w:bottom w:val="nil"/>
          <w:right w:val="nil"/>
          <w:between w:val="nil"/>
        </w:pBdr>
        <w:spacing w:line="480" w:lineRule="auto"/>
        <w:rPr>
          <w:rFonts w:ascii="Times New Roman" w:hAnsi="Times New Roman" w:cs="Times New Roman"/>
          <w:b/>
          <w:sz w:val="24"/>
          <w:szCs w:val="24"/>
        </w:rPr>
      </w:pPr>
    </w:p>
    <w:sectPr w:rsidR="007E6721" w:rsidRPr="00EE61F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6721"/>
    <w:rsid w:val="007E6721"/>
    <w:rsid w:val="00EE6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7B943"/>
  <w15:docId w15:val="{17F4F348-C66D-4AFE-8119-718AE8BB2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ibliography">
    <w:name w:val="Bibliography"/>
    <w:basedOn w:val="Normal"/>
    <w:next w:val="Normal"/>
    <w:uiPriority w:val="37"/>
    <w:unhideWhenUsed/>
    <w:rsid w:val="00EE61FE"/>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2282</Words>
  <Characters>13008</Characters>
  <Application>Microsoft Office Word</Application>
  <DocSecurity>0</DocSecurity>
  <Lines>108</Lines>
  <Paragraphs>30</Paragraphs>
  <ScaleCrop>false</ScaleCrop>
  <Company/>
  <LinksUpToDate>false</LinksUpToDate>
  <CharactersWithSpaces>15260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Maddie Venables</dc:creator>
  <cp:lastModifiedBy>Maddie Venables</cp:lastModifiedBy>
  <cp:revision>2</cp:revision>
  <dcterms:created xsi:type="dcterms:W3CDTF">2021-07-23T04:38:00Z</dcterms:created>
  <dcterms:modified xsi:type="dcterms:W3CDTF">2021-07-23T04:38:00Z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{"style":{"styleID":"http://www.zotero.org/styles/vancouver","locale":"en-US","hasBibliography":true,"bibliographyStyleHasBeenSet":true},"prefs":{"fieldType":"Field","automaticJournalAbbreviations":false,"delayCitationUpdates":false,"noteType":0},"session</vt:lpwstr>
  </property>
  <property fmtid="{D5CDD505-2E9C-101B-9397-08002B2CF9AE}" pid="3" name="ZOTERO_PREF_2">
    <vt:lpwstr>ID":"scYH6Aah","zoteroVersion":"5.0.96.2","dataVersion":4}</vt:lpwstr>
  </property>
</Properties>
</file>