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063F" w14:textId="58BB144D" w:rsidR="003A30B0" w:rsidRPr="00CF494D" w:rsidRDefault="00CF494D">
      <w:pPr>
        <w:rPr>
          <w:i/>
          <w:iCs/>
        </w:rPr>
      </w:pPr>
      <w:r w:rsidRPr="00CF494D">
        <w:rPr>
          <w:i/>
          <w:iCs/>
        </w:rPr>
        <w:t xml:space="preserve">Supplementary Material </w:t>
      </w:r>
    </w:p>
    <w:p w14:paraId="32FFC60F" w14:textId="77777777" w:rsidR="00CF494D" w:rsidRDefault="00CF494D"/>
    <w:p w14:paraId="4AE15460" w14:textId="445DC99B" w:rsidR="00CF494D" w:rsidRDefault="00CF494D" w:rsidP="00CF494D">
      <w:r>
        <w:t>Madeline Ratoza, PT, DPT, PhD, Rupal M Patel, PT, PhD, Julia Chevan, PT, DPT, PhD, MPH, Wayne Brewer, PT, PhD, MPH, Katy Mitchell, PT, PhD</w:t>
      </w:r>
    </w:p>
    <w:p w14:paraId="17430A9A" w14:textId="77777777" w:rsidR="00CF494D" w:rsidRDefault="00CF494D" w:rsidP="00CF494D"/>
    <w:p w14:paraId="23180440" w14:textId="77777777" w:rsidR="00CF494D" w:rsidRPr="00CF494D" w:rsidRDefault="00CF494D" w:rsidP="00CF494D">
      <w:pPr>
        <w:rPr>
          <w:b/>
          <w:bCs/>
        </w:rPr>
      </w:pPr>
      <w:r w:rsidRPr="00CF494D">
        <w:rPr>
          <w:b/>
          <w:bCs/>
        </w:rPr>
        <w:t>1. Data Sources and Cleaning</w:t>
      </w:r>
    </w:p>
    <w:p w14:paraId="0963E0C5" w14:textId="6EFE2F80" w:rsidR="00CF494D" w:rsidRDefault="00CF494D" w:rsidP="00CF494D">
      <w:r>
        <w:t xml:space="preserve">1.1 </w:t>
      </w:r>
      <w:r w:rsidR="003A1A45">
        <w:t>Data Sources</w:t>
      </w:r>
    </w:p>
    <w:p w14:paraId="1A6E7074" w14:textId="77777777" w:rsidR="006B309F" w:rsidRDefault="006B309F" w:rsidP="00CF494D"/>
    <w:p w14:paraId="46006B49" w14:textId="7B2138DA" w:rsidR="006B309F" w:rsidRDefault="006B309F" w:rsidP="00CF494D">
      <w:r w:rsidRPr="006B309F">
        <w:rPr>
          <w:b/>
          <w:bCs/>
        </w:rPr>
        <w:t>Table S1.</w:t>
      </w:r>
      <w:r>
        <w:t xml:space="preserve"> Data Sources</w:t>
      </w:r>
    </w:p>
    <w:tbl>
      <w:tblPr>
        <w:tblStyle w:val="TableGrid"/>
        <w:tblW w:w="0" w:type="auto"/>
        <w:tblLook w:val="04A0" w:firstRow="1" w:lastRow="0" w:firstColumn="1" w:lastColumn="0" w:noHBand="0" w:noVBand="1"/>
      </w:tblPr>
      <w:tblGrid>
        <w:gridCol w:w="1728"/>
        <w:gridCol w:w="1728"/>
        <w:gridCol w:w="1728"/>
        <w:gridCol w:w="1728"/>
        <w:gridCol w:w="1728"/>
      </w:tblGrid>
      <w:tr w:rsidR="003A1A45" w:rsidRPr="003A1A45" w14:paraId="0C3E6D85" w14:textId="77777777" w:rsidTr="00B25ADE">
        <w:tc>
          <w:tcPr>
            <w:tcW w:w="1728" w:type="dxa"/>
          </w:tcPr>
          <w:p w14:paraId="734AD2F1" w14:textId="77777777" w:rsidR="003A1A45" w:rsidRPr="003A1A45" w:rsidRDefault="003A1A45" w:rsidP="003A1A45">
            <w:r w:rsidRPr="003A1A45">
              <w:t>Dataset</w:t>
            </w:r>
          </w:p>
        </w:tc>
        <w:tc>
          <w:tcPr>
            <w:tcW w:w="1728" w:type="dxa"/>
          </w:tcPr>
          <w:p w14:paraId="188B6A3A" w14:textId="77777777" w:rsidR="003A1A45" w:rsidRPr="003A1A45" w:rsidRDefault="003A1A45" w:rsidP="003A1A45">
            <w:r w:rsidRPr="003A1A45">
              <w:t>Year(s) of Data</w:t>
            </w:r>
          </w:p>
        </w:tc>
        <w:tc>
          <w:tcPr>
            <w:tcW w:w="1728" w:type="dxa"/>
          </w:tcPr>
          <w:p w14:paraId="37770485" w14:textId="77777777" w:rsidR="003A1A45" w:rsidRPr="003A1A45" w:rsidRDefault="003A1A45" w:rsidP="003A1A45">
            <w:r w:rsidRPr="003A1A45">
              <w:t>Extraction Date</w:t>
            </w:r>
          </w:p>
        </w:tc>
        <w:tc>
          <w:tcPr>
            <w:tcW w:w="1728" w:type="dxa"/>
          </w:tcPr>
          <w:p w14:paraId="6BF526CC" w14:textId="77777777" w:rsidR="003A1A45" w:rsidRPr="003A1A45" w:rsidRDefault="003A1A45" w:rsidP="003A1A45">
            <w:r w:rsidRPr="003A1A45">
              <w:t>Description of Variables</w:t>
            </w:r>
          </w:p>
        </w:tc>
        <w:tc>
          <w:tcPr>
            <w:tcW w:w="1728" w:type="dxa"/>
          </w:tcPr>
          <w:p w14:paraId="36DE6110" w14:textId="77777777" w:rsidR="003A1A45" w:rsidRPr="003A1A45" w:rsidRDefault="003A1A45" w:rsidP="003A1A45">
            <w:r w:rsidRPr="003A1A45">
              <w:t>Notes</w:t>
            </w:r>
          </w:p>
        </w:tc>
      </w:tr>
      <w:tr w:rsidR="003A1A45" w:rsidRPr="003A1A45" w14:paraId="5B98455A" w14:textId="77777777" w:rsidTr="00B25ADE">
        <w:tc>
          <w:tcPr>
            <w:tcW w:w="1728" w:type="dxa"/>
          </w:tcPr>
          <w:p w14:paraId="51FC3E76" w14:textId="77777777" w:rsidR="003A1A45" w:rsidRPr="003A1A45" w:rsidRDefault="003A1A45" w:rsidP="003A1A45">
            <w:r w:rsidRPr="003A1A45">
              <w:t>Outpatient Clinic Addresses</w:t>
            </w:r>
          </w:p>
        </w:tc>
        <w:tc>
          <w:tcPr>
            <w:tcW w:w="1728" w:type="dxa"/>
          </w:tcPr>
          <w:p w14:paraId="54F52914" w14:textId="77777777" w:rsidR="003A1A45" w:rsidRPr="003A1A45" w:rsidRDefault="003A1A45" w:rsidP="003A1A45">
            <w:r w:rsidRPr="003A1A45">
              <w:t>2022</w:t>
            </w:r>
          </w:p>
        </w:tc>
        <w:tc>
          <w:tcPr>
            <w:tcW w:w="1728" w:type="dxa"/>
          </w:tcPr>
          <w:p w14:paraId="5C35D9E7" w14:textId="77777777" w:rsidR="003A1A45" w:rsidRPr="003A1A45" w:rsidRDefault="003A1A45" w:rsidP="003A1A45">
            <w:r w:rsidRPr="003A1A45">
              <w:t>Sept 2023</w:t>
            </w:r>
          </w:p>
        </w:tc>
        <w:tc>
          <w:tcPr>
            <w:tcW w:w="1728" w:type="dxa"/>
          </w:tcPr>
          <w:p w14:paraId="18F55381" w14:textId="77777777" w:rsidR="003A1A45" w:rsidRPr="003A1A45" w:rsidRDefault="003A1A45" w:rsidP="003A1A45">
            <w:r w:rsidRPr="003A1A45">
              <w:t>Clinic addresses for all licensed PT and OT practice sites in Texas.</w:t>
            </w:r>
          </w:p>
        </w:tc>
        <w:tc>
          <w:tcPr>
            <w:tcW w:w="1728" w:type="dxa"/>
          </w:tcPr>
          <w:p w14:paraId="16913483" w14:textId="77777777" w:rsidR="003A1A45" w:rsidRPr="003A1A45" w:rsidRDefault="003A1A45" w:rsidP="003A1A45">
            <w:r w:rsidRPr="003A1A45">
              <w:t>Extracted from THHS; cleaned to include outpatient, patient-facing sites only.</w:t>
            </w:r>
          </w:p>
        </w:tc>
      </w:tr>
      <w:tr w:rsidR="003A1A45" w:rsidRPr="003A1A45" w14:paraId="5A7AD470" w14:textId="77777777" w:rsidTr="00B25ADE">
        <w:tc>
          <w:tcPr>
            <w:tcW w:w="1728" w:type="dxa"/>
          </w:tcPr>
          <w:p w14:paraId="7BA97DA3" w14:textId="77777777" w:rsidR="003A1A45" w:rsidRPr="003A1A45" w:rsidRDefault="003A1A45" w:rsidP="003A1A45">
            <w:r w:rsidRPr="003A1A45">
              <w:t>Therapist Residential Addresses</w:t>
            </w:r>
          </w:p>
        </w:tc>
        <w:tc>
          <w:tcPr>
            <w:tcW w:w="1728" w:type="dxa"/>
          </w:tcPr>
          <w:p w14:paraId="3045BE4B" w14:textId="77777777" w:rsidR="003A1A45" w:rsidRPr="003A1A45" w:rsidRDefault="003A1A45" w:rsidP="003A1A45">
            <w:r w:rsidRPr="003A1A45">
              <w:t>2022</w:t>
            </w:r>
          </w:p>
        </w:tc>
        <w:tc>
          <w:tcPr>
            <w:tcW w:w="1728" w:type="dxa"/>
          </w:tcPr>
          <w:p w14:paraId="7EA20242" w14:textId="77777777" w:rsidR="003A1A45" w:rsidRPr="003A1A45" w:rsidRDefault="003A1A45" w:rsidP="003A1A45">
            <w:r w:rsidRPr="003A1A45">
              <w:t>Nov 2022</w:t>
            </w:r>
          </w:p>
        </w:tc>
        <w:tc>
          <w:tcPr>
            <w:tcW w:w="1728" w:type="dxa"/>
          </w:tcPr>
          <w:p w14:paraId="283D94F7" w14:textId="77777777" w:rsidR="003A1A45" w:rsidRPr="003A1A45" w:rsidRDefault="003A1A45" w:rsidP="003A1A45">
            <w:r w:rsidRPr="003A1A45">
              <w:t>Residential addresses of all actively licensed PTs and OTs.</w:t>
            </w:r>
          </w:p>
        </w:tc>
        <w:tc>
          <w:tcPr>
            <w:tcW w:w="1728" w:type="dxa"/>
          </w:tcPr>
          <w:p w14:paraId="5D888C4A" w14:textId="77777777" w:rsidR="003A1A45" w:rsidRPr="003A1A45" w:rsidRDefault="003A1A45" w:rsidP="003A1A45">
            <w:r w:rsidRPr="003A1A45">
              <w:t>Obtained via ECPTOTE open records request; used for workforce mapping.</w:t>
            </w:r>
          </w:p>
        </w:tc>
      </w:tr>
      <w:tr w:rsidR="003A1A45" w:rsidRPr="003A1A45" w14:paraId="159DA639" w14:textId="77777777" w:rsidTr="00B25ADE">
        <w:tc>
          <w:tcPr>
            <w:tcW w:w="1728" w:type="dxa"/>
          </w:tcPr>
          <w:p w14:paraId="3534B98F" w14:textId="77777777" w:rsidR="003A1A45" w:rsidRPr="003A1A45" w:rsidRDefault="003A1A45" w:rsidP="003A1A45">
            <w:r w:rsidRPr="003A1A45">
              <w:t>Community-Level Demographics</w:t>
            </w:r>
          </w:p>
        </w:tc>
        <w:tc>
          <w:tcPr>
            <w:tcW w:w="1728" w:type="dxa"/>
          </w:tcPr>
          <w:p w14:paraId="42BF79DE" w14:textId="77777777" w:rsidR="003A1A45" w:rsidRPr="003A1A45" w:rsidRDefault="003A1A45" w:rsidP="003A1A45">
            <w:r w:rsidRPr="003A1A45">
              <w:t>2020</w:t>
            </w:r>
          </w:p>
        </w:tc>
        <w:tc>
          <w:tcPr>
            <w:tcW w:w="1728" w:type="dxa"/>
          </w:tcPr>
          <w:p w14:paraId="46B30819" w14:textId="77777777" w:rsidR="003A1A45" w:rsidRPr="003A1A45" w:rsidRDefault="003A1A45" w:rsidP="003A1A45">
            <w:r w:rsidRPr="003A1A45">
              <w:t>Nov 2023</w:t>
            </w:r>
          </w:p>
        </w:tc>
        <w:tc>
          <w:tcPr>
            <w:tcW w:w="1728" w:type="dxa"/>
          </w:tcPr>
          <w:p w14:paraId="5D4A87BD" w14:textId="77777777" w:rsidR="003A1A45" w:rsidRPr="003A1A45" w:rsidRDefault="003A1A45" w:rsidP="003A1A45">
            <w:r w:rsidRPr="003A1A45">
              <w:t>Census tract data: population, race/ethnicity, poverty, disability, vehicle access, education.</w:t>
            </w:r>
          </w:p>
        </w:tc>
        <w:tc>
          <w:tcPr>
            <w:tcW w:w="1728" w:type="dxa"/>
          </w:tcPr>
          <w:p w14:paraId="0F4643A4" w14:textId="77777777" w:rsidR="003A1A45" w:rsidRPr="003A1A45" w:rsidRDefault="003A1A45" w:rsidP="003A1A45">
            <w:r w:rsidRPr="003A1A45">
              <w:t>From ACS 5-Year Estimates.</w:t>
            </w:r>
          </w:p>
        </w:tc>
      </w:tr>
    </w:tbl>
    <w:p w14:paraId="3873F43D" w14:textId="77777777" w:rsidR="003A1A45" w:rsidRDefault="003A1A45" w:rsidP="003A1A45"/>
    <w:p w14:paraId="7367570D" w14:textId="3DF416A6" w:rsidR="00CF494D" w:rsidRDefault="00CF494D" w:rsidP="00CF494D">
      <w:r>
        <w:t>1.</w:t>
      </w:r>
      <w:r w:rsidR="003A1A45">
        <w:t xml:space="preserve">2 </w:t>
      </w:r>
      <w:r>
        <w:t>Data Cleaning Workflow</w:t>
      </w:r>
    </w:p>
    <w:p w14:paraId="521B6E13" w14:textId="77777777" w:rsidR="003A1A45" w:rsidRDefault="003A1A45" w:rsidP="00CF494D"/>
    <w:p w14:paraId="2D7A0135" w14:textId="3EA484AA" w:rsidR="00B84233" w:rsidRDefault="00CF494D" w:rsidP="00CF494D">
      <w:r w:rsidRPr="003A1A45">
        <w:rPr>
          <w:b/>
          <w:bCs/>
        </w:rPr>
        <w:t>Table S</w:t>
      </w:r>
      <w:r w:rsidR="006B309F">
        <w:rPr>
          <w:b/>
          <w:bCs/>
        </w:rPr>
        <w:t>2</w:t>
      </w:r>
      <w:r w:rsidRPr="003A1A45">
        <w:rPr>
          <w:b/>
          <w:bCs/>
        </w:rPr>
        <w:t>.</w:t>
      </w:r>
      <w:r>
        <w:t xml:space="preserve"> Summary of clinic address verification and duplicates removed.</w:t>
      </w:r>
    </w:p>
    <w:tbl>
      <w:tblPr>
        <w:tblStyle w:val="TableGrid"/>
        <w:tblW w:w="0" w:type="auto"/>
        <w:tblLook w:val="04A0" w:firstRow="1" w:lastRow="0" w:firstColumn="1" w:lastColumn="0" w:noHBand="0" w:noVBand="1"/>
      </w:tblPr>
      <w:tblGrid>
        <w:gridCol w:w="2880"/>
        <w:gridCol w:w="2880"/>
        <w:gridCol w:w="2880"/>
      </w:tblGrid>
      <w:tr w:rsidR="003A1A45" w:rsidRPr="003A1A45" w14:paraId="052BCDDB" w14:textId="77777777" w:rsidTr="00B25ADE">
        <w:tc>
          <w:tcPr>
            <w:tcW w:w="2880" w:type="dxa"/>
          </w:tcPr>
          <w:p w14:paraId="347541D1" w14:textId="77777777" w:rsidR="003A1A45" w:rsidRPr="003A1A45" w:rsidRDefault="003A1A45" w:rsidP="003A1A45">
            <w:r w:rsidRPr="003A1A45">
              <w:t>Step</w:t>
            </w:r>
          </w:p>
        </w:tc>
        <w:tc>
          <w:tcPr>
            <w:tcW w:w="2880" w:type="dxa"/>
          </w:tcPr>
          <w:p w14:paraId="116ABE6E" w14:textId="77777777" w:rsidR="003A1A45" w:rsidRPr="003A1A45" w:rsidRDefault="003A1A45" w:rsidP="003A1A45">
            <w:r w:rsidRPr="003A1A45">
              <w:t>Description</w:t>
            </w:r>
          </w:p>
        </w:tc>
        <w:tc>
          <w:tcPr>
            <w:tcW w:w="2880" w:type="dxa"/>
          </w:tcPr>
          <w:p w14:paraId="47182AB9" w14:textId="77777777" w:rsidR="003A1A45" w:rsidRPr="003A1A45" w:rsidRDefault="003A1A45" w:rsidP="003A1A45">
            <w:r w:rsidRPr="003A1A45">
              <w:t>Count (n)</w:t>
            </w:r>
          </w:p>
        </w:tc>
      </w:tr>
      <w:tr w:rsidR="003A1A45" w:rsidRPr="003A1A45" w14:paraId="47072DF1" w14:textId="77777777" w:rsidTr="00B25ADE">
        <w:tc>
          <w:tcPr>
            <w:tcW w:w="2880" w:type="dxa"/>
          </w:tcPr>
          <w:p w14:paraId="7C850B71" w14:textId="77777777" w:rsidR="003A1A45" w:rsidRPr="003A1A45" w:rsidRDefault="003A1A45" w:rsidP="003A1A45">
            <w:r w:rsidRPr="003A1A45">
              <w:t>Initial combined dataset</w:t>
            </w:r>
          </w:p>
        </w:tc>
        <w:tc>
          <w:tcPr>
            <w:tcW w:w="2880" w:type="dxa"/>
          </w:tcPr>
          <w:p w14:paraId="1714F9CB" w14:textId="77777777" w:rsidR="003A1A45" w:rsidRPr="003A1A45" w:rsidRDefault="003A1A45" w:rsidP="003A1A45">
            <w:r w:rsidRPr="003A1A45">
              <w:t>All licensed PT/OT practice sites in Texas (from THHS licensure database, Sept 2022)</w:t>
            </w:r>
          </w:p>
        </w:tc>
        <w:tc>
          <w:tcPr>
            <w:tcW w:w="2880" w:type="dxa"/>
          </w:tcPr>
          <w:p w14:paraId="1ABFB172" w14:textId="77777777" w:rsidR="003A1A45" w:rsidRPr="003A1A45" w:rsidRDefault="003A1A45" w:rsidP="003A1A45">
            <w:r w:rsidRPr="003A1A45">
              <w:t>21,634</w:t>
            </w:r>
          </w:p>
        </w:tc>
      </w:tr>
      <w:tr w:rsidR="003A1A45" w:rsidRPr="003A1A45" w14:paraId="5519F749" w14:textId="77777777" w:rsidTr="00B25ADE">
        <w:tc>
          <w:tcPr>
            <w:tcW w:w="2880" w:type="dxa"/>
          </w:tcPr>
          <w:p w14:paraId="797A53FC" w14:textId="77777777" w:rsidR="003A1A45" w:rsidRPr="003A1A45" w:rsidRDefault="003A1A45" w:rsidP="003A1A45">
            <w:r w:rsidRPr="003A1A45">
              <w:lastRenderedPageBreak/>
              <w:t>Exact duplicates removed</w:t>
            </w:r>
          </w:p>
        </w:tc>
        <w:tc>
          <w:tcPr>
            <w:tcW w:w="2880" w:type="dxa"/>
          </w:tcPr>
          <w:p w14:paraId="64F4D7CA" w14:textId="77777777" w:rsidR="003A1A45" w:rsidRPr="003A1A45" w:rsidRDefault="003A1A45" w:rsidP="003A1A45">
            <w:r w:rsidRPr="003A1A45">
              <w:t>Identified with Excel conditional formatting &amp; COUNTIF</w:t>
            </w:r>
          </w:p>
        </w:tc>
        <w:tc>
          <w:tcPr>
            <w:tcW w:w="2880" w:type="dxa"/>
          </w:tcPr>
          <w:p w14:paraId="20075A25" w14:textId="77777777" w:rsidR="003A1A45" w:rsidRPr="003A1A45" w:rsidRDefault="003A1A45" w:rsidP="003A1A45">
            <w:r w:rsidRPr="003A1A45">
              <w:t>3,090</w:t>
            </w:r>
          </w:p>
        </w:tc>
      </w:tr>
      <w:tr w:rsidR="003A1A45" w:rsidRPr="003A1A45" w14:paraId="58B80DEB" w14:textId="77777777" w:rsidTr="00B25ADE">
        <w:tc>
          <w:tcPr>
            <w:tcW w:w="2880" w:type="dxa"/>
          </w:tcPr>
          <w:p w14:paraId="60308E0C" w14:textId="77777777" w:rsidR="003A1A45" w:rsidRPr="003A1A45" w:rsidRDefault="003A1A45" w:rsidP="003A1A45">
            <w:r w:rsidRPr="003A1A45">
              <w:t>Near duplicates removed</w:t>
            </w:r>
          </w:p>
        </w:tc>
        <w:tc>
          <w:tcPr>
            <w:tcW w:w="2880" w:type="dxa"/>
          </w:tcPr>
          <w:p w14:paraId="41C65D18" w14:textId="77777777" w:rsidR="003A1A45" w:rsidRPr="003A1A45" w:rsidRDefault="003A1A45" w:rsidP="003A1A45">
            <w:r w:rsidRPr="003A1A45">
              <w:t>Standardized via manual review</w:t>
            </w:r>
          </w:p>
        </w:tc>
        <w:tc>
          <w:tcPr>
            <w:tcW w:w="2880" w:type="dxa"/>
          </w:tcPr>
          <w:p w14:paraId="71EE296C" w14:textId="77777777" w:rsidR="003A1A45" w:rsidRPr="003A1A45" w:rsidRDefault="003A1A45" w:rsidP="003A1A45">
            <w:r w:rsidRPr="003A1A45">
              <w:t>11,104</w:t>
            </w:r>
          </w:p>
        </w:tc>
      </w:tr>
      <w:tr w:rsidR="003A1A45" w:rsidRPr="003A1A45" w14:paraId="242CDD09" w14:textId="77777777" w:rsidTr="00B25ADE">
        <w:tc>
          <w:tcPr>
            <w:tcW w:w="2880" w:type="dxa"/>
          </w:tcPr>
          <w:p w14:paraId="27FAC99D" w14:textId="77777777" w:rsidR="003A1A45" w:rsidRPr="003A1A45" w:rsidRDefault="003A1A45" w:rsidP="003A1A45">
            <w:r w:rsidRPr="003A1A45">
              <w:t>Addresses verified</w:t>
            </w:r>
          </w:p>
        </w:tc>
        <w:tc>
          <w:tcPr>
            <w:tcW w:w="2880" w:type="dxa"/>
          </w:tcPr>
          <w:p w14:paraId="5B154C53" w14:textId="77777777" w:rsidR="003A1A45" w:rsidRPr="003A1A45" w:rsidRDefault="003A1A45" w:rsidP="003A1A45">
            <w:r w:rsidRPr="003A1A45">
              <w:t>Verified via Google search &amp; phone calls (pilot-tested, reviewed by second researcher)</w:t>
            </w:r>
          </w:p>
        </w:tc>
        <w:tc>
          <w:tcPr>
            <w:tcW w:w="2880" w:type="dxa"/>
          </w:tcPr>
          <w:p w14:paraId="5B1DE025" w14:textId="77777777" w:rsidR="003A1A45" w:rsidRPr="003A1A45" w:rsidRDefault="003A1A45" w:rsidP="003A1A45">
            <w:r w:rsidRPr="003A1A45">
              <w:t>All remaining</w:t>
            </w:r>
          </w:p>
        </w:tc>
      </w:tr>
      <w:tr w:rsidR="003A1A45" w:rsidRPr="003A1A45" w14:paraId="6E6C0686" w14:textId="77777777" w:rsidTr="00B25ADE">
        <w:tc>
          <w:tcPr>
            <w:tcW w:w="2880" w:type="dxa"/>
          </w:tcPr>
          <w:p w14:paraId="682863D4" w14:textId="77777777" w:rsidR="003A1A45" w:rsidRPr="003A1A45" w:rsidRDefault="003A1A45" w:rsidP="003A1A45">
            <w:r w:rsidRPr="003A1A45">
              <w:t>Additional duplicates removed during verification</w:t>
            </w:r>
          </w:p>
        </w:tc>
        <w:tc>
          <w:tcPr>
            <w:tcW w:w="2880" w:type="dxa"/>
          </w:tcPr>
          <w:p w14:paraId="708AB9BE" w14:textId="77777777" w:rsidR="003A1A45" w:rsidRPr="003A1A45" w:rsidRDefault="003A1A45" w:rsidP="003A1A45">
            <w:r w:rsidRPr="003A1A45">
              <w:t>Identified and removed during manual verification</w:t>
            </w:r>
          </w:p>
        </w:tc>
        <w:tc>
          <w:tcPr>
            <w:tcW w:w="2880" w:type="dxa"/>
          </w:tcPr>
          <w:p w14:paraId="1504A649" w14:textId="77777777" w:rsidR="003A1A45" w:rsidRPr="003A1A45" w:rsidRDefault="003A1A45" w:rsidP="003A1A45">
            <w:r w:rsidRPr="003A1A45">
              <w:t>332</w:t>
            </w:r>
          </w:p>
        </w:tc>
      </w:tr>
      <w:tr w:rsidR="003A1A45" w:rsidRPr="003A1A45" w14:paraId="7458FBFC" w14:textId="77777777" w:rsidTr="00B25ADE">
        <w:tc>
          <w:tcPr>
            <w:tcW w:w="2880" w:type="dxa"/>
          </w:tcPr>
          <w:p w14:paraId="414331E0" w14:textId="77777777" w:rsidR="003A1A45" w:rsidRPr="003A1A45" w:rsidRDefault="003A1A45" w:rsidP="003A1A45">
            <w:r w:rsidRPr="003A1A45">
              <w:t>Final outpatient clinic count</w:t>
            </w:r>
          </w:p>
        </w:tc>
        <w:tc>
          <w:tcPr>
            <w:tcW w:w="2880" w:type="dxa"/>
          </w:tcPr>
          <w:p w14:paraId="49DD2721" w14:textId="77777777" w:rsidR="003A1A45" w:rsidRPr="003A1A45" w:rsidRDefault="003A1A45" w:rsidP="003A1A45">
            <w:r w:rsidRPr="003A1A45">
              <w:t>Unique, verified outpatient PT/OT practice sites included in analysis</w:t>
            </w:r>
          </w:p>
        </w:tc>
        <w:tc>
          <w:tcPr>
            <w:tcW w:w="2880" w:type="dxa"/>
          </w:tcPr>
          <w:p w14:paraId="44330524" w14:textId="77777777" w:rsidR="003A1A45" w:rsidRPr="003A1A45" w:rsidRDefault="003A1A45" w:rsidP="003A1A45">
            <w:r w:rsidRPr="003A1A45">
              <w:t>2,255</w:t>
            </w:r>
          </w:p>
        </w:tc>
      </w:tr>
    </w:tbl>
    <w:p w14:paraId="14C7DE72" w14:textId="1665B40E" w:rsidR="003A1A45" w:rsidRPr="003A1A45" w:rsidRDefault="003A1A45" w:rsidP="003A1A45">
      <w:r w:rsidRPr="003A1A45">
        <w:t xml:space="preserve">Note: Figure </w:t>
      </w:r>
      <w:r>
        <w:t>S1</w:t>
      </w:r>
      <w:r w:rsidRPr="003A1A45">
        <w:t xml:space="preserve"> provides a visual flowchart of this data cleaning and verification process.</w:t>
      </w:r>
    </w:p>
    <w:p w14:paraId="7EF5A584" w14:textId="77777777" w:rsidR="00B84233" w:rsidRDefault="00B84233" w:rsidP="00CF494D"/>
    <w:p w14:paraId="74EDD201" w14:textId="77777777" w:rsidR="00B84233" w:rsidRDefault="00CF494D" w:rsidP="00CF494D">
      <w:r w:rsidRPr="003A1A45">
        <w:rPr>
          <w:b/>
          <w:bCs/>
        </w:rPr>
        <w:t>Figure S1.</w:t>
      </w:r>
      <w:r>
        <w:t xml:space="preserve"> </w:t>
      </w:r>
      <w:r w:rsidR="00B84233">
        <w:t>Workflow for Geospatial and Data Analysis</w:t>
      </w:r>
    </w:p>
    <w:p w14:paraId="74065432" w14:textId="31D90AD6" w:rsidR="00B84233" w:rsidRDefault="00B84233" w:rsidP="00CF494D">
      <w:r>
        <w:rPr>
          <w:rFonts w:ascii="Times New Roman" w:hAnsi="Times New Roman" w:cs="Times New Roman"/>
          <w:b/>
          <w:bCs/>
          <w:noProof/>
          <w:sz w:val="22"/>
          <w:szCs w:val="22"/>
        </w:rPr>
        <w:drawing>
          <wp:inline distT="0" distB="0" distL="0" distR="0" wp14:anchorId="6E817334" wp14:editId="7AB5B513">
            <wp:extent cx="5943600" cy="3343275"/>
            <wp:effectExtent l="0" t="0" r="0" b="0"/>
            <wp:docPr id="1780161193" name="Picture 24" descr="A diagram of a step-by-step analys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61193" name="Picture 24" descr="A diagram of a step-by-step analysi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70429B0" w14:textId="77777777" w:rsidR="003A1A45" w:rsidRDefault="003A1A45" w:rsidP="00CF494D">
      <w:pPr>
        <w:rPr>
          <w:b/>
          <w:bCs/>
        </w:rPr>
      </w:pPr>
    </w:p>
    <w:p w14:paraId="49DD723C" w14:textId="77777777" w:rsidR="003A1A45" w:rsidRDefault="003A1A45" w:rsidP="00CF494D">
      <w:pPr>
        <w:rPr>
          <w:b/>
          <w:bCs/>
        </w:rPr>
      </w:pPr>
    </w:p>
    <w:p w14:paraId="3A4BD8C9" w14:textId="77777777" w:rsidR="003A1A45" w:rsidRDefault="003A1A45" w:rsidP="00CF494D">
      <w:pPr>
        <w:rPr>
          <w:b/>
          <w:bCs/>
        </w:rPr>
      </w:pPr>
    </w:p>
    <w:p w14:paraId="433A60A6" w14:textId="77777777" w:rsidR="003A1A45" w:rsidRDefault="003A1A45" w:rsidP="00CF494D">
      <w:pPr>
        <w:rPr>
          <w:b/>
          <w:bCs/>
        </w:rPr>
      </w:pPr>
    </w:p>
    <w:p w14:paraId="1590B2AA" w14:textId="77777777" w:rsidR="003A1A45" w:rsidRDefault="003A1A45" w:rsidP="00CF494D">
      <w:pPr>
        <w:rPr>
          <w:b/>
          <w:bCs/>
        </w:rPr>
      </w:pPr>
    </w:p>
    <w:p w14:paraId="34B312EF" w14:textId="77777777" w:rsidR="003A1A45" w:rsidRDefault="003A1A45" w:rsidP="00CF494D">
      <w:pPr>
        <w:rPr>
          <w:b/>
          <w:bCs/>
        </w:rPr>
      </w:pPr>
    </w:p>
    <w:p w14:paraId="34B754AD" w14:textId="77777777" w:rsidR="003A1A45" w:rsidRDefault="003A1A45" w:rsidP="00CF494D">
      <w:pPr>
        <w:rPr>
          <w:b/>
          <w:bCs/>
        </w:rPr>
      </w:pPr>
    </w:p>
    <w:p w14:paraId="2228D887" w14:textId="77777777" w:rsidR="003A1A45" w:rsidRDefault="003A1A45" w:rsidP="00CF494D">
      <w:pPr>
        <w:rPr>
          <w:b/>
          <w:bCs/>
        </w:rPr>
      </w:pPr>
    </w:p>
    <w:p w14:paraId="7B5C4954" w14:textId="77777777" w:rsidR="003A1A45" w:rsidRDefault="003A1A45" w:rsidP="00CF494D">
      <w:pPr>
        <w:rPr>
          <w:b/>
          <w:bCs/>
        </w:rPr>
      </w:pPr>
    </w:p>
    <w:p w14:paraId="34C46B93" w14:textId="77777777" w:rsidR="003A1A45" w:rsidRDefault="003A1A45" w:rsidP="00CF494D">
      <w:pPr>
        <w:rPr>
          <w:b/>
          <w:bCs/>
        </w:rPr>
      </w:pPr>
    </w:p>
    <w:p w14:paraId="678D5CA7" w14:textId="77777777" w:rsidR="003A1A45" w:rsidRDefault="003A1A45" w:rsidP="00CF494D">
      <w:pPr>
        <w:rPr>
          <w:b/>
          <w:bCs/>
        </w:rPr>
      </w:pPr>
    </w:p>
    <w:p w14:paraId="7630C28E" w14:textId="6E5FAD6F" w:rsidR="00CF494D" w:rsidRDefault="00B84233" w:rsidP="00CF494D">
      <w:r w:rsidRPr="003A1A45">
        <w:rPr>
          <w:b/>
          <w:bCs/>
        </w:rPr>
        <w:t>Figure S2.</w:t>
      </w:r>
      <w:r>
        <w:t xml:space="preserve"> </w:t>
      </w:r>
      <w:r w:rsidRPr="00B84233">
        <w:t>Data Cleaning and Verification Process of Outpatient Clinic Locations in Texas</w:t>
      </w:r>
    </w:p>
    <w:p w14:paraId="3FDF2E63" w14:textId="700352C5" w:rsidR="00B84233" w:rsidRDefault="00B84233" w:rsidP="00CF494D">
      <w:r>
        <w:rPr>
          <w:rFonts w:ascii="Times New Roman" w:hAnsi="Times New Roman" w:cs="Times New Roman"/>
          <w:noProof/>
          <w:sz w:val="22"/>
          <w:szCs w:val="22"/>
        </w:rPr>
        <w:drawing>
          <wp:inline distT="0" distB="0" distL="0" distR="0" wp14:anchorId="4A8B425B" wp14:editId="3E165B34">
            <wp:extent cx="5334713" cy="7112950"/>
            <wp:effectExtent l="0" t="0" r="0" b="0"/>
            <wp:docPr id="1449534467" name="Picture 1" descr="A diagram of a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34467" name="Picture 1" descr="A diagram of a procedur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7375" cy="7116499"/>
                    </a:xfrm>
                    <a:prstGeom prst="rect">
                      <a:avLst/>
                    </a:prstGeom>
                  </pic:spPr>
                </pic:pic>
              </a:graphicData>
            </a:graphic>
          </wp:inline>
        </w:drawing>
      </w:r>
    </w:p>
    <w:p w14:paraId="47A4ABAF" w14:textId="77777777" w:rsidR="00CF494D" w:rsidRDefault="00CF494D" w:rsidP="00CF494D"/>
    <w:p w14:paraId="6B86A9C9" w14:textId="77777777" w:rsidR="003A1A45" w:rsidRDefault="003A1A45" w:rsidP="00CF494D"/>
    <w:p w14:paraId="4C5B2D2A" w14:textId="77777777" w:rsidR="003A1A45" w:rsidRDefault="003A1A45" w:rsidP="00CF494D"/>
    <w:p w14:paraId="1F6C3598" w14:textId="77777777" w:rsidR="003A1A45" w:rsidRDefault="003A1A45" w:rsidP="00CF494D"/>
    <w:p w14:paraId="555D0BEA" w14:textId="77777777" w:rsidR="003A1A45" w:rsidRDefault="003A1A45" w:rsidP="00CF494D"/>
    <w:p w14:paraId="135B3A35" w14:textId="77777777" w:rsidR="00CF494D" w:rsidRPr="00CF494D" w:rsidRDefault="00CF494D" w:rsidP="00CF494D">
      <w:pPr>
        <w:rPr>
          <w:b/>
          <w:bCs/>
        </w:rPr>
      </w:pPr>
      <w:r w:rsidRPr="00CF494D">
        <w:rPr>
          <w:b/>
          <w:bCs/>
        </w:rPr>
        <w:t>2. GIS Workflow Documentation</w:t>
      </w:r>
    </w:p>
    <w:p w14:paraId="585868BA" w14:textId="586DD07D" w:rsidR="00CF494D" w:rsidRPr="00CF494D" w:rsidRDefault="00CF494D" w:rsidP="00CF494D">
      <w:r w:rsidRPr="00CF494D">
        <w:t>2.1 Origin–Destination (OD) Cost Matrix</w:t>
      </w:r>
    </w:p>
    <w:p w14:paraId="16BC1EA2" w14:textId="16E4957F" w:rsidR="003A1A45" w:rsidRDefault="003A1A45" w:rsidP="003A1A45">
      <w:r>
        <w:t xml:space="preserve">An Origin–Destination (OD) Cost Matrix analysis was performed in ArcGIS Pro (v3.3, ESRI) to calculate travel times from the geographic centroid of each Texas census tract (n = 6,896) to the nearest outpatient rehabilitation clinic (n = 2,255). Centroids were created using the Feature to Point tool, with each tract represented as a single origin point. </w:t>
      </w:r>
      <w:proofErr w:type="spellStart"/>
      <w:r>
        <w:t>StreetMap</w:t>
      </w:r>
      <w:proofErr w:type="spellEnd"/>
      <w:r>
        <w:t xml:space="preserve"> Premium, a commercial dataset with comprehensive road connectivity, routing, and elevation attributes, was used to ensure accurate statewide travel-time modeling. The OD Cost Matrix tool was configured with Driving Time as the travel mode, limiting results to one destination per origin. The resulting output table included origin-to-destination travel time and distance in minutes, which was later joined to census tract attributes for mapping and descriptive summaries.</w:t>
      </w:r>
    </w:p>
    <w:p w14:paraId="11350CBA" w14:textId="77777777" w:rsidR="003A1A45" w:rsidRDefault="003A1A45" w:rsidP="003A1A45"/>
    <w:p w14:paraId="7FB1BEF3" w14:textId="30A058A6" w:rsidR="00CF494D" w:rsidRDefault="00CF494D" w:rsidP="00CF494D">
      <w:r>
        <w:t>2.2 Two-Step Floating Catchment Area (2SFCA)</w:t>
      </w:r>
    </w:p>
    <w:p w14:paraId="3210B9F9" w14:textId="220BE12F" w:rsidR="003A1A45" w:rsidRDefault="003A1A45" w:rsidP="003A1A45">
      <w:r>
        <w:t>The 2SFCA method was used to calculate a tract-level Accessibility Index incorporating both provider supply and population demand. A 15-minute drive-time catchment threshold was selected based on prior literature demonstrating this interval as a reasonable distance for outpatient service access in urban and rural contexts. The analysis proceeded in two steps:</w:t>
      </w:r>
    </w:p>
    <w:p w14:paraId="1DA573E3" w14:textId="5775777D" w:rsidR="003A1A45" w:rsidRDefault="003A1A45" w:rsidP="003A1A45">
      <w:pPr>
        <w:pStyle w:val="ListParagraph"/>
        <w:numPr>
          <w:ilvl w:val="0"/>
          <w:numId w:val="10"/>
        </w:numPr>
      </w:pPr>
      <w:r>
        <w:t>Supply Ratio Calculation: For each clinic (supply point), a 15-minute catchment was generated, and the provider-to-population ratio (</w:t>
      </w:r>
      <w:proofErr w:type="spellStart"/>
      <w:r>
        <w:t>Rj</w:t>
      </w:r>
      <w:proofErr w:type="spellEnd"/>
      <w:r>
        <w:t>) was calculated based on all census tracts (demand points) within that catchment.</w:t>
      </w:r>
    </w:p>
    <w:p w14:paraId="26101EFB" w14:textId="23298458" w:rsidR="003A1A45" w:rsidRDefault="003A1A45" w:rsidP="003A1A45">
      <w:pPr>
        <w:pStyle w:val="ListParagraph"/>
        <w:numPr>
          <w:ilvl w:val="0"/>
          <w:numId w:val="10"/>
        </w:numPr>
      </w:pPr>
      <w:r>
        <w:t>Accessibility Index Calculation: For each tract, the provider-to-population ratios from all clinics within 15 minutes were summed, yielding the final Accessibility Index (Ai).</w:t>
      </w:r>
    </w:p>
    <w:p w14:paraId="2B8A755B" w14:textId="53814A4A" w:rsidR="003A1A45" w:rsidRDefault="003A1A45" w:rsidP="003A1A45">
      <w:r>
        <w:t>Mathematical definitions of variables and equations are provided below:</w:t>
      </w:r>
    </w:p>
    <w:p w14:paraId="49E75ABC" w14:textId="77777777" w:rsidR="003A1A45" w:rsidRDefault="003A1A45" w:rsidP="003A1A45"/>
    <w:p w14:paraId="20930ED0" w14:textId="63DA2798" w:rsidR="003A1A45" w:rsidRPr="003A1A45" w:rsidRDefault="00000000" w:rsidP="003A1A45">
      <w:pPr>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j</m:t>
                  </m:r>
                </m:sub>
              </m:sSub>
            </m:num>
            <m:den>
              <m:nary>
                <m:naryPr>
                  <m:chr m:val="∑"/>
                  <m:limLoc m:val="undOvr"/>
                  <m:supHide m:val="1"/>
                  <m:ctrlPr>
                    <w:rPr>
                      <w:rFonts w:ascii="Cambria Math" w:hAnsi="Cambria Math"/>
                      <w:i/>
                    </w:rPr>
                  </m:ctrlPr>
                </m:naryPr>
                <m:sub>
                  <m:r>
                    <w:rPr>
                      <w:rFonts w:ascii="Cambria Math" w:hAnsi="Cambria Math"/>
                    </w:rPr>
                    <m:t>∈{d_kj≤d_0}</m:t>
                  </m:r>
                </m:sub>
                <m:sup/>
                <m:e/>
              </m:nary>
              <m:sSub>
                <m:sSubPr>
                  <m:ctrlPr>
                    <w:rPr>
                      <w:rFonts w:ascii="Cambria Math" w:hAnsi="Cambria Math"/>
                      <w:i/>
                    </w:rPr>
                  </m:ctrlPr>
                </m:sSubPr>
                <m:e>
                  <m:r>
                    <w:rPr>
                      <w:rFonts w:ascii="Cambria Math" w:hAnsi="Cambria Math"/>
                    </w:rPr>
                    <m:t>D</m:t>
                  </m:r>
                </m:e>
                <m:sub>
                  <m:r>
                    <w:rPr>
                      <w:rFonts w:ascii="Cambria Math" w:hAnsi="Cambria Math"/>
                    </w:rPr>
                    <m:t>k</m:t>
                  </m:r>
                </m:sub>
              </m:sSub>
            </m:den>
          </m:f>
        </m:oMath>
      </m:oMathPara>
    </w:p>
    <w:p w14:paraId="51467F5A" w14:textId="77777777" w:rsidR="003A1A45" w:rsidRPr="003A1A45" w:rsidRDefault="003A1A45" w:rsidP="003A1A45">
      <w:pPr>
        <w:rPr>
          <w:i/>
        </w:rPr>
      </w:pPr>
    </w:p>
    <w:p w14:paraId="189084B4" w14:textId="65D38D86" w:rsidR="003A1A45" w:rsidRPr="003A1A45" w:rsidRDefault="00000000" w:rsidP="003A1A45">
      <w:pPr>
        <w:rPr>
          <w:rFonts w:eastAsiaTheme="minorEastAsia"/>
        </w:rPr>
      </w:pPr>
      <m:oMathPara>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d</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m:t>
                  </m:r>
                </m:sub>
              </m:sSub>
              <m:r>
                <w:rPr>
                  <w:rFonts w:ascii="Cambria Math" w:hAnsi="Cambria Math"/>
                </w:rPr>
                <m:t>}</m:t>
              </m:r>
            </m:sub>
            <m:sup/>
            <m:e>
              <m:sSub>
                <m:sSubPr>
                  <m:ctrlPr>
                    <w:rPr>
                      <w:rFonts w:ascii="Cambria Math" w:hAnsi="Cambria Math"/>
                      <w:i/>
                    </w:rPr>
                  </m:ctrlPr>
                </m:sSubPr>
                <m:e>
                  <m:r>
                    <w:rPr>
                      <w:rFonts w:ascii="Cambria Math" w:hAnsi="Cambria Math"/>
                    </w:rPr>
                    <m:t>R</m:t>
                  </m:r>
                </m:e>
                <m:sub>
                  <m:r>
                    <w:rPr>
                      <w:rFonts w:ascii="Cambria Math" w:hAnsi="Cambria Math"/>
                    </w:rPr>
                    <m:t>j</m:t>
                  </m:r>
                </m:sub>
              </m:sSub>
            </m:e>
          </m:nary>
        </m:oMath>
      </m:oMathPara>
    </w:p>
    <w:p w14:paraId="6CD410E7" w14:textId="77777777" w:rsidR="003A1A45" w:rsidRPr="003A1A45" w:rsidRDefault="003A1A45" w:rsidP="003A1A45"/>
    <w:p w14:paraId="301D462F" w14:textId="4A3D0B0B" w:rsidR="003A1A45" w:rsidRPr="003A1A45" w:rsidRDefault="003A1A45" w:rsidP="003A1A45">
      <w:r w:rsidRPr="003A1A45">
        <w:rPr>
          <w:b/>
          <w:bCs/>
        </w:rPr>
        <w:t xml:space="preserve">Table </w:t>
      </w:r>
      <w:r w:rsidRPr="00187DD8">
        <w:rPr>
          <w:b/>
          <w:bCs/>
        </w:rPr>
        <w:t>S</w:t>
      </w:r>
      <w:r w:rsidR="006B309F" w:rsidRPr="00187DD8">
        <w:rPr>
          <w:b/>
          <w:bCs/>
        </w:rPr>
        <w:t>3</w:t>
      </w:r>
      <w:r w:rsidRPr="003A1A45">
        <w:rPr>
          <w:b/>
          <w:bCs/>
        </w:rPr>
        <w:t>:</w:t>
      </w:r>
      <w:r w:rsidRPr="003A1A45">
        <w:t xml:space="preserve"> 2SFCS Model Equation Key</w:t>
      </w:r>
    </w:p>
    <w:tbl>
      <w:tblPr>
        <w:tblStyle w:val="TableGrid"/>
        <w:tblW w:w="0" w:type="auto"/>
        <w:tblLook w:val="04A0" w:firstRow="1" w:lastRow="0" w:firstColumn="1" w:lastColumn="0" w:noHBand="0" w:noVBand="1"/>
      </w:tblPr>
      <w:tblGrid>
        <w:gridCol w:w="469"/>
        <w:gridCol w:w="8086"/>
      </w:tblGrid>
      <w:tr w:rsidR="003A1A45" w:rsidRPr="003A1A45" w14:paraId="3E371F67" w14:textId="77777777" w:rsidTr="00B25ADE">
        <w:tc>
          <w:tcPr>
            <w:tcW w:w="459" w:type="dxa"/>
          </w:tcPr>
          <w:p w14:paraId="6E1A4772" w14:textId="77777777" w:rsidR="003A1A45" w:rsidRPr="003A1A45" w:rsidRDefault="003A1A45" w:rsidP="003A1A45">
            <w:pPr>
              <w:rPr>
                <w:b/>
                <w:iCs/>
              </w:rPr>
            </w:pPr>
            <w:bookmarkStart w:id="0" w:name="_Toc179547560"/>
            <w:r w:rsidRPr="003A1A45">
              <w:rPr>
                <w:b/>
                <w:iCs/>
              </w:rPr>
              <w:t>D</w:t>
            </w:r>
            <w:r w:rsidRPr="003A1A45">
              <w:rPr>
                <w:b/>
                <w:iCs/>
                <w:vertAlign w:val="subscript"/>
              </w:rPr>
              <w:t>k</w:t>
            </w:r>
          </w:p>
        </w:tc>
        <w:tc>
          <w:tcPr>
            <w:tcW w:w="8086" w:type="dxa"/>
          </w:tcPr>
          <w:p w14:paraId="0133E078" w14:textId="77777777" w:rsidR="003A1A45" w:rsidRPr="003A1A45" w:rsidRDefault="003A1A45" w:rsidP="003A1A45">
            <w:pPr>
              <w:rPr>
                <w:bCs/>
                <w:iCs/>
              </w:rPr>
            </w:pPr>
            <w:r w:rsidRPr="003A1A45">
              <w:rPr>
                <w:bCs/>
                <w:iCs/>
              </w:rPr>
              <w:t>The population (Demand) at location k whose centroid falls within the catchment (</w:t>
            </w:r>
            <w:proofErr w:type="spellStart"/>
            <w:r w:rsidRPr="003A1A45">
              <w:rPr>
                <w:bCs/>
                <w:iCs/>
              </w:rPr>
              <w:t>d</w:t>
            </w:r>
            <w:r w:rsidRPr="003A1A45">
              <w:rPr>
                <w:bCs/>
                <w:iCs/>
                <w:vertAlign w:val="subscript"/>
              </w:rPr>
              <w:t>kj</w:t>
            </w:r>
            <w:r w:rsidRPr="003A1A45">
              <w:rPr>
                <w:bCs/>
                <w:iCs/>
              </w:rPr>
              <w:t>≤d</w:t>
            </w:r>
            <w:r w:rsidRPr="003A1A45">
              <w:rPr>
                <w:bCs/>
                <w:iCs/>
                <w:vertAlign w:val="subscript"/>
              </w:rPr>
              <w:t>o</w:t>
            </w:r>
            <w:proofErr w:type="spellEnd"/>
            <w:r w:rsidRPr="003A1A45">
              <w:rPr>
                <w:bCs/>
                <w:iCs/>
              </w:rPr>
              <w:t>)</w:t>
            </w:r>
          </w:p>
        </w:tc>
      </w:tr>
      <w:tr w:rsidR="003A1A45" w:rsidRPr="003A1A45" w14:paraId="2590AF5F" w14:textId="77777777" w:rsidTr="00B25ADE">
        <w:tc>
          <w:tcPr>
            <w:tcW w:w="459" w:type="dxa"/>
          </w:tcPr>
          <w:p w14:paraId="63BC9B04" w14:textId="77777777" w:rsidR="003A1A45" w:rsidRPr="003A1A45" w:rsidRDefault="003A1A45" w:rsidP="003A1A45">
            <w:pPr>
              <w:rPr>
                <w:b/>
                <w:iCs/>
              </w:rPr>
            </w:pPr>
            <w:proofErr w:type="spellStart"/>
            <w:r w:rsidRPr="003A1A45">
              <w:rPr>
                <w:b/>
                <w:iCs/>
              </w:rPr>
              <w:t>S</w:t>
            </w:r>
            <w:r w:rsidRPr="003A1A45">
              <w:rPr>
                <w:b/>
                <w:iCs/>
                <w:vertAlign w:val="subscript"/>
              </w:rPr>
              <w:t>j</w:t>
            </w:r>
            <w:proofErr w:type="spellEnd"/>
          </w:p>
        </w:tc>
        <w:tc>
          <w:tcPr>
            <w:tcW w:w="8086" w:type="dxa"/>
          </w:tcPr>
          <w:p w14:paraId="5593E3A2" w14:textId="77777777" w:rsidR="003A1A45" w:rsidRPr="003A1A45" w:rsidRDefault="003A1A45" w:rsidP="003A1A45">
            <w:pPr>
              <w:rPr>
                <w:bCs/>
                <w:iCs/>
              </w:rPr>
            </w:pPr>
            <w:r w:rsidRPr="003A1A45">
              <w:rPr>
                <w:bCs/>
                <w:iCs/>
              </w:rPr>
              <w:t>The provider count (Supply) within catchment area</w:t>
            </w:r>
          </w:p>
        </w:tc>
      </w:tr>
      <w:tr w:rsidR="003A1A45" w:rsidRPr="003A1A45" w14:paraId="6D987A21" w14:textId="77777777" w:rsidTr="00B25ADE">
        <w:tc>
          <w:tcPr>
            <w:tcW w:w="459" w:type="dxa"/>
          </w:tcPr>
          <w:p w14:paraId="3AA48A1B" w14:textId="77777777" w:rsidR="003A1A45" w:rsidRPr="003A1A45" w:rsidRDefault="003A1A45" w:rsidP="003A1A45">
            <w:pPr>
              <w:rPr>
                <w:b/>
                <w:iCs/>
              </w:rPr>
            </w:pPr>
            <w:proofErr w:type="spellStart"/>
            <w:r w:rsidRPr="003A1A45">
              <w:rPr>
                <w:b/>
                <w:iCs/>
              </w:rPr>
              <w:t>d</w:t>
            </w:r>
            <w:r w:rsidRPr="003A1A45">
              <w:rPr>
                <w:b/>
                <w:iCs/>
                <w:vertAlign w:val="subscript"/>
              </w:rPr>
              <w:t>kj</w:t>
            </w:r>
            <w:proofErr w:type="spellEnd"/>
          </w:p>
        </w:tc>
        <w:tc>
          <w:tcPr>
            <w:tcW w:w="8086" w:type="dxa"/>
          </w:tcPr>
          <w:p w14:paraId="5553094C" w14:textId="77777777" w:rsidR="003A1A45" w:rsidRPr="003A1A45" w:rsidRDefault="003A1A45" w:rsidP="003A1A45">
            <w:pPr>
              <w:rPr>
                <w:bCs/>
                <w:iCs/>
              </w:rPr>
            </w:pPr>
            <w:r w:rsidRPr="003A1A45">
              <w:rPr>
                <w:bCs/>
                <w:iCs/>
              </w:rPr>
              <w:t>The travel distance between k and j</w:t>
            </w:r>
          </w:p>
        </w:tc>
      </w:tr>
      <w:tr w:rsidR="003A1A45" w:rsidRPr="003A1A45" w14:paraId="1AC6B936" w14:textId="77777777" w:rsidTr="00B25ADE">
        <w:tc>
          <w:tcPr>
            <w:tcW w:w="459" w:type="dxa"/>
          </w:tcPr>
          <w:p w14:paraId="0D9235CF" w14:textId="77777777" w:rsidR="003A1A45" w:rsidRPr="003A1A45" w:rsidRDefault="003A1A45" w:rsidP="003A1A45">
            <w:pPr>
              <w:rPr>
                <w:b/>
                <w:iCs/>
              </w:rPr>
            </w:pPr>
            <w:r w:rsidRPr="003A1A45">
              <w:rPr>
                <w:b/>
                <w:iCs/>
              </w:rPr>
              <w:lastRenderedPageBreak/>
              <w:t>A</w:t>
            </w:r>
            <w:r w:rsidRPr="003A1A45">
              <w:rPr>
                <w:b/>
                <w:iCs/>
                <w:vertAlign w:val="subscript"/>
              </w:rPr>
              <w:t>i</w:t>
            </w:r>
          </w:p>
        </w:tc>
        <w:tc>
          <w:tcPr>
            <w:tcW w:w="8086" w:type="dxa"/>
          </w:tcPr>
          <w:p w14:paraId="3D26F661" w14:textId="77777777" w:rsidR="003A1A45" w:rsidRPr="003A1A45" w:rsidRDefault="003A1A45" w:rsidP="003A1A45">
            <w:pPr>
              <w:rPr>
                <w:bCs/>
                <w:iCs/>
              </w:rPr>
            </w:pPr>
            <w:r w:rsidRPr="003A1A45">
              <w:rPr>
                <w:bCs/>
                <w:iCs/>
              </w:rPr>
              <w:t xml:space="preserve">The accessibility of population at a given location </w:t>
            </w:r>
            <w:proofErr w:type="spellStart"/>
            <w:r w:rsidRPr="003A1A45">
              <w:rPr>
                <w:bCs/>
                <w:iCs/>
              </w:rPr>
              <w:t>i</w:t>
            </w:r>
            <w:proofErr w:type="spellEnd"/>
            <w:r w:rsidRPr="003A1A45">
              <w:rPr>
                <w:bCs/>
                <w:iCs/>
              </w:rPr>
              <w:t xml:space="preserve"> to healthcare based on 2SFCA method</w:t>
            </w:r>
          </w:p>
        </w:tc>
      </w:tr>
      <w:tr w:rsidR="003A1A45" w:rsidRPr="003A1A45" w14:paraId="5C15BBB3" w14:textId="77777777" w:rsidTr="00B25ADE">
        <w:trPr>
          <w:trHeight w:val="109"/>
        </w:trPr>
        <w:tc>
          <w:tcPr>
            <w:tcW w:w="459" w:type="dxa"/>
          </w:tcPr>
          <w:p w14:paraId="54BC1B84" w14:textId="77777777" w:rsidR="003A1A45" w:rsidRPr="003A1A45" w:rsidRDefault="003A1A45" w:rsidP="003A1A45">
            <w:pPr>
              <w:rPr>
                <w:b/>
                <w:iCs/>
              </w:rPr>
            </w:pPr>
            <w:proofErr w:type="spellStart"/>
            <w:r w:rsidRPr="003A1A45">
              <w:rPr>
                <w:b/>
                <w:iCs/>
              </w:rPr>
              <w:t>R</w:t>
            </w:r>
            <w:r w:rsidRPr="003A1A45">
              <w:rPr>
                <w:b/>
                <w:iCs/>
                <w:vertAlign w:val="subscript"/>
              </w:rPr>
              <w:t>j</w:t>
            </w:r>
            <w:proofErr w:type="spellEnd"/>
          </w:p>
        </w:tc>
        <w:tc>
          <w:tcPr>
            <w:tcW w:w="8086" w:type="dxa"/>
          </w:tcPr>
          <w:p w14:paraId="4F787B0F" w14:textId="77777777" w:rsidR="003A1A45" w:rsidRPr="003A1A45" w:rsidRDefault="003A1A45" w:rsidP="003A1A45">
            <w:pPr>
              <w:rPr>
                <w:bCs/>
                <w:iCs/>
              </w:rPr>
            </w:pPr>
            <w:r w:rsidRPr="003A1A45">
              <w:rPr>
                <w:bCs/>
                <w:iCs/>
              </w:rPr>
              <w:t>Healthcare to population ratio at location j whose centroid falls within the catchment (</w:t>
            </w:r>
            <w:proofErr w:type="spellStart"/>
            <w:r w:rsidRPr="003A1A45">
              <w:rPr>
                <w:bCs/>
                <w:iCs/>
              </w:rPr>
              <w:t>d</w:t>
            </w:r>
            <w:r w:rsidRPr="003A1A45">
              <w:rPr>
                <w:bCs/>
                <w:iCs/>
                <w:vertAlign w:val="subscript"/>
              </w:rPr>
              <w:t>ij</w:t>
            </w:r>
            <w:proofErr w:type="spellEnd"/>
            <w:r w:rsidRPr="003A1A45">
              <w:rPr>
                <w:bCs/>
                <w:iCs/>
              </w:rPr>
              <w:t xml:space="preserve"> ≤ d</w:t>
            </w:r>
            <w:r w:rsidRPr="003A1A45">
              <w:rPr>
                <w:bCs/>
                <w:iCs/>
                <w:vertAlign w:val="subscript"/>
              </w:rPr>
              <w:t>0</w:t>
            </w:r>
            <w:r w:rsidRPr="003A1A45">
              <w:rPr>
                <w:bCs/>
                <w:iCs/>
              </w:rPr>
              <w:t>)</w:t>
            </w:r>
          </w:p>
        </w:tc>
      </w:tr>
      <w:tr w:rsidR="003A1A45" w:rsidRPr="003A1A45" w14:paraId="09FD52FC" w14:textId="77777777" w:rsidTr="00B25ADE">
        <w:tc>
          <w:tcPr>
            <w:tcW w:w="459" w:type="dxa"/>
          </w:tcPr>
          <w:p w14:paraId="48CEA648" w14:textId="77777777" w:rsidR="003A1A45" w:rsidRPr="003A1A45" w:rsidRDefault="003A1A45" w:rsidP="003A1A45">
            <w:pPr>
              <w:rPr>
                <w:b/>
                <w:iCs/>
              </w:rPr>
            </w:pPr>
            <w:proofErr w:type="spellStart"/>
            <w:r w:rsidRPr="003A1A45">
              <w:rPr>
                <w:b/>
                <w:iCs/>
              </w:rPr>
              <w:t>d</w:t>
            </w:r>
            <w:r w:rsidRPr="003A1A45">
              <w:rPr>
                <w:b/>
                <w:iCs/>
                <w:vertAlign w:val="subscript"/>
              </w:rPr>
              <w:t>ij</w:t>
            </w:r>
            <w:proofErr w:type="spellEnd"/>
          </w:p>
        </w:tc>
        <w:tc>
          <w:tcPr>
            <w:tcW w:w="8086" w:type="dxa"/>
          </w:tcPr>
          <w:p w14:paraId="3ACDF358" w14:textId="77777777" w:rsidR="003A1A45" w:rsidRPr="003A1A45" w:rsidRDefault="003A1A45" w:rsidP="003A1A45">
            <w:pPr>
              <w:rPr>
                <w:bCs/>
                <w:iCs/>
              </w:rPr>
            </w:pPr>
            <w:r w:rsidRPr="003A1A45">
              <w:rPr>
                <w:bCs/>
                <w:iCs/>
              </w:rPr>
              <w:t xml:space="preserve">The travel distance between </w:t>
            </w:r>
            <w:proofErr w:type="spellStart"/>
            <w:r w:rsidRPr="003A1A45">
              <w:rPr>
                <w:bCs/>
                <w:iCs/>
              </w:rPr>
              <w:t>i</w:t>
            </w:r>
            <w:proofErr w:type="spellEnd"/>
            <w:r w:rsidRPr="003A1A45">
              <w:rPr>
                <w:bCs/>
                <w:iCs/>
              </w:rPr>
              <w:t xml:space="preserve"> and j</w:t>
            </w:r>
          </w:p>
        </w:tc>
      </w:tr>
    </w:tbl>
    <w:p w14:paraId="5665431F" w14:textId="77777777" w:rsidR="003A1A45" w:rsidRPr="003A1A45" w:rsidRDefault="003A1A45" w:rsidP="003A1A45">
      <w:pPr>
        <w:rPr>
          <w:b/>
          <w:iCs/>
        </w:rPr>
      </w:pPr>
    </w:p>
    <w:p w14:paraId="05CCD13C" w14:textId="27F876AA" w:rsidR="003A1A45" w:rsidRPr="003A1A45" w:rsidRDefault="003A1A45" w:rsidP="003A1A45">
      <w:pPr>
        <w:rPr>
          <w:b/>
          <w:iCs/>
        </w:rPr>
      </w:pPr>
      <w:r w:rsidRPr="003A1A45">
        <w:rPr>
          <w:b/>
          <w:iCs/>
        </w:rPr>
        <w:t xml:space="preserve">Table </w:t>
      </w:r>
      <w:r w:rsidRPr="00187DD8">
        <w:rPr>
          <w:b/>
          <w:iCs/>
        </w:rPr>
        <w:t>S</w:t>
      </w:r>
      <w:r w:rsidR="006B309F" w:rsidRPr="00187DD8">
        <w:rPr>
          <w:b/>
          <w:iCs/>
        </w:rPr>
        <w:t>4</w:t>
      </w:r>
      <w:r w:rsidRPr="003A1A45">
        <w:rPr>
          <w:b/>
          <w:iCs/>
        </w:rPr>
        <w:t>: Step-by-step methods for conducting 2SFCA calculation using ArcGIS Pro</w:t>
      </w:r>
      <w:r w:rsidRPr="003A1A45">
        <w:rPr>
          <w:b/>
          <w:iCs/>
        </w:rPr>
        <w:fldChar w:fldCharType="begin" w:fldLock="1"/>
      </w:r>
      <w:r w:rsidRPr="003A1A45">
        <w:rPr>
          <w:b/>
          <w:iCs/>
        </w:rPr>
        <w:instrText>ADDIN paperpile_citation &lt;clusterId&gt;C935P385E675J396&lt;/clusterId&gt;&lt;metadata&gt;&lt;citation&gt;&lt;id&gt;a543aa2c-fd22-4280-9cf9-770cc3f8283f&lt;/id&gt;&lt;/citation&gt;&lt;/metadata&gt;&lt;data&gt;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&lt;/data&gt; \* MERGEFORMAT</w:instrText>
      </w:r>
      <w:r w:rsidRPr="003A1A45">
        <w:rPr>
          <w:b/>
          <w:iCs/>
        </w:rPr>
        <w:fldChar w:fldCharType="separate"/>
      </w:r>
      <w:r w:rsidRPr="003A1A45">
        <w:rPr>
          <w:iCs/>
          <w:vertAlign w:val="superscript"/>
        </w:rPr>
        <w:t>58</w:t>
      </w:r>
      <w:r w:rsidRPr="003A1A45">
        <w:fldChar w:fldCharType="end"/>
      </w:r>
    </w:p>
    <w:tbl>
      <w:tblPr>
        <w:tblStyle w:val="TableGrid"/>
        <w:tblW w:w="0" w:type="auto"/>
        <w:tblLook w:val="04A0" w:firstRow="1" w:lastRow="0" w:firstColumn="1" w:lastColumn="0" w:noHBand="0" w:noVBand="1"/>
      </w:tblPr>
      <w:tblGrid>
        <w:gridCol w:w="2155"/>
        <w:gridCol w:w="4378"/>
        <w:gridCol w:w="2817"/>
      </w:tblGrid>
      <w:tr w:rsidR="003A1A45" w:rsidRPr="003A1A45" w14:paraId="537F5CED" w14:textId="77777777" w:rsidTr="00B25ADE">
        <w:tc>
          <w:tcPr>
            <w:tcW w:w="6533" w:type="dxa"/>
            <w:gridSpan w:val="2"/>
          </w:tcPr>
          <w:p w14:paraId="1D839D87" w14:textId="77777777" w:rsidR="003A1A45" w:rsidRPr="003A1A45" w:rsidRDefault="003A1A45" w:rsidP="003A1A45">
            <w:pPr>
              <w:rPr>
                <w:b/>
                <w:bCs/>
              </w:rPr>
            </w:pPr>
            <w:r w:rsidRPr="003A1A45">
              <w:rPr>
                <w:b/>
                <w:bCs/>
              </w:rPr>
              <w:t>Step 1: Supply (S) to demand (D) calculation</w:t>
            </w:r>
          </w:p>
        </w:tc>
        <w:tc>
          <w:tcPr>
            <w:tcW w:w="2817" w:type="dxa"/>
          </w:tcPr>
          <w:p w14:paraId="5D3EF665" w14:textId="77777777" w:rsidR="003A1A45" w:rsidRPr="003A1A45" w:rsidRDefault="003A1A45" w:rsidP="003A1A45">
            <w:pPr>
              <w:rPr>
                <w:b/>
                <w:bCs/>
              </w:rPr>
            </w:pPr>
          </w:p>
        </w:tc>
      </w:tr>
      <w:tr w:rsidR="003A1A45" w:rsidRPr="003A1A45" w14:paraId="4DF701EB" w14:textId="77777777" w:rsidTr="00B25ADE">
        <w:tc>
          <w:tcPr>
            <w:tcW w:w="2155" w:type="dxa"/>
          </w:tcPr>
          <w:p w14:paraId="581CE0F0" w14:textId="77777777" w:rsidR="003A1A45" w:rsidRPr="003A1A45" w:rsidRDefault="003A1A45" w:rsidP="003A1A45">
            <w:r w:rsidRPr="003A1A45">
              <w:t>Action</w:t>
            </w:r>
          </w:p>
        </w:tc>
        <w:tc>
          <w:tcPr>
            <w:tcW w:w="4378" w:type="dxa"/>
          </w:tcPr>
          <w:p w14:paraId="66EE4627" w14:textId="77777777" w:rsidR="003A1A45" w:rsidRPr="003A1A45" w:rsidRDefault="003A1A45" w:rsidP="003A1A45">
            <w:pPr>
              <w:rPr>
                <w:bCs/>
                <w:iCs/>
              </w:rPr>
            </w:pPr>
            <w:r w:rsidRPr="003A1A45">
              <w:rPr>
                <w:bCs/>
                <w:iCs/>
              </w:rPr>
              <w:t>Instructions</w:t>
            </w:r>
          </w:p>
          <w:p w14:paraId="5E0646BE" w14:textId="77777777" w:rsidR="003A1A45" w:rsidRPr="003A1A45" w:rsidRDefault="003A1A45" w:rsidP="003A1A45"/>
        </w:tc>
        <w:tc>
          <w:tcPr>
            <w:tcW w:w="2817" w:type="dxa"/>
          </w:tcPr>
          <w:p w14:paraId="31D4DB8A" w14:textId="77777777" w:rsidR="003A1A45" w:rsidRPr="003A1A45" w:rsidRDefault="003A1A45" w:rsidP="003A1A45">
            <w:pPr>
              <w:rPr>
                <w:bCs/>
                <w:iCs/>
              </w:rPr>
            </w:pPr>
            <w:r w:rsidRPr="003A1A45">
              <w:rPr>
                <w:bCs/>
                <w:iCs/>
              </w:rPr>
              <w:t>Output</w:t>
            </w:r>
          </w:p>
        </w:tc>
      </w:tr>
      <w:tr w:rsidR="003A1A45" w:rsidRPr="003A1A45" w14:paraId="1E5FD85F" w14:textId="77777777" w:rsidTr="00B25ADE">
        <w:tc>
          <w:tcPr>
            <w:tcW w:w="2155" w:type="dxa"/>
          </w:tcPr>
          <w:p w14:paraId="18116479" w14:textId="77777777" w:rsidR="003A1A45" w:rsidRPr="003A1A45" w:rsidRDefault="003A1A45" w:rsidP="003A1A45">
            <w:r w:rsidRPr="003A1A45">
              <w:t>Run the first catchment area from each clinic location</w:t>
            </w:r>
          </w:p>
        </w:tc>
        <w:tc>
          <w:tcPr>
            <w:tcW w:w="4378" w:type="dxa"/>
          </w:tcPr>
          <w:p w14:paraId="6E483019" w14:textId="77777777" w:rsidR="003A1A45" w:rsidRPr="003A1A45" w:rsidRDefault="003A1A45" w:rsidP="003A1A45">
            <w:pPr>
              <w:rPr>
                <w:bCs/>
                <w:iCs/>
              </w:rPr>
            </w:pPr>
            <w:r w:rsidRPr="003A1A45">
              <w:rPr>
                <w:bCs/>
                <w:iCs/>
              </w:rPr>
              <w:t xml:space="preserve">Steps: Analysis Tab &gt; Network Analysis &gt; Service Area &gt; Import Facilities &gt; Set Driving Time to “away from facilities” and “15 minutes,” &gt; Settings to “generalized,” “overlap, &gt; Click </w:t>
            </w:r>
          </w:p>
        </w:tc>
        <w:tc>
          <w:tcPr>
            <w:tcW w:w="2817" w:type="dxa"/>
          </w:tcPr>
          <w:p w14:paraId="626A2D7C" w14:textId="77777777" w:rsidR="003A1A45" w:rsidRPr="003A1A45" w:rsidRDefault="003A1A45" w:rsidP="003A1A45">
            <w:r w:rsidRPr="003A1A45">
              <w:t xml:space="preserve">Generates a polygon feature layer </w:t>
            </w:r>
          </w:p>
        </w:tc>
      </w:tr>
      <w:tr w:rsidR="003A1A45" w:rsidRPr="003A1A45" w14:paraId="5E0BE933" w14:textId="77777777" w:rsidTr="00B25ADE">
        <w:trPr>
          <w:trHeight w:val="1736"/>
        </w:trPr>
        <w:tc>
          <w:tcPr>
            <w:tcW w:w="2155" w:type="dxa"/>
          </w:tcPr>
          <w:p w14:paraId="5DFC84AF" w14:textId="77777777" w:rsidR="003A1A45" w:rsidRPr="003A1A45" w:rsidRDefault="003A1A45" w:rsidP="003A1A45">
            <w:r w:rsidRPr="003A1A45">
              <w:t>Run spatial join to join first catchment area with all census tract centroids within 15-minute drive time</w:t>
            </w:r>
          </w:p>
        </w:tc>
        <w:tc>
          <w:tcPr>
            <w:tcW w:w="4378" w:type="dxa"/>
          </w:tcPr>
          <w:p w14:paraId="3B7B150D" w14:textId="77777777" w:rsidR="003A1A45" w:rsidRPr="003A1A45" w:rsidRDefault="003A1A45" w:rsidP="003A1A45">
            <w:r w:rsidRPr="003A1A45">
              <w:t>Analysis &gt; Geoprocessing &gt; Spatial Join &gt; Set Target Feature to the Feature Polygon Layer generated from first catchment area, Join Feature to the census tract centroids, choose “Join one to one,” and “keep all target features,” set match option to “intersect,” hover over field “provider count” and click “edit,” and then click “sum” &gt; Click Run</w:t>
            </w:r>
          </w:p>
        </w:tc>
        <w:tc>
          <w:tcPr>
            <w:tcW w:w="2817" w:type="dxa"/>
          </w:tcPr>
          <w:p w14:paraId="7BE367A4" w14:textId="77777777" w:rsidR="003A1A45" w:rsidRPr="003A1A45" w:rsidRDefault="003A1A45" w:rsidP="003A1A45">
            <w:r w:rsidRPr="003A1A45">
              <w:t xml:space="preserve">A new feature layer that has joined the first catchment area to centroid data layer </w:t>
            </w:r>
          </w:p>
        </w:tc>
      </w:tr>
      <w:tr w:rsidR="003A1A45" w:rsidRPr="003A1A45" w14:paraId="46FBCDFC" w14:textId="77777777" w:rsidTr="00B25ADE">
        <w:trPr>
          <w:trHeight w:val="71"/>
        </w:trPr>
        <w:tc>
          <w:tcPr>
            <w:tcW w:w="2155" w:type="dxa"/>
          </w:tcPr>
          <w:p w14:paraId="09FE35A7" w14:textId="77777777" w:rsidR="003A1A45" w:rsidRPr="003A1A45" w:rsidRDefault="003A1A45" w:rsidP="003A1A45">
            <w:r w:rsidRPr="003A1A45">
              <w:t xml:space="preserve">Calculate provider to population field </w:t>
            </w:r>
          </w:p>
        </w:tc>
        <w:tc>
          <w:tcPr>
            <w:tcW w:w="4378" w:type="dxa"/>
          </w:tcPr>
          <w:p w14:paraId="785CFF43" w14:textId="77777777" w:rsidR="003A1A45" w:rsidRPr="003A1A45" w:rsidRDefault="003A1A45" w:rsidP="003A1A45">
            <w:r w:rsidRPr="003A1A45">
              <w:t xml:space="preserve">Open the attribute table for the new feature layer created in the last step &gt; Add field &gt; Calculate Field &gt; Divide provider count by population count (Field type is numeric, float, with 15 sig. digits and “show </w:t>
            </w:r>
            <w:proofErr w:type="gramStart"/>
            <w:r w:rsidRPr="003A1A45">
              <w:t>thousands</w:t>
            </w:r>
            <w:proofErr w:type="gramEnd"/>
            <w:r w:rsidRPr="003A1A45">
              <w:t xml:space="preserve"> separators”. Calculate by python expression “Provider Count/Total Population”)</w:t>
            </w:r>
          </w:p>
        </w:tc>
        <w:tc>
          <w:tcPr>
            <w:tcW w:w="2817" w:type="dxa"/>
          </w:tcPr>
          <w:p w14:paraId="22B9A501" w14:textId="77777777" w:rsidR="003A1A45" w:rsidRPr="003A1A45" w:rsidRDefault="003A1A45" w:rsidP="003A1A45">
            <w:r w:rsidRPr="003A1A45">
              <w:t xml:space="preserve">Calculates provider to population ratio within each catchment area from each clinic location </w:t>
            </w:r>
          </w:p>
        </w:tc>
      </w:tr>
      <w:tr w:rsidR="003A1A45" w:rsidRPr="003A1A45" w14:paraId="6744BEB9" w14:textId="77777777" w:rsidTr="00B25ADE">
        <w:tc>
          <w:tcPr>
            <w:tcW w:w="2155" w:type="dxa"/>
          </w:tcPr>
          <w:p w14:paraId="451A2658" w14:textId="77777777" w:rsidR="003A1A45" w:rsidRPr="003A1A45" w:rsidRDefault="003A1A45" w:rsidP="003A1A45">
            <w:r w:rsidRPr="003A1A45">
              <w:t>Perform join to add the provider to population ratio to the point layer representing all clinic locations</w:t>
            </w:r>
          </w:p>
        </w:tc>
        <w:tc>
          <w:tcPr>
            <w:tcW w:w="4378" w:type="dxa"/>
          </w:tcPr>
          <w:p w14:paraId="173DEA18" w14:textId="77777777" w:rsidR="003A1A45" w:rsidRPr="003A1A45" w:rsidRDefault="003A1A45" w:rsidP="003A1A45">
            <w:r w:rsidRPr="003A1A45">
              <w:t xml:space="preserve">Analysis &gt; Geoprocessing &gt; Join &gt; Load first catchment polygon layer as the “Target Feature” and the outpatient clinic locations as the “Join Features.” </w:t>
            </w:r>
          </w:p>
        </w:tc>
        <w:tc>
          <w:tcPr>
            <w:tcW w:w="2817" w:type="dxa"/>
          </w:tcPr>
          <w:p w14:paraId="3D4A5251" w14:textId="77777777" w:rsidR="003A1A45" w:rsidRPr="003A1A45" w:rsidRDefault="003A1A45" w:rsidP="003A1A45">
            <w:r w:rsidRPr="003A1A45">
              <w:t xml:space="preserve">Joins the provider count calculated in the prior step to the data set containing the point feature layer for all outpatient clinics </w:t>
            </w:r>
          </w:p>
        </w:tc>
      </w:tr>
      <w:tr w:rsidR="003A1A45" w:rsidRPr="003A1A45" w14:paraId="0B4288D1" w14:textId="77777777" w:rsidTr="00B25ADE">
        <w:trPr>
          <w:trHeight w:val="71"/>
        </w:trPr>
        <w:tc>
          <w:tcPr>
            <w:tcW w:w="6533" w:type="dxa"/>
            <w:gridSpan w:val="2"/>
          </w:tcPr>
          <w:p w14:paraId="53559C1E" w14:textId="77777777" w:rsidR="003A1A45" w:rsidRPr="003A1A45" w:rsidRDefault="003A1A45" w:rsidP="003A1A45">
            <w:pPr>
              <w:rPr>
                <w:b/>
                <w:bCs/>
              </w:rPr>
            </w:pPr>
            <w:r w:rsidRPr="003A1A45">
              <w:rPr>
                <w:b/>
                <w:bCs/>
              </w:rPr>
              <w:t>Step 2: Accessibility Index of population calculation</w:t>
            </w:r>
          </w:p>
        </w:tc>
        <w:tc>
          <w:tcPr>
            <w:tcW w:w="2817" w:type="dxa"/>
          </w:tcPr>
          <w:p w14:paraId="16530DBB" w14:textId="77777777" w:rsidR="003A1A45" w:rsidRPr="003A1A45" w:rsidRDefault="003A1A45" w:rsidP="003A1A45">
            <w:pPr>
              <w:rPr>
                <w:b/>
                <w:bCs/>
              </w:rPr>
            </w:pPr>
          </w:p>
        </w:tc>
      </w:tr>
      <w:tr w:rsidR="003A1A45" w:rsidRPr="003A1A45" w14:paraId="251780D4" w14:textId="77777777" w:rsidTr="00B25ADE">
        <w:trPr>
          <w:trHeight w:val="71"/>
        </w:trPr>
        <w:tc>
          <w:tcPr>
            <w:tcW w:w="2155" w:type="dxa"/>
          </w:tcPr>
          <w:p w14:paraId="12877127" w14:textId="77777777" w:rsidR="003A1A45" w:rsidRPr="003A1A45" w:rsidRDefault="003A1A45" w:rsidP="003A1A45">
            <w:r w:rsidRPr="003A1A45">
              <w:t xml:space="preserve">Run the second catchment area </w:t>
            </w:r>
            <w:r w:rsidRPr="003A1A45">
              <w:lastRenderedPageBreak/>
              <w:t>from each census tract centroid</w:t>
            </w:r>
          </w:p>
        </w:tc>
        <w:tc>
          <w:tcPr>
            <w:tcW w:w="4378" w:type="dxa"/>
          </w:tcPr>
          <w:p w14:paraId="710C939F" w14:textId="77777777" w:rsidR="003A1A45" w:rsidRPr="003A1A45" w:rsidRDefault="003A1A45" w:rsidP="003A1A45">
            <w:r w:rsidRPr="003A1A45">
              <w:rPr>
                <w:bCs/>
                <w:iCs/>
              </w:rPr>
              <w:lastRenderedPageBreak/>
              <w:t xml:space="preserve">Steps: Analysis Tab &gt; Network Analysis &gt; Service Area &gt; Import Facilities &gt; Set Driving Time to “away from facilities” </w:t>
            </w:r>
            <w:r w:rsidRPr="003A1A45">
              <w:rPr>
                <w:bCs/>
                <w:iCs/>
              </w:rPr>
              <w:lastRenderedPageBreak/>
              <w:t>and “15 minutes,” &gt; Settings to “generalized,” “overlap, &gt; Click</w:t>
            </w:r>
          </w:p>
        </w:tc>
        <w:tc>
          <w:tcPr>
            <w:tcW w:w="2817" w:type="dxa"/>
          </w:tcPr>
          <w:p w14:paraId="0A882C48" w14:textId="77777777" w:rsidR="003A1A45" w:rsidRPr="003A1A45" w:rsidRDefault="003A1A45" w:rsidP="003A1A45">
            <w:r w:rsidRPr="003A1A45">
              <w:lastRenderedPageBreak/>
              <w:t>Generates a polygon feature layer</w:t>
            </w:r>
          </w:p>
        </w:tc>
      </w:tr>
      <w:tr w:rsidR="003A1A45" w:rsidRPr="003A1A45" w14:paraId="0BFF8D62" w14:textId="77777777" w:rsidTr="00B25ADE">
        <w:trPr>
          <w:trHeight w:val="71"/>
        </w:trPr>
        <w:tc>
          <w:tcPr>
            <w:tcW w:w="2155" w:type="dxa"/>
          </w:tcPr>
          <w:p w14:paraId="11B6011C" w14:textId="77777777" w:rsidR="003A1A45" w:rsidRPr="003A1A45" w:rsidRDefault="003A1A45" w:rsidP="003A1A45">
            <w:r w:rsidRPr="003A1A45">
              <w:t>Run spatial join to join second catchment area with all clinic locations within 15-minute drive time</w:t>
            </w:r>
          </w:p>
        </w:tc>
        <w:tc>
          <w:tcPr>
            <w:tcW w:w="4378" w:type="dxa"/>
          </w:tcPr>
          <w:p w14:paraId="0E555C93" w14:textId="77777777" w:rsidR="003A1A45" w:rsidRPr="003A1A45" w:rsidRDefault="003A1A45" w:rsidP="003A1A45">
            <w:r w:rsidRPr="003A1A45">
              <w:t>Analysis &gt; Geoprocessing &gt; Spatial Join &gt; Set Target Feature to the Feature Polygon Layer generated from second catchment area, Join Feature to the clinic location feature layer, choose “Join one to one,” and “keep all target features,” set match option to “intersect,” hover over field “provider count” and click “edit,” and then click “sum” &gt; Click Run</w:t>
            </w:r>
          </w:p>
        </w:tc>
        <w:tc>
          <w:tcPr>
            <w:tcW w:w="2817" w:type="dxa"/>
          </w:tcPr>
          <w:p w14:paraId="7BCD3F3A" w14:textId="77777777" w:rsidR="003A1A45" w:rsidRPr="003A1A45" w:rsidRDefault="003A1A45" w:rsidP="003A1A45">
            <w:r w:rsidRPr="003A1A45">
              <w:t>A new feature layer that has joined the second catchment area to clinic location data layer</w:t>
            </w:r>
          </w:p>
        </w:tc>
      </w:tr>
      <w:tr w:rsidR="003A1A45" w:rsidRPr="003A1A45" w14:paraId="1DE3701B" w14:textId="77777777" w:rsidTr="00B25ADE">
        <w:trPr>
          <w:trHeight w:val="71"/>
        </w:trPr>
        <w:tc>
          <w:tcPr>
            <w:tcW w:w="2155" w:type="dxa"/>
          </w:tcPr>
          <w:p w14:paraId="65DF9F13" w14:textId="77777777" w:rsidR="003A1A45" w:rsidRPr="003A1A45" w:rsidRDefault="003A1A45" w:rsidP="003A1A45">
            <w:r w:rsidRPr="003A1A45">
              <w:t>Perform join to add the provider to population ratio to the polygon layer representing census tracts</w:t>
            </w:r>
          </w:p>
        </w:tc>
        <w:tc>
          <w:tcPr>
            <w:tcW w:w="4378" w:type="dxa"/>
          </w:tcPr>
          <w:p w14:paraId="4EE677C4" w14:textId="77777777" w:rsidR="003A1A45" w:rsidRPr="003A1A45" w:rsidRDefault="003A1A45" w:rsidP="003A1A45">
            <w:r w:rsidRPr="003A1A45">
              <w:t>Analysis &gt; Geoprocessing &gt; Join &gt; Load second catchment polygon layer as the “Target Feature” and the census tract feature layer as the “Join Features.”</w:t>
            </w:r>
          </w:p>
        </w:tc>
        <w:tc>
          <w:tcPr>
            <w:tcW w:w="2817" w:type="dxa"/>
          </w:tcPr>
          <w:p w14:paraId="7A8D6833" w14:textId="77777777" w:rsidR="003A1A45" w:rsidRPr="003A1A45" w:rsidRDefault="003A1A45" w:rsidP="003A1A45">
            <w:r w:rsidRPr="003A1A45">
              <w:t xml:space="preserve">A feature layer that includes census tract polygon data as well as accessibility scores. </w:t>
            </w:r>
          </w:p>
        </w:tc>
      </w:tr>
      <w:tr w:rsidR="003A1A45" w:rsidRPr="003A1A45" w14:paraId="5D9097C7" w14:textId="77777777" w:rsidTr="00B25ADE">
        <w:trPr>
          <w:trHeight w:val="71"/>
        </w:trPr>
        <w:tc>
          <w:tcPr>
            <w:tcW w:w="9350" w:type="dxa"/>
            <w:gridSpan w:val="3"/>
          </w:tcPr>
          <w:p w14:paraId="39506DC9" w14:textId="77777777" w:rsidR="003A1A45" w:rsidRPr="003A1A45" w:rsidRDefault="003A1A45" w:rsidP="003A1A45">
            <w:r w:rsidRPr="003A1A45">
              <w:t xml:space="preserve">Feature layer containing all census tract polygon data and accessibility scores were used to create descriptive maps and statistical analysis. </w:t>
            </w:r>
          </w:p>
        </w:tc>
      </w:tr>
      <w:bookmarkEnd w:id="0"/>
    </w:tbl>
    <w:p w14:paraId="282FA5DC" w14:textId="77777777" w:rsidR="003A1A45" w:rsidRDefault="003A1A45" w:rsidP="00CF494D"/>
    <w:p w14:paraId="4EA965B6" w14:textId="6764FC4B" w:rsidR="00CF494D" w:rsidRDefault="00CF494D" w:rsidP="00CF494D">
      <w:r>
        <w:t>2.3 Hot Spot Analysis</w:t>
      </w:r>
    </w:p>
    <w:p w14:paraId="43E4B6BE" w14:textId="2958E942" w:rsidR="00CF494D" w:rsidRDefault="006B309F" w:rsidP="00CF494D">
      <w:r w:rsidRPr="006B309F">
        <w:t xml:space="preserve">Hot and cold spots of accessibility were identified using the </w:t>
      </w:r>
      <w:proofErr w:type="spellStart"/>
      <w:r w:rsidRPr="006B309F">
        <w:t>Getis</w:t>
      </w:r>
      <w:proofErr w:type="spellEnd"/>
      <w:r w:rsidRPr="006B309F">
        <w:t>-Ord Gi* statistic in ArcGIS Pro. A spatial weights matrix was constructed with a 4,800-meter fixed-distance band to approximate urban block distances, and a minimum of two neighbors was assigned to tracts without a neighbor within that distance to accommodate rural areas. Manhattan distance was used to better approximate urban road layouts. False Discovery Rate (FDR) correction was applied to control for multiple testing.</w:t>
      </w:r>
    </w:p>
    <w:p w14:paraId="438D4664" w14:textId="77777777" w:rsidR="006B309F" w:rsidRDefault="006B309F" w:rsidP="00CF494D"/>
    <w:p w14:paraId="0607CD33" w14:textId="77777777" w:rsidR="00187DD8" w:rsidRPr="00187DD8" w:rsidRDefault="00187DD8" w:rsidP="00187DD8">
      <w:pPr>
        <w:rPr>
          <w:b/>
          <w:bCs/>
        </w:rPr>
      </w:pPr>
      <w:r w:rsidRPr="00187DD8">
        <w:rPr>
          <w:b/>
          <w:bCs/>
        </w:rPr>
        <w:t>3. Statistical Analysis Details</w:t>
      </w:r>
    </w:p>
    <w:p w14:paraId="7457D233" w14:textId="77777777" w:rsidR="00187DD8" w:rsidRPr="00187DD8" w:rsidRDefault="00187DD8" w:rsidP="00187DD8">
      <w:r w:rsidRPr="00187DD8">
        <w:rPr>
          <w:b/>
          <w:bCs/>
        </w:rPr>
        <w:t>3</w:t>
      </w:r>
      <w:r w:rsidRPr="00187DD8">
        <w:t>.1 R Software Version and Packages</w:t>
      </w:r>
    </w:p>
    <w:p w14:paraId="6827E2F7" w14:textId="77777777" w:rsidR="00187DD8" w:rsidRPr="00187DD8" w:rsidRDefault="00187DD8" w:rsidP="00187DD8">
      <w:r w:rsidRPr="00187DD8">
        <w:t>Analyses were conducted in R using the following packages loaded in the script: readxl, stringr, dplyr, and MASS. The script calls session-level functions only implicitly; version numbers were not printed in the output.</w:t>
      </w:r>
    </w:p>
    <w:p w14:paraId="12B3DD0D" w14:textId="77777777" w:rsidR="00187DD8" w:rsidRDefault="00187DD8" w:rsidP="00187DD8"/>
    <w:p w14:paraId="5D3B01E8" w14:textId="325C1C3B" w:rsidR="00187DD8" w:rsidRPr="00187DD8" w:rsidRDefault="00187DD8" w:rsidP="00187DD8">
      <w:r w:rsidRPr="00187DD8">
        <w:t>3.2 Code Snippets for Recoding Gi_Bin and Model Specification</w:t>
      </w:r>
    </w:p>
    <w:p w14:paraId="3BC51BDD" w14:textId="77777777" w:rsidR="00187DD8" w:rsidRPr="00187DD8" w:rsidRDefault="00187DD8" w:rsidP="00187DD8">
      <w:r w:rsidRPr="00187DD8">
        <w:t># Import packages and data</w:t>
      </w:r>
      <w:r w:rsidRPr="00187DD8">
        <w:br/>
        <w:t>library(readxl)  # import excel</w:t>
      </w:r>
      <w:r w:rsidRPr="00187DD8">
        <w:br/>
        <w:t>library(stringr) # string replace</w:t>
      </w:r>
      <w:r w:rsidRPr="00187DD8">
        <w:br/>
        <w:t>setwd("/Users/madelineratoza/Desktop")</w:t>
      </w:r>
      <w:r w:rsidRPr="00187DD8">
        <w:br/>
        <w:t>Hotlog &lt;- read_excel("/Users/madelineratoza/Desktop/Hotspotlogreg.xlsx")</w:t>
      </w:r>
      <w:r w:rsidRPr="00187DD8">
        <w:br/>
      </w:r>
      <w:r w:rsidRPr="00187DD8">
        <w:br/>
        <w:t># Subset to 99%, 95%, and 90% hot and cold spots</w:t>
      </w:r>
      <w:r w:rsidRPr="00187DD8">
        <w:br/>
        <w:t xml:space="preserve">new_Hotlog &lt;- subset(Hotlog, Hotlog$Gi_Bin == "3" | Hotlog$Gi_Bin == "-3" | Hotlog$Gi_Bin </w:t>
      </w:r>
      <w:r w:rsidRPr="00187DD8">
        <w:lastRenderedPageBreak/>
        <w:t>== "2" | Hotlog$Gi_Bin == "-2" | Hotlog$Gi_Bin == "1" | Hotlog$Gi_Bin == "-1")</w:t>
      </w:r>
      <w:r w:rsidRPr="00187DD8">
        <w:br/>
      </w:r>
      <w:r w:rsidRPr="00187DD8">
        <w:br/>
        <w:t># Recode Gi_Bin: 1 = hotspot; 0 = coldspot</w:t>
      </w:r>
      <w:r w:rsidRPr="00187DD8">
        <w:br/>
        <w:t>library(dplyr)</w:t>
      </w:r>
      <w:r w:rsidRPr="00187DD8">
        <w:br/>
        <w:t>new_Hotlog &lt;- new_Hotlog %&gt;% mutate(Gi_Bin = case_when(</w:t>
      </w:r>
      <w:r w:rsidRPr="00187DD8">
        <w:br/>
        <w:t xml:space="preserve">  Gi_Bin == 3 ~ 1,</w:t>
      </w:r>
      <w:r w:rsidRPr="00187DD8">
        <w:br/>
        <w:t xml:space="preserve">  Gi_Bin == 2 ~ 1,</w:t>
      </w:r>
      <w:r w:rsidRPr="00187DD8">
        <w:br/>
        <w:t xml:space="preserve">  Gi_Bin == 1 ~ 1,</w:t>
      </w:r>
      <w:r w:rsidRPr="00187DD8">
        <w:br/>
        <w:t xml:space="preserve">  Gi_Bin == -1 ~ 0,</w:t>
      </w:r>
      <w:r w:rsidRPr="00187DD8">
        <w:br/>
        <w:t xml:space="preserve">  Gi_Bin == -2 ~ 0,</w:t>
      </w:r>
      <w:r w:rsidRPr="00187DD8">
        <w:br/>
        <w:t xml:space="preserve">  Gi_Bin == -3 ~ 0,</w:t>
      </w:r>
      <w:r w:rsidRPr="00187DD8">
        <w:br/>
        <w:t xml:space="preserve">  TRUE ~ Gi_Bin</w:t>
      </w:r>
      <w:r w:rsidRPr="00187DD8">
        <w:br/>
        <w:t>))</w:t>
      </w:r>
      <w:r w:rsidRPr="00187DD8">
        <w:br/>
      </w:r>
      <w:r w:rsidRPr="00187DD8">
        <w:br/>
        <w:t># Logistic regression models and stepwise selection</w:t>
      </w:r>
      <w:r w:rsidRPr="00187DD8">
        <w:br/>
        <w:t>library(MASS)</w:t>
      </w:r>
      <w:r w:rsidRPr="00187DD8">
        <w:br/>
        <w:t>base.model &lt;- glm(Gi_Bin ~ 1, data = new_Hotlog, family = binomial)</w:t>
      </w:r>
      <w:r w:rsidRPr="00187DD8">
        <w:br/>
        <w:t>scope.model &lt;- glm(Gi_Bin ~ percent_hispanic + percent_white + percent_black +</w:t>
      </w:r>
      <w:r w:rsidRPr="00187DD8">
        <w:br/>
        <w:t xml:space="preserve">  percent_american_indian + percent_asian + percent_native_hawaiian + percent_other_race +</w:t>
      </w:r>
      <w:r w:rsidRPr="00187DD8">
        <w:br/>
        <w:t xml:space="preserve">  percent_two_or_more_races + percent_minority + percent_households_below_povert +</w:t>
      </w:r>
      <w:r w:rsidRPr="00187DD8">
        <w:br/>
        <w:t xml:space="preserve">  percent_no_vehicle_households + percent_households_no_partner_p +</w:t>
      </w:r>
      <w:r w:rsidRPr="00187DD8">
        <w:br/>
        <w:t xml:space="preserve">  percent_households_single_paren + percent_owns_smartphone +</w:t>
      </w:r>
      <w:r w:rsidRPr="00187DD8">
        <w:br/>
        <w:t xml:space="preserve">  percent_no_internet_households + percent_with_disability + percent_unemployed +</w:t>
      </w:r>
      <w:r w:rsidRPr="00187DD8">
        <w:br/>
        <w:t xml:space="preserve">  percent_no_hs_diploma, data = new_Hotlog, family = binomial)</w:t>
      </w:r>
      <w:r w:rsidRPr="00187DD8">
        <w:br/>
      </w:r>
      <w:r w:rsidRPr="00187DD8">
        <w:br/>
        <w:t>step.model &lt;- stepAIC(scope.model, direction = "both", trace = FALSE)</w:t>
      </w:r>
      <w:r w:rsidRPr="00187DD8">
        <w:br/>
        <w:t>summary(step.model)</w:t>
      </w:r>
      <w:r w:rsidRPr="00187DD8">
        <w:br/>
      </w:r>
    </w:p>
    <w:p w14:paraId="13CACD6C" w14:textId="77777777" w:rsidR="00187DD8" w:rsidRPr="00187DD8" w:rsidRDefault="00187DD8" w:rsidP="00187DD8">
      <w:r w:rsidRPr="00187DD8">
        <w:t xml:space="preserve">3.3 </w:t>
      </w:r>
      <w:r w:rsidRPr="00187DD8">
        <w:rPr>
          <w:b/>
          <w:bCs/>
        </w:rPr>
        <w:t xml:space="preserve">Table S5. </w:t>
      </w:r>
      <w:r w:rsidRPr="00187DD8">
        <w:t>Logistic regression output (coefficients on log-odds scale, SE, z, p-values)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1426"/>
        <w:gridCol w:w="1385"/>
        <w:gridCol w:w="1255"/>
        <w:gridCol w:w="1451"/>
      </w:tblGrid>
      <w:tr w:rsidR="00187DD8" w:rsidRPr="00187DD8" w14:paraId="32D98759" w14:textId="77777777" w:rsidTr="00187DD8">
        <w:tc>
          <w:tcPr>
            <w:tcW w:w="1728" w:type="dxa"/>
          </w:tcPr>
          <w:p w14:paraId="66375D6E" w14:textId="77777777" w:rsidR="00187DD8" w:rsidRPr="00187DD8" w:rsidRDefault="00187DD8" w:rsidP="00187DD8">
            <w:r w:rsidRPr="00187DD8">
              <w:t>Predictor</w:t>
            </w:r>
          </w:p>
        </w:tc>
        <w:tc>
          <w:tcPr>
            <w:tcW w:w="1728" w:type="dxa"/>
          </w:tcPr>
          <w:p w14:paraId="750843D0" w14:textId="77777777" w:rsidR="00187DD8" w:rsidRPr="00187DD8" w:rsidRDefault="00187DD8" w:rsidP="00187DD8">
            <w:r w:rsidRPr="00187DD8">
              <w:t>Estimate (β)</w:t>
            </w:r>
          </w:p>
        </w:tc>
        <w:tc>
          <w:tcPr>
            <w:tcW w:w="1728" w:type="dxa"/>
          </w:tcPr>
          <w:p w14:paraId="591E7042" w14:textId="77777777" w:rsidR="00187DD8" w:rsidRPr="00187DD8" w:rsidRDefault="00187DD8" w:rsidP="00187DD8">
            <w:r w:rsidRPr="00187DD8">
              <w:t>Std. Error</w:t>
            </w:r>
          </w:p>
        </w:tc>
        <w:tc>
          <w:tcPr>
            <w:tcW w:w="1728" w:type="dxa"/>
          </w:tcPr>
          <w:p w14:paraId="7FC56AD1" w14:textId="77777777" w:rsidR="00187DD8" w:rsidRPr="00187DD8" w:rsidRDefault="00187DD8" w:rsidP="00187DD8">
            <w:r w:rsidRPr="00187DD8">
              <w:t>z value</w:t>
            </w:r>
          </w:p>
        </w:tc>
        <w:tc>
          <w:tcPr>
            <w:tcW w:w="1728" w:type="dxa"/>
          </w:tcPr>
          <w:p w14:paraId="539FC1C5" w14:textId="77777777" w:rsidR="00187DD8" w:rsidRPr="00187DD8" w:rsidRDefault="00187DD8" w:rsidP="00187DD8">
            <w:r w:rsidRPr="00187DD8">
              <w:t>Pr(&gt;|z|)</w:t>
            </w:r>
          </w:p>
        </w:tc>
      </w:tr>
      <w:tr w:rsidR="00187DD8" w:rsidRPr="00187DD8" w14:paraId="0C0244F5" w14:textId="77777777" w:rsidTr="00187DD8">
        <w:tc>
          <w:tcPr>
            <w:tcW w:w="1728" w:type="dxa"/>
          </w:tcPr>
          <w:p w14:paraId="5E2A2092" w14:textId="77777777" w:rsidR="00187DD8" w:rsidRPr="00187DD8" w:rsidRDefault="00187DD8" w:rsidP="00187DD8">
            <w:r w:rsidRPr="00187DD8">
              <w:t>(Intercept)</w:t>
            </w:r>
          </w:p>
        </w:tc>
        <w:tc>
          <w:tcPr>
            <w:tcW w:w="1728" w:type="dxa"/>
          </w:tcPr>
          <w:p w14:paraId="11306692" w14:textId="77777777" w:rsidR="00187DD8" w:rsidRPr="00187DD8" w:rsidRDefault="00187DD8" w:rsidP="00187DD8">
            <w:r w:rsidRPr="00187DD8">
              <w:t>-9.33899</w:t>
            </w:r>
          </w:p>
        </w:tc>
        <w:tc>
          <w:tcPr>
            <w:tcW w:w="1728" w:type="dxa"/>
          </w:tcPr>
          <w:p w14:paraId="08DBA73D" w14:textId="77777777" w:rsidR="00187DD8" w:rsidRPr="00187DD8" w:rsidRDefault="00187DD8" w:rsidP="00187DD8">
            <w:r w:rsidRPr="00187DD8">
              <w:t>3.98127</w:t>
            </w:r>
          </w:p>
        </w:tc>
        <w:tc>
          <w:tcPr>
            <w:tcW w:w="1728" w:type="dxa"/>
          </w:tcPr>
          <w:p w14:paraId="6DAB8B7A" w14:textId="77777777" w:rsidR="00187DD8" w:rsidRPr="00187DD8" w:rsidRDefault="00187DD8" w:rsidP="00187DD8">
            <w:r w:rsidRPr="00187DD8">
              <w:t>-2.346</w:t>
            </w:r>
          </w:p>
        </w:tc>
        <w:tc>
          <w:tcPr>
            <w:tcW w:w="1728" w:type="dxa"/>
          </w:tcPr>
          <w:p w14:paraId="6912A9A0" w14:textId="77777777" w:rsidR="00187DD8" w:rsidRPr="00187DD8" w:rsidRDefault="00187DD8" w:rsidP="00187DD8">
            <w:r w:rsidRPr="00187DD8">
              <w:t>0.018990</w:t>
            </w:r>
          </w:p>
        </w:tc>
      </w:tr>
      <w:tr w:rsidR="00187DD8" w:rsidRPr="00187DD8" w14:paraId="7F9E6114" w14:textId="77777777" w:rsidTr="00187DD8">
        <w:tc>
          <w:tcPr>
            <w:tcW w:w="1728" w:type="dxa"/>
          </w:tcPr>
          <w:p w14:paraId="4E1C18B6" w14:textId="77777777" w:rsidR="00187DD8" w:rsidRPr="00187DD8" w:rsidRDefault="00187DD8" w:rsidP="00187DD8">
            <w:r w:rsidRPr="00187DD8">
              <w:t>percent_hispanic</w:t>
            </w:r>
          </w:p>
        </w:tc>
        <w:tc>
          <w:tcPr>
            <w:tcW w:w="1728" w:type="dxa"/>
          </w:tcPr>
          <w:p w14:paraId="26ECD051" w14:textId="77777777" w:rsidR="00187DD8" w:rsidRPr="00187DD8" w:rsidRDefault="00187DD8" w:rsidP="00187DD8">
            <w:r w:rsidRPr="00187DD8">
              <w:t>0.13595</w:t>
            </w:r>
          </w:p>
        </w:tc>
        <w:tc>
          <w:tcPr>
            <w:tcW w:w="1728" w:type="dxa"/>
          </w:tcPr>
          <w:p w14:paraId="660070DD" w14:textId="77777777" w:rsidR="00187DD8" w:rsidRPr="00187DD8" w:rsidRDefault="00187DD8" w:rsidP="00187DD8">
            <w:r w:rsidRPr="00187DD8">
              <w:t>0.04129</w:t>
            </w:r>
          </w:p>
        </w:tc>
        <w:tc>
          <w:tcPr>
            <w:tcW w:w="1728" w:type="dxa"/>
          </w:tcPr>
          <w:p w14:paraId="39F6CC64" w14:textId="77777777" w:rsidR="00187DD8" w:rsidRPr="00187DD8" w:rsidRDefault="00187DD8" w:rsidP="00187DD8">
            <w:r w:rsidRPr="00187DD8">
              <w:t>3.293</w:t>
            </w:r>
          </w:p>
        </w:tc>
        <w:tc>
          <w:tcPr>
            <w:tcW w:w="1728" w:type="dxa"/>
          </w:tcPr>
          <w:p w14:paraId="4C0BE6B4" w14:textId="77777777" w:rsidR="00187DD8" w:rsidRPr="00187DD8" w:rsidRDefault="00187DD8" w:rsidP="00187DD8">
            <w:r w:rsidRPr="00187DD8">
              <w:t>0.000992</w:t>
            </w:r>
          </w:p>
        </w:tc>
      </w:tr>
      <w:tr w:rsidR="00187DD8" w:rsidRPr="00187DD8" w14:paraId="661446E6" w14:textId="77777777" w:rsidTr="00187DD8">
        <w:tc>
          <w:tcPr>
            <w:tcW w:w="1728" w:type="dxa"/>
          </w:tcPr>
          <w:p w14:paraId="79FF265C" w14:textId="77777777" w:rsidR="00187DD8" w:rsidRPr="00187DD8" w:rsidRDefault="00187DD8" w:rsidP="00187DD8">
            <w:r w:rsidRPr="00187DD8">
              <w:t>percent_white</w:t>
            </w:r>
          </w:p>
        </w:tc>
        <w:tc>
          <w:tcPr>
            <w:tcW w:w="1728" w:type="dxa"/>
          </w:tcPr>
          <w:p w14:paraId="4C6F9F6B" w14:textId="77777777" w:rsidR="00187DD8" w:rsidRPr="00187DD8" w:rsidRDefault="00187DD8" w:rsidP="00187DD8">
            <w:r w:rsidRPr="00187DD8">
              <w:t>0.10746</w:t>
            </w:r>
          </w:p>
        </w:tc>
        <w:tc>
          <w:tcPr>
            <w:tcW w:w="1728" w:type="dxa"/>
          </w:tcPr>
          <w:p w14:paraId="7143996B" w14:textId="77777777" w:rsidR="00187DD8" w:rsidRPr="00187DD8" w:rsidRDefault="00187DD8" w:rsidP="00187DD8">
            <w:r w:rsidRPr="00187DD8">
              <w:t>0.04098</w:t>
            </w:r>
          </w:p>
        </w:tc>
        <w:tc>
          <w:tcPr>
            <w:tcW w:w="1728" w:type="dxa"/>
          </w:tcPr>
          <w:p w14:paraId="49619E00" w14:textId="77777777" w:rsidR="00187DD8" w:rsidRPr="00187DD8" w:rsidRDefault="00187DD8" w:rsidP="00187DD8">
            <w:r w:rsidRPr="00187DD8">
              <w:t>2.622</w:t>
            </w:r>
          </w:p>
        </w:tc>
        <w:tc>
          <w:tcPr>
            <w:tcW w:w="1728" w:type="dxa"/>
          </w:tcPr>
          <w:p w14:paraId="40F730B4" w14:textId="77777777" w:rsidR="00187DD8" w:rsidRPr="00187DD8" w:rsidRDefault="00187DD8" w:rsidP="00187DD8">
            <w:r w:rsidRPr="00187DD8">
              <w:t>0.008736</w:t>
            </w:r>
          </w:p>
        </w:tc>
      </w:tr>
      <w:tr w:rsidR="00187DD8" w:rsidRPr="00187DD8" w14:paraId="1B0D50A7" w14:textId="77777777" w:rsidTr="00187DD8">
        <w:tc>
          <w:tcPr>
            <w:tcW w:w="1728" w:type="dxa"/>
          </w:tcPr>
          <w:p w14:paraId="32F0D9C5" w14:textId="77777777" w:rsidR="00187DD8" w:rsidRPr="00187DD8" w:rsidRDefault="00187DD8" w:rsidP="00187DD8">
            <w:r w:rsidRPr="00187DD8">
              <w:t>percent_black</w:t>
            </w:r>
          </w:p>
        </w:tc>
        <w:tc>
          <w:tcPr>
            <w:tcW w:w="1728" w:type="dxa"/>
          </w:tcPr>
          <w:p w14:paraId="5CDF29D7" w14:textId="77777777" w:rsidR="00187DD8" w:rsidRPr="00187DD8" w:rsidRDefault="00187DD8" w:rsidP="00187DD8">
            <w:r w:rsidRPr="00187DD8">
              <w:t>0.09932</w:t>
            </w:r>
          </w:p>
        </w:tc>
        <w:tc>
          <w:tcPr>
            <w:tcW w:w="1728" w:type="dxa"/>
          </w:tcPr>
          <w:p w14:paraId="7854FDAF" w14:textId="77777777" w:rsidR="00187DD8" w:rsidRPr="00187DD8" w:rsidRDefault="00187DD8" w:rsidP="00187DD8">
            <w:r w:rsidRPr="00187DD8">
              <w:t>0.04089</w:t>
            </w:r>
          </w:p>
        </w:tc>
        <w:tc>
          <w:tcPr>
            <w:tcW w:w="1728" w:type="dxa"/>
          </w:tcPr>
          <w:p w14:paraId="6F9527F2" w14:textId="77777777" w:rsidR="00187DD8" w:rsidRPr="00187DD8" w:rsidRDefault="00187DD8" w:rsidP="00187DD8">
            <w:r w:rsidRPr="00187DD8">
              <w:t>2.429</w:t>
            </w:r>
          </w:p>
        </w:tc>
        <w:tc>
          <w:tcPr>
            <w:tcW w:w="1728" w:type="dxa"/>
          </w:tcPr>
          <w:p w14:paraId="482A550B" w14:textId="77777777" w:rsidR="00187DD8" w:rsidRPr="00187DD8" w:rsidRDefault="00187DD8" w:rsidP="00187DD8">
            <w:r w:rsidRPr="00187DD8">
              <w:t>0.015129</w:t>
            </w:r>
          </w:p>
        </w:tc>
      </w:tr>
      <w:tr w:rsidR="00187DD8" w:rsidRPr="00187DD8" w14:paraId="2C7B3BC8" w14:textId="77777777" w:rsidTr="00187DD8">
        <w:tc>
          <w:tcPr>
            <w:tcW w:w="1728" w:type="dxa"/>
          </w:tcPr>
          <w:p w14:paraId="68DBDF59" w14:textId="77777777" w:rsidR="00187DD8" w:rsidRPr="00187DD8" w:rsidRDefault="00187DD8" w:rsidP="00187DD8">
            <w:r w:rsidRPr="00187DD8">
              <w:t>percent_american_indian</w:t>
            </w:r>
          </w:p>
        </w:tc>
        <w:tc>
          <w:tcPr>
            <w:tcW w:w="1728" w:type="dxa"/>
          </w:tcPr>
          <w:p w14:paraId="56143A83" w14:textId="77777777" w:rsidR="00187DD8" w:rsidRPr="00187DD8" w:rsidRDefault="00187DD8" w:rsidP="00187DD8">
            <w:r w:rsidRPr="00187DD8">
              <w:t>0.37082</w:t>
            </w:r>
          </w:p>
        </w:tc>
        <w:tc>
          <w:tcPr>
            <w:tcW w:w="1728" w:type="dxa"/>
          </w:tcPr>
          <w:p w14:paraId="6115A3FB" w14:textId="77777777" w:rsidR="00187DD8" w:rsidRPr="00187DD8" w:rsidRDefault="00187DD8" w:rsidP="00187DD8">
            <w:r w:rsidRPr="00187DD8">
              <w:t>0.25724</w:t>
            </w:r>
          </w:p>
        </w:tc>
        <w:tc>
          <w:tcPr>
            <w:tcW w:w="1728" w:type="dxa"/>
          </w:tcPr>
          <w:p w14:paraId="1640BFB5" w14:textId="77777777" w:rsidR="00187DD8" w:rsidRPr="00187DD8" w:rsidRDefault="00187DD8" w:rsidP="00187DD8">
            <w:r w:rsidRPr="00187DD8">
              <w:t>1.442</w:t>
            </w:r>
          </w:p>
        </w:tc>
        <w:tc>
          <w:tcPr>
            <w:tcW w:w="1728" w:type="dxa"/>
          </w:tcPr>
          <w:p w14:paraId="4D074F55" w14:textId="77777777" w:rsidR="00187DD8" w:rsidRPr="00187DD8" w:rsidRDefault="00187DD8" w:rsidP="00187DD8">
            <w:r w:rsidRPr="00187DD8">
              <w:t>0.149425</w:t>
            </w:r>
          </w:p>
        </w:tc>
      </w:tr>
      <w:tr w:rsidR="00187DD8" w:rsidRPr="00187DD8" w14:paraId="2F471E7D" w14:textId="77777777" w:rsidTr="00187DD8">
        <w:tc>
          <w:tcPr>
            <w:tcW w:w="1728" w:type="dxa"/>
          </w:tcPr>
          <w:p w14:paraId="0EB14193" w14:textId="77777777" w:rsidR="00187DD8" w:rsidRPr="00187DD8" w:rsidRDefault="00187DD8" w:rsidP="00187DD8">
            <w:r w:rsidRPr="00187DD8">
              <w:t>percent_asian</w:t>
            </w:r>
          </w:p>
        </w:tc>
        <w:tc>
          <w:tcPr>
            <w:tcW w:w="1728" w:type="dxa"/>
          </w:tcPr>
          <w:p w14:paraId="412D56AE" w14:textId="77777777" w:rsidR="00187DD8" w:rsidRPr="00187DD8" w:rsidRDefault="00187DD8" w:rsidP="00187DD8">
            <w:r w:rsidRPr="00187DD8">
              <w:t>0.11077</w:t>
            </w:r>
          </w:p>
        </w:tc>
        <w:tc>
          <w:tcPr>
            <w:tcW w:w="1728" w:type="dxa"/>
          </w:tcPr>
          <w:p w14:paraId="0363267C" w14:textId="77777777" w:rsidR="00187DD8" w:rsidRPr="00187DD8" w:rsidRDefault="00187DD8" w:rsidP="00187DD8">
            <w:r w:rsidRPr="00187DD8">
              <w:t>0.04178</w:t>
            </w:r>
          </w:p>
        </w:tc>
        <w:tc>
          <w:tcPr>
            <w:tcW w:w="1728" w:type="dxa"/>
          </w:tcPr>
          <w:p w14:paraId="0DC80B49" w14:textId="77777777" w:rsidR="00187DD8" w:rsidRPr="00187DD8" w:rsidRDefault="00187DD8" w:rsidP="00187DD8">
            <w:r w:rsidRPr="00187DD8">
              <w:t>2.651</w:t>
            </w:r>
          </w:p>
        </w:tc>
        <w:tc>
          <w:tcPr>
            <w:tcW w:w="1728" w:type="dxa"/>
          </w:tcPr>
          <w:p w14:paraId="4E65B7C0" w14:textId="77777777" w:rsidR="00187DD8" w:rsidRPr="00187DD8" w:rsidRDefault="00187DD8" w:rsidP="00187DD8">
            <w:r w:rsidRPr="00187DD8">
              <w:t>0.008014</w:t>
            </w:r>
          </w:p>
        </w:tc>
      </w:tr>
      <w:tr w:rsidR="00187DD8" w:rsidRPr="00187DD8" w14:paraId="340C38F8" w14:textId="77777777" w:rsidTr="00187DD8">
        <w:tc>
          <w:tcPr>
            <w:tcW w:w="1728" w:type="dxa"/>
          </w:tcPr>
          <w:p w14:paraId="56695DCD" w14:textId="77777777" w:rsidR="00187DD8" w:rsidRPr="00187DD8" w:rsidRDefault="00187DD8" w:rsidP="00187DD8">
            <w:r w:rsidRPr="00187DD8">
              <w:t>percent_no_vehicle_households</w:t>
            </w:r>
          </w:p>
        </w:tc>
        <w:tc>
          <w:tcPr>
            <w:tcW w:w="1728" w:type="dxa"/>
          </w:tcPr>
          <w:p w14:paraId="23406AC0" w14:textId="77777777" w:rsidR="00187DD8" w:rsidRPr="00187DD8" w:rsidRDefault="00187DD8" w:rsidP="00187DD8">
            <w:r w:rsidRPr="00187DD8">
              <w:t>-0.07500</w:t>
            </w:r>
          </w:p>
        </w:tc>
        <w:tc>
          <w:tcPr>
            <w:tcW w:w="1728" w:type="dxa"/>
          </w:tcPr>
          <w:p w14:paraId="794C0317" w14:textId="77777777" w:rsidR="00187DD8" w:rsidRPr="00187DD8" w:rsidRDefault="00187DD8" w:rsidP="00187DD8">
            <w:r w:rsidRPr="00187DD8">
              <w:t>0.02605</w:t>
            </w:r>
          </w:p>
        </w:tc>
        <w:tc>
          <w:tcPr>
            <w:tcW w:w="1728" w:type="dxa"/>
          </w:tcPr>
          <w:p w14:paraId="741F8429" w14:textId="77777777" w:rsidR="00187DD8" w:rsidRPr="00187DD8" w:rsidRDefault="00187DD8" w:rsidP="00187DD8">
            <w:r w:rsidRPr="00187DD8">
              <w:t>-2.879</w:t>
            </w:r>
          </w:p>
        </w:tc>
        <w:tc>
          <w:tcPr>
            <w:tcW w:w="1728" w:type="dxa"/>
          </w:tcPr>
          <w:p w14:paraId="781E0E01" w14:textId="77777777" w:rsidR="00187DD8" w:rsidRPr="00187DD8" w:rsidRDefault="00187DD8" w:rsidP="00187DD8">
            <w:r w:rsidRPr="00187DD8">
              <w:t>0.003988</w:t>
            </w:r>
          </w:p>
        </w:tc>
      </w:tr>
      <w:tr w:rsidR="00187DD8" w:rsidRPr="00187DD8" w14:paraId="6A11FDE5" w14:textId="77777777" w:rsidTr="00187DD8">
        <w:tc>
          <w:tcPr>
            <w:tcW w:w="1728" w:type="dxa"/>
          </w:tcPr>
          <w:p w14:paraId="53F25EA1" w14:textId="77777777" w:rsidR="00187DD8" w:rsidRPr="00187DD8" w:rsidRDefault="00187DD8" w:rsidP="00187DD8">
            <w:r w:rsidRPr="00187DD8">
              <w:t>percent_households_no_partner_p</w:t>
            </w:r>
          </w:p>
        </w:tc>
        <w:tc>
          <w:tcPr>
            <w:tcW w:w="1728" w:type="dxa"/>
          </w:tcPr>
          <w:p w14:paraId="14252CD8" w14:textId="77777777" w:rsidR="00187DD8" w:rsidRPr="00187DD8" w:rsidRDefault="00187DD8" w:rsidP="00187DD8">
            <w:r w:rsidRPr="00187DD8">
              <w:t>-0.04543</w:t>
            </w:r>
          </w:p>
        </w:tc>
        <w:tc>
          <w:tcPr>
            <w:tcW w:w="1728" w:type="dxa"/>
          </w:tcPr>
          <w:p w14:paraId="71361296" w14:textId="77777777" w:rsidR="00187DD8" w:rsidRPr="00187DD8" w:rsidRDefault="00187DD8" w:rsidP="00187DD8">
            <w:r w:rsidRPr="00187DD8">
              <w:t>0.01103</w:t>
            </w:r>
          </w:p>
        </w:tc>
        <w:tc>
          <w:tcPr>
            <w:tcW w:w="1728" w:type="dxa"/>
          </w:tcPr>
          <w:p w14:paraId="42740691" w14:textId="77777777" w:rsidR="00187DD8" w:rsidRPr="00187DD8" w:rsidRDefault="00187DD8" w:rsidP="00187DD8">
            <w:r w:rsidRPr="00187DD8">
              <w:t>-4.121</w:t>
            </w:r>
          </w:p>
        </w:tc>
        <w:tc>
          <w:tcPr>
            <w:tcW w:w="1728" w:type="dxa"/>
          </w:tcPr>
          <w:p w14:paraId="782CCF1A" w14:textId="77777777" w:rsidR="00187DD8" w:rsidRPr="00187DD8" w:rsidRDefault="00187DD8" w:rsidP="00187DD8">
            <w:r w:rsidRPr="00187DD8">
              <w:t>3.77e-05</w:t>
            </w:r>
          </w:p>
        </w:tc>
      </w:tr>
      <w:tr w:rsidR="00187DD8" w:rsidRPr="00187DD8" w14:paraId="2DEC5951" w14:textId="77777777" w:rsidTr="00187DD8">
        <w:tc>
          <w:tcPr>
            <w:tcW w:w="1728" w:type="dxa"/>
          </w:tcPr>
          <w:p w14:paraId="4F463825" w14:textId="77777777" w:rsidR="00187DD8" w:rsidRPr="00187DD8" w:rsidRDefault="00187DD8" w:rsidP="00187DD8">
            <w:r w:rsidRPr="00187DD8">
              <w:t>percent_households_single_paren</w:t>
            </w:r>
          </w:p>
        </w:tc>
        <w:tc>
          <w:tcPr>
            <w:tcW w:w="1728" w:type="dxa"/>
          </w:tcPr>
          <w:p w14:paraId="53E4CA3E" w14:textId="77777777" w:rsidR="00187DD8" w:rsidRPr="00187DD8" w:rsidRDefault="00187DD8" w:rsidP="00187DD8">
            <w:r w:rsidRPr="00187DD8">
              <w:t>0.12360</w:t>
            </w:r>
          </w:p>
        </w:tc>
        <w:tc>
          <w:tcPr>
            <w:tcW w:w="1728" w:type="dxa"/>
          </w:tcPr>
          <w:p w14:paraId="0B2F8E75" w14:textId="77777777" w:rsidR="00187DD8" w:rsidRPr="00187DD8" w:rsidRDefault="00187DD8" w:rsidP="00187DD8">
            <w:r w:rsidRPr="00187DD8">
              <w:t>0.02746</w:t>
            </w:r>
          </w:p>
        </w:tc>
        <w:tc>
          <w:tcPr>
            <w:tcW w:w="1728" w:type="dxa"/>
          </w:tcPr>
          <w:p w14:paraId="3A78E17E" w14:textId="77777777" w:rsidR="00187DD8" w:rsidRPr="00187DD8" w:rsidRDefault="00187DD8" w:rsidP="00187DD8">
            <w:r w:rsidRPr="00187DD8">
              <w:t>4.501</w:t>
            </w:r>
          </w:p>
        </w:tc>
        <w:tc>
          <w:tcPr>
            <w:tcW w:w="1728" w:type="dxa"/>
          </w:tcPr>
          <w:p w14:paraId="4A6F6116" w14:textId="77777777" w:rsidR="00187DD8" w:rsidRPr="00187DD8" w:rsidRDefault="00187DD8" w:rsidP="00187DD8">
            <w:r w:rsidRPr="00187DD8">
              <w:t>6.77e-06</w:t>
            </w:r>
          </w:p>
        </w:tc>
      </w:tr>
      <w:tr w:rsidR="00187DD8" w:rsidRPr="00187DD8" w14:paraId="3D936B6E" w14:textId="77777777" w:rsidTr="00187DD8">
        <w:tc>
          <w:tcPr>
            <w:tcW w:w="1728" w:type="dxa"/>
          </w:tcPr>
          <w:p w14:paraId="5F2B4779" w14:textId="77777777" w:rsidR="00187DD8" w:rsidRPr="00187DD8" w:rsidRDefault="00187DD8" w:rsidP="00187DD8">
            <w:r w:rsidRPr="00187DD8">
              <w:t>percent_no_internet_households</w:t>
            </w:r>
          </w:p>
        </w:tc>
        <w:tc>
          <w:tcPr>
            <w:tcW w:w="1728" w:type="dxa"/>
          </w:tcPr>
          <w:p w14:paraId="1A61DF00" w14:textId="77777777" w:rsidR="00187DD8" w:rsidRPr="00187DD8" w:rsidRDefault="00187DD8" w:rsidP="00187DD8">
            <w:r w:rsidRPr="00187DD8">
              <w:t>0.03715</w:t>
            </w:r>
          </w:p>
        </w:tc>
        <w:tc>
          <w:tcPr>
            <w:tcW w:w="1728" w:type="dxa"/>
          </w:tcPr>
          <w:p w14:paraId="37B4C803" w14:textId="77777777" w:rsidR="00187DD8" w:rsidRPr="00187DD8" w:rsidRDefault="00187DD8" w:rsidP="00187DD8">
            <w:r w:rsidRPr="00187DD8">
              <w:t>0.01912</w:t>
            </w:r>
          </w:p>
        </w:tc>
        <w:tc>
          <w:tcPr>
            <w:tcW w:w="1728" w:type="dxa"/>
          </w:tcPr>
          <w:p w14:paraId="2D69D9BB" w14:textId="77777777" w:rsidR="00187DD8" w:rsidRPr="00187DD8" w:rsidRDefault="00187DD8" w:rsidP="00187DD8">
            <w:r w:rsidRPr="00187DD8">
              <w:t>1.943</w:t>
            </w:r>
          </w:p>
        </w:tc>
        <w:tc>
          <w:tcPr>
            <w:tcW w:w="1728" w:type="dxa"/>
          </w:tcPr>
          <w:p w14:paraId="50D2AF14" w14:textId="77777777" w:rsidR="00187DD8" w:rsidRPr="00187DD8" w:rsidRDefault="00187DD8" w:rsidP="00187DD8">
            <w:r w:rsidRPr="00187DD8">
              <w:t>0.052063</w:t>
            </w:r>
          </w:p>
        </w:tc>
      </w:tr>
      <w:tr w:rsidR="00187DD8" w:rsidRPr="00187DD8" w14:paraId="515AC57E" w14:textId="77777777" w:rsidTr="00187DD8">
        <w:tc>
          <w:tcPr>
            <w:tcW w:w="1728" w:type="dxa"/>
          </w:tcPr>
          <w:p w14:paraId="5B8D3AA5" w14:textId="77777777" w:rsidR="00187DD8" w:rsidRPr="00187DD8" w:rsidRDefault="00187DD8" w:rsidP="00187DD8">
            <w:r w:rsidRPr="00187DD8">
              <w:t>percent_with_disability</w:t>
            </w:r>
          </w:p>
        </w:tc>
        <w:tc>
          <w:tcPr>
            <w:tcW w:w="1728" w:type="dxa"/>
          </w:tcPr>
          <w:p w14:paraId="540FA40E" w14:textId="77777777" w:rsidR="00187DD8" w:rsidRPr="00187DD8" w:rsidRDefault="00187DD8" w:rsidP="00187DD8">
            <w:r w:rsidRPr="00187DD8">
              <w:t>0.16974</w:t>
            </w:r>
          </w:p>
        </w:tc>
        <w:tc>
          <w:tcPr>
            <w:tcW w:w="1728" w:type="dxa"/>
          </w:tcPr>
          <w:p w14:paraId="77159E4D" w14:textId="77777777" w:rsidR="00187DD8" w:rsidRPr="00187DD8" w:rsidRDefault="00187DD8" w:rsidP="00187DD8">
            <w:r w:rsidRPr="00187DD8">
              <w:t>0.03080</w:t>
            </w:r>
          </w:p>
        </w:tc>
        <w:tc>
          <w:tcPr>
            <w:tcW w:w="1728" w:type="dxa"/>
          </w:tcPr>
          <w:p w14:paraId="1366DB6C" w14:textId="77777777" w:rsidR="00187DD8" w:rsidRPr="00187DD8" w:rsidRDefault="00187DD8" w:rsidP="00187DD8">
            <w:r w:rsidRPr="00187DD8">
              <w:t>5.511</w:t>
            </w:r>
          </w:p>
        </w:tc>
        <w:tc>
          <w:tcPr>
            <w:tcW w:w="1728" w:type="dxa"/>
          </w:tcPr>
          <w:p w14:paraId="6BFC83D7" w14:textId="77777777" w:rsidR="00187DD8" w:rsidRPr="00187DD8" w:rsidRDefault="00187DD8" w:rsidP="00187DD8">
            <w:r w:rsidRPr="00187DD8">
              <w:t>3.56e-08</w:t>
            </w:r>
          </w:p>
        </w:tc>
      </w:tr>
      <w:tr w:rsidR="00187DD8" w:rsidRPr="00187DD8" w14:paraId="128E22BB" w14:textId="77777777" w:rsidTr="00187DD8">
        <w:tc>
          <w:tcPr>
            <w:tcW w:w="1728" w:type="dxa"/>
          </w:tcPr>
          <w:p w14:paraId="22574C51" w14:textId="77777777" w:rsidR="00187DD8" w:rsidRPr="00187DD8" w:rsidRDefault="00187DD8" w:rsidP="00187DD8">
            <w:r w:rsidRPr="00187DD8">
              <w:lastRenderedPageBreak/>
              <w:t>percent_no_hs_diploma</w:t>
            </w:r>
          </w:p>
        </w:tc>
        <w:tc>
          <w:tcPr>
            <w:tcW w:w="1728" w:type="dxa"/>
          </w:tcPr>
          <w:p w14:paraId="0A17753A" w14:textId="77777777" w:rsidR="00187DD8" w:rsidRPr="00187DD8" w:rsidRDefault="00187DD8" w:rsidP="00187DD8">
            <w:r w:rsidRPr="00187DD8">
              <w:t>-0.07290</w:t>
            </w:r>
          </w:p>
        </w:tc>
        <w:tc>
          <w:tcPr>
            <w:tcW w:w="1728" w:type="dxa"/>
          </w:tcPr>
          <w:p w14:paraId="40F8F595" w14:textId="77777777" w:rsidR="00187DD8" w:rsidRPr="00187DD8" w:rsidRDefault="00187DD8" w:rsidP="00187DD8">
            <w:r w:rsidRPr="00187DD8">
              <w:t>0.01943</w:t>
            </w:r>
          </w:p>
        </w:tc>
        <w:tc>
          <w:tcPr>
            <w:tcW w:w="1728" w:type="dxa"/>
          </w:tcPr>
          <w:p w14:paraId="29F221DB" w14:textId="77777777" w:rsidR="00187DD8" w:rsidRPr="00187DD8" w:rsidRDefault="00187DD8" w:rsidP="00187DD8">
            <w:r w:rsidRPr="00187DD8">
              <w:t>-3.752</w:t>
            </w:r>
          </w:p>
        </w:tc>
        <w:tc>
          <w:tcPr>
            <w:tcW w:w="1728" w:type="dxa"/>
          </w:tcPr>
          <w:p w14:paraId="4909A866" w14:textId="77777777" w:rsidR="00187DD8" w:rsidRPr="00187DD8" w:rsidRDefault="00187DD8" w:rsidP="00187DD8">
            <w:r w:rsidRPr="00187DD8">
              <w:t>0.000175</w:t>
            </w:r>
          </w:p>
        </w:tc>
      </w:tr>
    </w:tbl>
    <w:p w14:paraId="71D712F5" w14:textId="77777777" w:rsidR="00187DD8" w:rsidRPr="00187DD8" w:rsidRDefault="00187DD8" w:rsidP="00187DD8">
      <w:r w:rsidRPr="00187DD8">
        <w:t>Model fit (as printed by summary(</w:t>
      </w:r>
      <w:proofErr w:type="gramStart"/>
      <w:r w:rsidRPr="00187DD8">
        <w:t>step.model</w:t>
      </w:r>
      <w:proofErr w:type="gramEnd"/>
      <w:r w:rsidRPr="00187DD8">
        <w:t>)): Null deviance = 522.64 on 438 df; Residual deviance = 371.64 on 427 df; AIC = 395.64; 1 observation deleted due to missingness. Number of Fisher Scoring iterations: 5.</w:t>
      </w:r>
    </w:p>
    <w:p w14:paraId="62FF3597" w14:textId="77777777" w:rsidR="00187DD8" w:rsidRPr="00187DD8" w:rsidRDefault="00187DD8" w:rsidP="00187DD8">
      <w:r w:rsidRPr="00187DD8">
        <w:t>3.4 Figure S5. Residual diagnostics</w:t>
      </w:r>
    </w:p>
    <w:p w14:paraId="73B7D3F8" w14:textId="77777777" w:rsidR="00187DD8" w:rsidRPr="00187DD8" w:rsidRDefault="00187DD8" w:rsidP="00187DD8">
      <w:r w:rsidRPr="00187DD8">
        <w:t>Not included. No ROC curve or residual plots were generated in the uploaded analysis script; therefore, this section is omitted to remain faithful to the source output.</w:t>
      </w:r>
    </w:p>
    <w:p w14:paraId="6E4BC36F" w14:textId="77777777" w:rsidR="00187DD8" w:rsidRPr="00187DD8" w:rsidRDefault="00187DD8" w:rsidP="00187DD8">
      <w:r w:rsidRPr="00187DD8">
        <w:t>3.5 Table S6. Correlation matrix or VIF for predictors</w:t>
      </w:r>
    </w:p>
    <w:p w14:paraId="6B955A34" w14:textId="77777777" w:rsidR="00187DD8" w:rsidRPr="00187DD8" w:rsidRDefault="00187DD8" w:rsidP="00187DD8">
      <w:r w:rsidRPr="00187DD8">
        <w:t>Not included. Variance Inflation Factors (VIF) and correlation matrices were not computed in the uploaded script; thus, no multicollinearity table is shown here.</w:t>
      </w:r>
    </w:p>
    <w:p w14:paraId="79D0B929" w14:textId="77777777" w:rsidR="00187DD8" w:rsidRDefault="00187DD8" w:rsidP="00187DD8"/>
    <w:p w14:paraId="5BB277D9" w14:textId="1933F87E" w:rsidR="00187DD8" w:rsidRPr="00187DD8" w:rsidRDefault="00187DD8" w:rsidP="00187DD8">
      <w:r w:rsidRPr="00187DD8">
        <w:t>3.6 Model selection comparison (AIC)</w:t>
      </w:r>
    </w:p>
    <w:p w14:paraId="68AC9C84" w14:textId="77777777" w:rsidR="00187DD8" w:rsidRDefault="00187DD8" w:rsidP="00187DD8">
      <w:r w:rsidRPr="00187DD8">
        <w:t xml:space="preserve">AIC values printed by </w:t>
      </w:r>
      <w:proofErr w:type="gramStart"/>
      <w:r w:rsidRPr="00187DD8">
        <w:t>AIC(</w:t>
      </w:r>
      <w:proofErr w:type="spellStart"/>
      <w:r w:rsidRPr="00187DD8">
        <w:t>base.model</w:t>
      </w:r>
      <w:proofErr w:type="spellEnd"/>
      <w:proofErr w:type="gramEnd"/>
      <w:r w:rsidRPr="00187DD8">
        <w:t xml:space="preserve">, </w:t>
      </w:r>
      <w:proofErr w:type="spellStart"/>
      <w:proofErr w:type="gramStart"/>
      <w:r w:rsidRPr="00187DD8">
        <w:t>forward.model</w:t>
      </w:r>
      <w:proofErr w:type="spellEnd"/>
      <w:proofErr w:type="gramEnd"/>
      <w:r w:rsidRPr="00187DD8">
        <w:t xml:space="preserve">, </w:t>
      </w:r>
      <w:proofErr w:type="spellStart"/>
      <w:proofErr w:type="gramStart"/>
      <w:r w:rsidRPr="00187DD8">
        <w:t>backward.model</w:t>
      </w:r>
      <w:proofErr w:type="spellEnd"/>
      <w:proofErr w:type="gramEnd"/>
      <w:r w:rsidRPr="00187DD8">
        <w:t xml:space="preserve">, </w:t>
      </w:r>
      <w:proofErr w:type="spellStart"/>
      <w:proofErr w:type="gramStart"/>
      <w:r w:rsidRPr="00187DD8">
        <w:t>step.model</w:t>
      </w:r>
      <w:proofErr w:type="spellEnd"/>
      <w:proofErr w:type="gramEnd"/>
      <w:r w:rsidRPr="00187DD8">
        <w:t>):</w:t>
      </w:r>
    </w:p>
    <w:p w14:paraId="0B1098D1" w14:textId="77777777" w:rsidR="00187DD8" w:rsidRDefault="00187DD8" w:rsidP="00187DD8"/>
    <w:p w14:paraId="5D92AD82" w14:textId="59313F54" w:rsidR="00187DD8" w:rsidRPr="00187DD8" w:rsidRDefault="00187DD8" w:rsidP="00187DD8">
      <w:r w:rsidRPr="00187DD8">
        <w:rPr>
          <w:b/>
          <w:bCs/>
        </w:rPr>
        <w:t>Table S7.</w:t>
      </w:r>
      <w:r>
        <w:t xml:space="preserve"> </w:t>
      </w:r>
      <w:r w:rsidRPr="00187DD8">
        <w:t>Model selection comparison (AIC)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187DD8" w:rsidRPr="00187DD8" w14:paraId="2E71F025" w14:textId="77777777" w:rsidTr="00187DD8">
        <w:tc>
          <w:tcPr>
            <w:tcW w:w="2880" w:type="dxa"/>
          </w:tcPr>
          <w:p w14:paraId="40FD683E" w14:textId="77777777" w:rsidR="00187DD8" w:rsidRPr="00187DD8" w:rsidRDefault="00187DD8" w:rsidP="00187DD8">
            <w:r w:rsidRPr="00187DD8">
              <w:t>Model</w:t>
            </w:r>
          </w:p>
        </w:tc>
        <w:tc>
          <w:tcPr>
            <w:tcW w:w="2880" w:type="dxa"/>
          </w:tcPr>
          <w:p w14:paraId="5494E8C4" w14:textId="77777777" w:rsidR="00187DD8" w:rsidRPr="00187DD8" w:rsidRDefault="00187DD8" w:rsidP="00187DD8">
            <w:r w:rsidRPr="00187DD8">
              <w:t>df</w:t>
            </w:r>
          </w:p>
        </w:tc>
        <w:tc>
          <w:tcPr>
            <w:tcW w:w="2880" w:type="dxa"/>
          </w:tcPr>
          <w:p w14:paraId="6FB283A9" w14:textId="77777777" w:rsidR="00187DD8" w:rsidRPr="00187DD8" w:rsidRDefault="00187DD8" w:rsidP="00187DD8">
            <w:r w:rsidRPr="00187DD8">
              <w:t>AIC</w:t>
            </w:r>
          </w:p>
        </w:tc>
      </w:tr>
      <w:tr w:rsidR="00187DD8" w:rsidRPr="00187DD8" w14:paraId="4622F61E" w14:textId="77777777" w:rsidTr="00187DD8">
        <w:tc>
          <w:tcPr>
            <w:tcW w:w="2880" w:type="dxa"/>
          </w:tcPr>
          <w:p w14:paraId="641677C2" w14:textId="77777777" w:rsidR="00187DD8" w:rsidRPr="00187DD8" w:rsidRDefault="00187DD8" w:rsidP="00187DD8">
            <w:proofErr w:type="gramStart"/>
            <w:r w:rsidRPr="00187DD8">
              <w:t>base.model</w:t>
            </w:r>
            <w:proofErr w:type="gramEnd"/>
          </w:p>
        </w:tc>
        <w:tc>
          <w:tcPr>
            <w:tcW w:w="2880" w:type="dxa"/>
          </w:tcPr>
          <w:p w14:paraId="4CFD2FC8" w14:textId="77777777" w:rsidR="00187DD8" w:rsidRPr="00187DD8" w:rsidRDefault="00187DD8" w:rsidP="00187DD8">
            <w:r w:rsidRPr="00187DD8">
              <w:t>1</w:t>
            </w:r>
          </w:p>
        </w:tc>
        <w:tc>
          <w:tcPr>
            <w:tcW w:w="2880" w:type="dxa"/>
          </w:tcPr>
          <w:p w14:paraId="281EF17C" w14:textId="77777777" w:rsidR="00187DD8" w:rsidRPr="00187DD8" w:rsidRDefault="00187DD8" w:rsidP="00187DD8">
            <w:r w:rsidRPr="00187DD8">
              <w:t>527.1626</w:t>
            </w:r>
          </w:p>
        </w:tc>
      </w:tr>
      <w:tr w:rsidR="00187DD8" w:rsidRPr="00187DD8" w14:paraId="2DBB80B0" w14:textId="77777777" w:rsidTr="00187DD8">
        <w:tc>
          <w:tcPr>
            <w:tcW w:w="2880" w:type="dxa"/>
          </w:tcPr>
          <w:p w14:paraId="4648AF18" w14:textId="77777777" w:rsidR="00187DD8" w:rsidRPr="00187DD8" w:rsidRDefault="00187DD8" w:rsidP="00187DD8">
            <w:proofErr w:type="gramStart"/>
            <w:r w:rsidRPr="00187DD8">
              <w:t>forward.model</w:t>
            </w:r>
            <w:proofErr w:type="gramEnd"/>
          </w:p>
        </w:tc>
        <w:tc>
          <w:tcPr>
            <w:tcW w:w="2880" w:type="dxa"/>
          </w:tcPr>
          <w:p w14:paraId="6D720F85" w14:textId="77777777" w:rsidR="00187DD8" w:rsidRPr="00187DD8" w:rsidRDefault="00187DD8" w:rsidP="00187DD8">
            <w:r w:rsidRPr="00187DD8">
              <w:t>18</w:t>
            </w:r>
          </w:p>
        </w:tc>
        <w:tc>
          <w:tcPr>
            <w:tcW w:w="2880" w:type="dxa"/>
          </w:tcPr>
          <w:p w14:paraId="4BCA5F6C" w14:textId="77777777" w:rsidR="00187DD8" w:rsidRPr="00187DD8" w:rsidRDefault="00187DD8" w:rsidP="00187DD8">
            <w:r w:rsidRPr="00187DD8">
              <w:t>405.0939</w:t>
            </w:r>
          </w:p>
        </w:tc>
      </w:tr>
      <w:tr w:rsidR="00187DD8" w:rsidRPr="00187DD8" w14:paraId="502D6F1F" w14:textId="77777777" w:rsidTr="00187DD8">
        <w:tc>
          <w:tcPr>
            <w:tcW w:w="2880" w:type="dxa"/>
          </w:tcPr>
          <w:p w14:paraId="0D449A3C" w14:textId="77777777" w:rsidR="00187DD8" w:rsidRPr="00187DD8" w:rsidRDefault="00187DD8" w:rsidP="00187DD8">
            <w:proofErr w:type="gramStart"/>
            <w:r w:rsidRPr="00187DD8">
              <w:t>backward.model</w:t>
            </w:r>
            <w:proofErr w:type="gramEnd"/>
          </w:p>
        </w:tc>
        <w:tc>
          <w:tcPr>
            <w:tcW w:w="2880" w:type="dxa"/>
          </w:tcPr>
          <w:p w14:paraId="1BDDAF6A" w14:textId="77777777" w:rsidR="00187DD8" w:rsidRPr="00187DD8" w:rsidRDefault="00187DD8" w:rsidP="00187DD8">
            <w:r w:rsidRPr="00187DD8">
              <w:t>12</w:t>
            </w:r>
          </w:p>
        </w:tc>
        <w:tc>
          <w:tcPr>
            <w:tcW w:w="2880" w:type="dxa"/>
          </w:tcPr>
          <w:p w14:paraId="229F3127" w14:textId="77777777" w:rsidR="00187DD8" w:rsidRPr="00187DD8" w:rsidRDefault="00187DD8" w:rsidP="00187DD8">
            <w:r w:rsidRPr="00187DD8">
              <w:t>395.6428</w:t>
            </w:r>
          </w:p>
        </w:tc>
      </w:tr>
      <w:tr w:rsidR="00187DD8" w:rsidRPr="00187DD8" w14:paraId="77A352F9" w14:textId="77777777" w:rsidTr="00187DD8">
        <w:tc>
          <w:tcPr>
            <w:tcW w:w="2880" w:type="dxa"/>
          </w:tcPr>
          <w:p w14:paraId="7A0CDCD0" w14:textId="77777777" w:rsidR="00187DD8" w:rsidRPr="00187DD8" w:rsidRDefault="00187DD8" w:rsidP="00187DD8">
            <w:proofErr w:type="gramStart"/>
            <w:r w:rsidRPr="00187DD8">
              <w:t>step.model</w:t>
            </w:r>
            <w:proofErr w:type="gramEnd"/>
          </w:p>
        </w:tc>
        <w:tc>
          <w:tcPr>
            <w:tcW w:w="2880" w:type="dxa"/>
          </w:tcPr>
          <w:p w14:paraId="5A800E9F" w14:textId="77777777" w:rsidR="00187DD8" w:rsidRPr="00187DD8" w:rsidRDefault="00187DD8" w:rsidP="00187DD8">
            <w:r w:rsidRPr="00187DD8">
              <w:t>12</w:t>
            </w:r>
          </w:p>
        </w:tc>
        <w:tc>
          <w:tcPr>
            <w:tcW w:w="2880" w:type="dxa"/>
          </w:tcPr>
          <w:p w14:paraId="7DBDDBB9" w14:textId="77777777" w:rsidR="00187DD8" w:rsidRPr="00187DD8" w:rsidRDefault="00187DD8" w:rsidP="00187DD8">
            <w:r w:rsidRPr="00187DD8">
              <w:t>395.6428</w:t>
            </w:r>
          </w:p>
        </w:tc>
      </w:tr>
    </w:tbl>
    <w:p w14:paraId="7A2B2939" w14:textId="77777777" w:rsidR="00B84233" w:rsidRDefault="00B84233" w:rsidP="00CF494D">
      <w:pPr>
        <w:rPr>
          <w:b/>
          <w:bCs/>
        </w:rPr>
      </w:pPr>
    </w:p>
    <w:p w14:paraId="536DD7B5" w14:textId="19F971C5" w:rsidR="00CF494D" w:rsidRPr="00B84233" w:rsidRDefault="006B309F" w:rsidP="00CF494D">
      <w:pPr>
        <w:rPr>
          <w:b/>
          <w:bCs/>
        </w:rPr>
      </w:pPr>
      <w:r>
        <w:rPr>
          <w:b/>
          <w:bCs/>
        </w:rPr>
        <w:t>4</w:t>
      </w:r>
      <w:r w:rsidR="00CF494D" w:rsidRPr="00B84233">
        <w:rPr>
          <w:b/>
          <w:bCs/>
        </w:rPr>
        <w:t>. Reproducibility Statement</w:t>
      </w:r>
    </w:p>
    <w:p w14:paraId="7DF32E2E" w14:textId="619AB06E" w:rsidR="00CF494D" w:rsidRDefault="00B84233" w:rsidP="00B84233">
      <w:r w:rsidRPr="00B84233">
        <w:t xml:space="preserve">All analyses were performed using ArcGIS Pro (version </w:t>
      </w:r>
      <w:r>
        <w:t>3.3</w:t>
      </w:r>
      <w:r w:rsidRPr="00B84233">
        <w:t xml:space="preserve">, ESRI) with the Network Analyst and Spatial Statistics toolboxes, and R (version 4.3.1) for regression modeling. Publicly available data from the Texas Health and Human Services licensure database (clinic locations) and the 2020 U.S. Census American Community Survey (community characteristics) were used, supplemented with therapist licensure addresses obtained through a state open records request. Road network routing relied on ESRI </w:t>
      </w:r>
      <w:proofErr w:type="spellStart"/>
      <w:r w:rsidRPr="00B84233">
        <w:t>StreetMap</w:t>
      </w:r>
      <w:proofErr w:type="spellEnd"/>
      <w:r w:rsidRPr="00B84233">
        <w:t xml:space="preserve"> Premium, which is available under commercial license. All data-cleaning workflows, ArcGIS parameters, and R code used for statistical analysis are documented in this Supplement, enabling replication of study findings by researchers with access to the same datasets.</w:t>
      </w:r>
    </w:p>
    <w:sectPr w:rsidR="00CF4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4A04"/>
    <w:multiLevelType w:val="hybridMultilevel"/>
    <w:tmpl w:val="8A5C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D59A6"/>
    <w:multiLevelType w:val="hybridMultilevel"/>
    <w:tmpl w:val="A5CC2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12510"/>
    <w:multiLevelType w:val="hybridMultilevel"/>
    <w:tmpl w:val="3C4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951FE"/>
    <w:multiLevelType w:val="hybridMultilevel"/>
    <w:tmpl w:val="90B04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73E6B"/>
    <w:multiLevelType w:val="hybridMultilevel"/>
    <w:tmpl w:val="8EBEA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15EE3"/>
    <w:multiLevelType w:val="hybridMultilevel"/>
    <w:tmpl w:val="CA90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E3CEB"/>
    <w:multiLevelType w:val="hybridMultilevel"/>
    <w:tmpl w:val="6BE8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A0B55"/>
    <w:multiLevelType w:val="hybridMultilevel"/>
    <w:tmpl w:val="DFE2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508C5"/>
    <w:multiLevelType w:val="hybridMultilevel"/>
    <w:tmpl w:val="0D9C54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AE64DC"/>
    <w:multiLevelType w:val="hybridMultilevel"/>
    <w:tmpl w:val="4C5E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080155">
    <w:abstractNumId w:val="9"/>
  </w:num>
  <w:num w:numId="2" w16cid:durableId="1651788281">
    <w:abstractNumId w:val="0"/>
  </w:num>
  <w:num w:numId="3" w16cid:durableId="236323284">
    <w:abstractNumId w:val="6"/>
  </w:num>
  <w:num w:numId="4" w16cid:durableId="1182358423">
    <w:abstractNumId w:val="7"/>
  </w:num>
  <w:num w:numId="5" w16cid:durableId="1507552400">
    <w:abstractNumId w:val="3"/>
  </w:num>
  <w:num w:numId="6" w16cid:durableId="825586592">
    <w:abstractNumId w:val="8"/>
  </w:num>
  <w:num w:numId="7" w16cid:durableId="277421603">
    <w:abstractNumId w:val="5"/>
  </w:num>
  <w:num w:numId="8" w16cid:durableId="1437407908">
    <w:abstractNumId w:val="4"/>
  </w:num>
  <w:num w:numId="9" w16cid:durableId="1371882400">
    <w:abstractNumId w:val="2"/>
  </w:num>
  <w:num w:numId="10" w16cid:durableId="98778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4D"/>
    <w:rsid w:val="001055EA"/>
    <w:rsid w:val="00120252"/>
    <w:rsid w:val="00187DD8"/>
    <w:rsid w:val="001C5170"/>
    <w:rsid w:val="001D1BCA"/>
    <w:rsid w:val="003A1A45"/>
    <w:rsid w:val="003A30B0"/>
    <w:rsid w:val="00584D3F"/>
    <w:rsid w:val="006B309F"/>
    <w:rsid w:val="00856D9F"/>
    <w:rsid w:val="009B0A4B"/>
    <w:rsid w:val="00B84233"/>
    <w:rsid w:val="00CF494D"/>
    <w:rsid w:val="00D1587C"/>
    <w:rsid w:val="00E4284A"/>
    <w:rsid w:val="00F0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372B70"/>
  <w15:chartTrackingRefBased/>
  <w15:docId w15:val="{725CB4F7-79D2-E64A-A8CF-7D417170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B0A4B"/>
    <w:pPr>
      <w:keepNext/>
      <w:keepLines/>
      <w:spacing w:before="120" w:after="120"/>
      <w:jc w:val="center"/>
      <w:outlineLvl w:val="0"/>
    </w:pPr>
    <w:rPr>
      <w:rFonts w:ascii="Times New Roman" w:eastAsiaTheme="majorEastAsia" w:hAnsi="Times New Roman" w:cstheme="majorBidi"/>
      <w:b/>
      <w:color w:val="000000" w:themeColor="text1"/>
      <w:kern w:val="0"/>
      <w:sz w:val="22"/>
      <w:szCs w:val="32"/>
      <w14:ligatures w14:val="none"/>
    </w:rPr>
  </w:style>
  <w:style w:type="paragraph" w:styleId="Heading2">
    <w:name w:val="heading 2"/>
    <w:basedOn w:val="Normal"/>
    <w:next w:val="Normal"/>
    <w:link w:val="Heading2Char"/>
    <w:autoRedefine/>
    <w:uiPriority w:val="9"/>
    <w:unhideWhenUsed/>
    <w:qFormat/>
    <w:rsid w:val="009B0A4B"/>
    <w:pPr>
      <w:keepNext/>
      <w:keepLines/>
      <w:spacing w:before="120" w:after="120"/>
      <w:outlineLvl w:val="1"/>
    </w:pPr>
    <w:rPr>
      <w:rFonts w:ascii="Times New Roman" w:eastAsiaTheme="majorEastAsia" w:hAnsi="Times New Roman" w:cstheme="majorBidi"/>
      <w:b/>
      <w:color w:val="000000" w:themeColor="text1"/>
      <w:kern w:val="0"/>
      <w:sz w:val="22"/>
      <w:szCs w:val="26"/>
      <w14:ligatures w14:val="none"/>
    </w:rPr>
  </w:style>
  <w:style w:type="paragraph" w:styleId="Heading3">
    <w:name w:val="heading 3"/>
    <w:basedOn w:val="Normal"/>
    <w:next w:val="Normal"/>
    <w:link w:val="Heading3Char"/>
    <w:uiPriority w:val="9"/>
    <w:semiHidden/>
    <w:unhideWhenUsed/>
    <w:qFormat/>
    <w:rsid w:val="00CF4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856D9F"/>
    <w:pPr>
      <w:keepNext/>
      <w:keepLines/>
      <w:ind w:left="720"/>
      <w:outlineLvl w:val="3"/>
    </w:pPr>
    <w:rPr>
      <w:rFonts w:asciiTheme="majorHAnsi" w:eastAsiaTheme="majorEastAsia" w:hAnsiTheme="majorHAnsi" w:cstheme="majorBidi"/>
      <w:b/>
      <w:i/>
      <w:iCs/>
      <w:color w:val="000000" w:themeColor="text1"/>
      <w:kern w:val="0"/>
      <w14:ligatures w14:val="none"/>
    </w:rPr>
  </w:style>
  <w:style w:type="paragraph" w:styleId="Heading5">
    <w:name w:val="heading 5"/>
    <w:basedOn w:val="Normal"/>
    <w:next w:val="Normal"/>
    <w:link w:val="Heading5Char"/>
    <w:uiPriority w:val="9"/>
    <w:semiHidden/>
    <w:unhideWhenUsed/>
    <w:qFormat/>
    <w:rsid w:val="00CF4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9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9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9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9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A4B"/>
    <w:rPr>
      <w:rFonts w:ascii="Times New Roman" w:eastAsiaTheme="majorEastAsia" w:hAnsi="Times New Roman" w:cstheme="majorBidi"/>
      <w:b/>
      <w:color w:val="000000" w:themeColor="text1"/>
      <w:kern w:val="0"/>
      <w:sz w:val="22"/>
      <w:szCs w:val="32"/>
      <w14:ligatures w14:val="none"/>
    </w:rPr>
  </w:style>
  <w:style w:type="character" w:customStyle="1" w:styleId="Heading2Char">
    <w:name w:val="Heading 2 Char"/>
    <w:basedOn w:val="DefaultParagraphFont"/>
    <w:link w:val="Heading2"/>
    <w:uiPriority w:val="9"/>
    <w:rsid w:val="009B0A4B"/>
    <w:rPr>
      <w:rFonts w:ascii="Times New Roman" w:eastAsiaTheme="majorEastAsia" w:hAnsi="Times New Roman" w:cstheme="majorBidi"/>
      <w:b/>
      <w:color w:val="000000" w:themeColor="text1"/>
      <w:kern w:val="0"/>
      <w:sz w:val="22"/>
      <w:szCs w:val="26"/>
      <w14:ligatures w14:val="none"/>
    </w:rPr>
  </w:style>
  <w:style w:type="paragraph" w:styleId="Title">
    <w:name w:val="Title"/>
    <w:aliases w:val="Heading 4 Dissertation"/>
    <w:next w:val="Normal"/>
    <w:link w:val="TitleChar"/>
    <w:autoRedefine/>
    <w:uiPriority w:val="10"/>
    <w:qFormat/>
    <w:rsid w:val="00856D9F"/>
    <w:pPr>
      <w:ind w:left="720"/>
      <w:contextualSpacing/>
    </w:pPr>
    <w:rPr>
      <w:rFonts w:ascii="Times New Roman" w:eastAsiaTheme="majorEastAsia" w:hAnsi="Times New Roman" w:cstheme="majorBidi"/>
      <w:b/>
      <w:spacing w:val="-10"/>
      <w:kern w:val="28"/>
      <w:sz w:val="22"/>
      <w:szCs w:val="56"/>
      <w14:ligatures w14:val="none"/>
    </w:rPr>
  </w:style>
  <w:style w:type="character" w:customStyle="1" w:styleId="TitleChar">
    <w:name w:val="Title Char"/>
    <w:aliases w:val="Heading 4 Dissertation Char"/>
    <w:basedOn w:val="DefaultParagraphFont"/>
    <w:link w:val="Title"/>
    <w:uiPriority w:val="10"/>
    <w:rsid w:val="00856D9F"/>
    <w:rPr>
      <w:rFonts w:ascii="Times New Roman" w:eastAsiaTheme="majorEastAsia" w:hAnsi="Times New Roman" w:cstheme="majorBidi"/>
      <w:b/>
      <w:spacing w:val="-10"/>
      <w:kern w:val="28"/>
      <w:sz w:val="22"/>
      <w:szCs w:val="56"/>
      <w14:ligatures w14:val="none"/>
    </w:rPr>
  </w:style>
  <w:style w:type="character" w:customStyle="1" w:styleId="Heading4Char">
    <w:name w:val="Heading 4 Char"/>
    <w:basedOn w:val="DefaultParagraphFont"/>
    <w:link w:val="Heading4"/>
    <w:uiPriority w:val="9"/>
    <w:rsid w:val="00856D9F"/>
    <w:rPr>
      <w:rFonts w:asciiTheme="majorHAnsi" w:eastAsiaTheme="majorEastAsia" w:hAnsiTheme="majorHAnsi" w:cstheme="majorBidi"/>
      <w:b/>
      <w:i/>
      <w:iCs/>
      <w:color w:val="000000" w:themeColor="text1"/>
      <w:kern w:val="0"/>
      <w14:ligatures w14:val="none"/>
    </w:rPr>
  </w:style>
  <w:style w:type="character" w:customStyle="1" w:styleId="Heading3Char">
    <w:name w:val="Heading 3 Char"/>
    <w:basedOn w:val="DefaultParagraphFont"/>
    <w:link w:val="Heading3"/>
    <w:uiPriority w:val="9"/>
    <w:semiHidden/>
    <w:rsid w:val="00CF494D"/>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CF4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94D"/>
    <w:rPr>
      <w:rFonts w:eastAsiaTheme="majorEastAsia" w:cstheme="majorBidi"/>
      <w:color w:val="272727" w:themeColor="text1" w:themeTint="D8"/>
    </w:rPr>
  </w:style>
  <w:style w:type="paragraph" w:styleId="Subtitle">
    <w:name w:val="Subtitle"/>
    <w:basedOn w:val="Normal"/>
    <w:next w:val="Normal"/>
    <w:link w:val="SubtitleChar"/>
    <w:uiPriority w:val="11"/>
    <w:qFormat/>
    <w:rsid w:val="00CF49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9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94D"/>
    <w:rPr>
      <w:i/>
      <w:iCs/>
      <w:color w:val="404040" w:themeColor="text1" w:themeTint="BF"/>
    </w:rPr>
  </w:style>
  <w:style w:type="paragraph" w:styleId="ListParagraph">
    <w:name w:val="List Paragraph"/>
    <w:basedOn w:val="Normal"/>
    <w:uiPriority w:val="34"/>
    <w:qFormat/>
    <w:rsid w:val="00CF494D"/>
    <w:pPr>
      <w:ind w:left="720"/>
      <w:contextualSpacing/>
    </w:pPr>
  </w:style>
  <w:style w:type="character" w:styleId="IntenseEmphasis">
    <w:name w:val="Intense Emphasis"/>
    <w:basedOn w:val="DefaultParagraphFont"/>
    <w:uiPriority w:val="21"/>
    <w:qFormat/>
    <w:rsid w:val="00CF494D"/>
    <w:rPr>
      <w:i/>
      <w:iCs/>
      <w:color w:val="0F4761" w:themeColor="accent1" w:themeShade="BF"/>
    </w:rPr>
  </w:style>
  <w:style w:type="paragraph" w:styleId="IntenseQuote">
    <w:name w:val="Intense Quote"/>
    <w:basedOn w:val="Normal"/>
    <w:next w:val="Normal"/>
    <w:link w:val="IntenseQuoteChar"/>
    <w:uiPriority w:val="30"/>
    <w:qFormat/>
    <w:rsid w:val="00CF4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94D"/>
    <w:rPr>
      <w:i/>
      <w:iCs/>
      <w:color w:val="0F4761" w:themeColor="accent1" w:themeShade="BF"/>
    </w:rPr>
  </w:style>
  <w:style w:type="character" w:styleId="IntenseReference">
    <w:name w:val="Intense Reference"/>
    <w:basedOn w:val="DefaultParagraphFont"/>
    <w:uiPriority w:val="32"/>
    <w:qFormat/>
    <w:rsid w:val="00CF494D"/>
    <w:rPr>
      <w:b/>
      <w:bCs/>
      <w:smallCaps/>
      <w:color w:val="0F4761" w:themeColor="accent1" w:themeShade="BF"/>
      <w:spacing w:val="5"/>
    </w:rPr>
  </w:style>
  <w:style w:type="table" w:styleId="TableGrid">
    <w:name w:val="Table Grid"/>
    <w:basedOn w:val="TableNormal"/>
    <w:uiPriority w:val="59"/>
    <w:rsid w:val="003A1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1750</Words>
  <Characters>11429</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Ratoza</dc:creator>
  <cp:keywords/>
  <dc:description/>
  <cp:lastModifiedBy>Madeline Ratoza</cp:lastModifiedBy>
  <cp:revision>2</cp:revision>
  <dcterms:created xsi:type="dcterms:W3CDTF">2025-10-09T14:22:00Z</dcterms:created>
  <dcterms:modified xsi:type="dcterms:W3CDTF">2025-10-09T14:22:00Z</dcterms:modified>
</cp:coreProperties>
</file>