
<file path=[Content_Types].xml><?xml version="1.0" encoding="utf-8"?>
<Types xmlns="http://schemas.openxmlformats.org/package/2006/content-types">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word/media/image1.tif" ContentType="image/tiff"/>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rFonts w:cs="Times New Roman" w:ascii="Times New Roman" w:hAnsi="Times New Roman"/>
          <w:b/>
          <w:bCs/>
        </w:rPr>
        <w:t>Supplementary document for</w:t>
      </w:r>
      <w:bookmarkStart w:id="0" w:name="_GoBack"/>
      <w:bookmarkEnd w:id="0"/>
    </w:p>
    <w:p>
      <w:pPr>
        <w:pStyle w:val="Normal"/>
        <w:spacing w:before="240" w:after="0"/>
        <w:ind w:left="360" w:hanging="0"/>
        <w:jc w:val="center"/>
        <w:rPr/>
      </w:pPr>
      <w:r>
        <w:rPr>
          <w:rFonts w:eastAsia="Times New Roman" w:cs="Arial" w:ascii="Times New Roman" w:hAnsi="Times New Roman"/>
          <w:b/>
          <w:bCs/>
          <w:color w:val="000000"/>
          <w:shd w:fill="FFFFFF" w:val="clear"/>
        </w:rPr>
        <w:t xml:space="preserve">Evaluation of diverse-based precipitation data over the Amazon  </w:t>
      </w:r>
      <w:r>
        <w:rPr>
          <w:rFonts w:eastAsia="Times New Roman" w:cs="Arial" w:ascii="Times New Roman" w:hAnsi="Times New Roman"/>
          <w:b/>
          <w:bCs/>
          <w:color w:val="000000"/>
          <w:shd w:fill="FFFFFF" w:val="clear"/>
        </w:rPr>
        <w:t>Region</w:t>
      </w:r>
    </w:p>
    <w:p>
      <w:pPr>
        <w:pStyle w:val="Normal"/>
        <w:spacing w:lineRule="auto" w:line="360" w:before="240" w:after="0"/>
        <w:ind w:left="360" w:hanging="0"/>
        <w:jc w:val="center"/>
        <w:rPr>
          <w:rFonts w:ascii="Times New Roman" w:hAnsi="Times New Roman" w:eastAsia="Times New Roman" w:cs="Arial"/>
          <w:b/>
          <w:b/>
          <w:bCs/>
          <w:color w:val="000000"/>
          <w:highlight w:val="white"/>
        </w:rPr>
      </w:pPr>
      <w:r>
        <w:rPr/>
        <w:drawing>
          <wp:inline distT="0" distB="0" distL="0" distR="0">
            <wp:extent cx="4510405" cy="6443345"/>
            <wp:effectExtent l="0" t="0" r="0" b="0"/>
            <wp:docPr id="1" name="Imagem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descr=""/>
                    <pic:cNvPicPr>
                      <a:picLocks noChangeAspect="1" noChangeArrowheads="1"/>
                    </pic:cNvPicPr>
                  </pic:nvPicPr>
                  <pic:blipFill>
                    <a:blip r:embed="rId2"/>
                    <a:stretch>
                      <a:fillRect/>
                    </a:stretch>
                  </pic:blipFill>
                  <pic:spPr bwMode="auto">
                    <a:xfrm>
                      <a:off x="0" y="0"/>
                      <a:ext cx="4510405" cy="6443345"/>
                    </a:xfrm>
                    <a:prstGeom prst="rect">
                      <a:avLst/>
                    </a:prstGeom>
                  </pic:spPr>
                </pic:pic>
              </a:graphicData>
            </a:graphic>
          </wp:inline>
        </w:drawing>
      </w:r>
    </w:p>
    <w:p>
      <w:pPr>
        <w:pStyle w:val="Normal"/>
        <w:spacing w:lineRule="auto" w:line="360" w:before="240" w:after="0"/>
        <w:jc w:val="both"/>
        <w:rPr/>
      </w:pPr>
      <w:r>
        <w:rPr>
          <w:rFonts w:eastAsia="Times New Roman" w:cs="Times New Roman" w:ascii="Times New Roman" w:hAnsi="Times New Roman"/>
          <w:b/>
          <w:bCs/>
          <w:color w:val="000000"/>
          <w:sz w:val="20"/>
          <w:szCs w:val="20"/>
          <w:shd w:fill="FFFFFF" w:val="clear"/>
        </w:rPr>
        <w:t>Fig. S1</w:t>
      </w:r>
      <w:r>
        <w:rPr>
          <w:rFonts w:eastAsia="Times New Roman" w:cs="Times New Roman" w:ascii="Times New Roman" w:hAnsi="Times New Roman"/>
          <w:color w:val="000000"/>
          <w:sz w:val="20"/>
          <w:szCs w:val="20"/>
          <w:shd w:fill="FFFFFF" w:val="clear"/>
        </w:rPr>
        <w:t xml:space="preserve">  Precipitation sub-regimes for the AB obtained by the non-hierarchical (k-means) cluster analysis for the non-normalized precipitation. (a) to (d) represent the spatial distribution of each one of the six regimes identified for HYBAM, CHIRPS, MSWEP and TRMM, respectively. The six sub-regions are namely: North Amazon Basin (NAB, R1), Northwest Amazon Basin (NWAB, R2), Northeast Amazon Basin (NEAB, R1), Central Amazon Basin (CAB, R4), Southwest Amazon Basin (SWAB, R5) and Southeast Amazon Basin (SEAB, R6). (e) to (j) correspond to the precipitation annual cycle for each sub-region identified through the cluster analysis applied to HYBAM data. The annual precipitation cycle of each sub-region for CHIRPS, MSWEP and TRMM data is similar to HYBAM (not shown)</w:t>
      </w:r>
    </w:p>
    <w:p>
      <w:pPr>
        <w:pStyle w:val="Normal"/>
        <w:spacing w:lineRule="auto" w:line="360" w:before="240" w:after="0"/>
        <w:jc w:val="both"/>
        <w:rPr>
          <w:rFonts w:ascii="Times New Roman" w:hAnsi="Times New Roman" w:eastAsia="Times New Roman" w:cs="Times New Roman"/>
          <w:color w:val="000000"/>
          <w:sz w:val="20"/>
          <w:szCs w:val="20"/>
          <w:highlight w:val="white"/>
        </w:rPr>
      </w:pPr>
      <w:r>
        <w:rPr>
          <w:rFonts w:eastAsia="Times New Roman" w:cs="Times New Roman" w:ascii="Times New Roman" w:hAnsi="Times New Roman"/>
          <w:color w:val="000000"/>
          <w:sz w:val="20"/>
          <w:szCs w:val="20"/>
          <w:highlight w:val="white"/>
        </w:rPr>
      </w:r>
    </w:p>
    <w:p>
      <w:pPr>
        <w:pStyle w:val="Normal"/>
        <w:spacing w:lineRule="auto" w:line="360" w:before="0" w:after="200"/>
        <w:ind w:left="360" w:hanging="0"/>
        <w:jc w:val="center"/>
        <w:rPr/>
      </w:pPr>
      <w:r>
        <w:rPr>
          <w:rFonts w:ascii="Times New Roman" w:hAnsi="Times New Roman"/>
          <w:b/>
          <w:bCs/>
          <w:sz w:val="20"/>
          <w:szCs w:val="20"/>
        </w:rPr>
        <w:t>Table S1</w:t>
      </w:r>
      <w:r>
        <w:rPr>
          <w:rFonts w:ascii="Times New Roman" w:hAnsi="Times New Roman"/>
          <w:sz w:val="20"/>
          <w:szCs w:val="20"/>
        </w:rPr>
        <w:t xml:space="preserve">  Seasonality index classes. From Walsh and Lawler (1981)</w:t>
      </w:r>
    </w:p>
    <w:tbl>
      <w:tblPr>
        <w:tblW w:w="6937" w:type="dxa"/>
        <w:jc w:val="center"/>
        <w:tblInd w:w="0" w:type="dxa"/>
        <w:tblBorders>
          <w:top w:val="single" w:sz="8" w:space="0" w:color="000000"/>
          <w:left w:val="single" w:sz="8" w:space="0" w:color="FFFFFF"/>
          <w:bottom w:val="single" w:sz="8" w:space="0" w:color="000000"/>
          <w:right w:val="single" w:sz="8" w:space="0" w:color="FFFFFF"/>
          <w:insideH w:val="single" w:sz="8" w:space="0" w:color="000000"/>
          <w:insideV w:val="single" w:sz="8" w:space="0" w:color="FFFFFF"/>
        </w:tblBorders>
        <w:tblCellMar>
          <w:top w:w="100" w:type="dxa"/>
          <w:left w:w="90" w:type="dxa"/>
          <w:bottom w:w="100" w:type="dxa"/>
          <w:right w:w="100" w:type="dxa"/>
        </w:tblCellMar>
        <w:tblLook w:noVBand="1" w:val="04a0" w:noHBand="0" w:lastColumn="0" w:firstColumn="1" w:lastRow="0" w:firstRow="1"/>
      </w:tblPr>
      <w:tblGrid>
        <w:gridCol w:w="4180"/>
        <w:gridCol w:w="2756"/>
      </w:tblGrid>
      <w:tr>
        <w:trPr/>
        <w:tc>
          <w:tcPr>
            <w:tcW w:w="4180" w:type="dxa"/>
            <w:tcBorders>
              <w:top w:val="single" w:sz="8" w:space="0" w:color="000000"/>
              <w:left w:val="single" w:sz="8" w:space="0" w:color="FFFFFF"/>
              <w:bottom w:val="single" w:sz="8" w:space="0" w:color="000000"/>
              <w:right w:val="single" w:sz="8" w:space="0" w:color="FFFFFF"/>
              <w:insideH w:val="single" w:sz="8" w:space="0" w:color="000000"/>
              <w:insideV w:val="single" w:sz="8" w:space="0" w:color="FFFFFF"/>
            </w:tcBorders>
            <w:shd w:fill="auto" w:val="clear"/>
            <w:vAlign w:val="center"/>
          </w:tcPr>
          <w:p>
            <w:pPr>
              <w:pStyle w:val="Contedodatabela"/>
              <w:spacing w:lineRule="auto" w:line="288"/>
              <w:jc w:val="center"/>
              <w:rPr/>
            </w:pPr>
            <w:r>
              <w:rPr>
                <w:rFonts w:ascii="Times New Roman" w:hAnsi="Times New Roman"/>
                <w:b/>
                <w:color w:val="000000"/>
                <w:sz w:val="20"/>
                <w:szCs w:val="20"/>
              </w:rPr>
              <w:t>Rainfall regime</w:t>
            </w:r>
          </w:p>
        </w:tc>
        <w:tc>
          <w:tcPr>
            <w:tcW w:w="2756" w:type="dxa"/>
            <w:tcBorders>
              <w:top w:val="single" w:sz="8" w:space="0" w:color="000000"/>
              <w:left w:val="single" w:sz="8" w:space="0" w:color="FFFFFF"/>
              <w:bottom w:val="single" w:sz="8" w:space="0" w:color="000000"/>
              <w:right w:val="single" w:sz="8" w:space="0" w:color="FFFFFF"/>
              <w:insideH w:val="single" w:sz="8" w:space="0" w:color="000000"/>
              <w:insideV w:val="single" w:sz="8" w:space="0" w:color="FFFFFF"/>
            </w:tcBorders>
            <w:shd w:fill="auto" w:val="clear"/>
            <w:vAlign w:val="center"/>
          </w:tcPr>
          <w:p>
            <w:pPr>
              <w:pStyle w:val="Contedodatabela"/>
              <w:spacing w:lineRule="auto" w:line="288"/>
              <w:jc w:val="center"/>
              <w:rPr/>
            </w:pPr>
            <w:r>
              <w:rPr>
                <w:rFonts w:ascii="Times New Roman" w:hAnsi="Times New Roman"/>
                <w:b/>
                <w:color w:val="000000"/>
                <w:sz w:val="20"/>
                <w:szCs w:val="20"/>
              </w:rPr>
              <w:t>Class limits</w:t>
            </w:r>
          </w:p>
        </w:tc>
      </w:tr>
      <w:tr>
        <w:trPr/>
        <w:tc>
          <w:tcPr>
            <w:tcW w:w="4180" w:type="dxa"/>
            <w:tcBorders>
              <w:top w:val="single" w:sz="8" w:space="0" w:color="000000"/>
              <w:left w:val="single" w:sz="8" w:space="0" w:color="FFFFFF"/>
              <w:bottom w:val="single" w:sz="8" w:space="0" w:color="FFFFFF"/>
              <w:right w:val="single" w:sz="8" w:space="0" w:color="FFFFFF"/>
              <w:insideH w:val="single" w:sz="8" w:space="0" w:color="FFFFFF"/>
              <w:insideV w:val="single" w:sz="8" w:space="0" w:color="FFFFFF"/>
            </w:tcBorders>
            <w:shd w:fill="auto" w:val="clear"/>
            <w:vAlign w:val="center"/>
          </w:tcPr>
          <w:p>
            <w:pPr>
              <w:pStyle w:val="Contedodatabela"/>
              <w:spacing w:lineRule="auto" w:line="288"/>
              <w:jc w:val="center"/>
              <w:rPr/>
            </w:pPr>
            <w:r>
              <w:rPr>
                <w:rFonts w:ascii="Times New Roman" w:hAnsi="Times New Roman"/>
                <w:color w:val="000000"/>
                <w:sz w:val="20"/>
                <w:szCs w:val="20"/>
              </w:rPr>
              <w:t>Very equable</w:t>
            </w:r>
          </w:p>
        </w:tc>
        <w:tc>
          <w:tcPr>
            <w:tcW w:w="2756" w:type="dxa"/>
            <w:tcBorders>
              <w:top w:val="single" w:sz="8" w:space="0" w:color="000000"/>
              <w:left w:val="single" w:sz="8" w:space="0" w:color="FFFFFF"/>
              <w:bottom w:val="single" w:sz="8" w:space="0" w:color="FFFFFF"/>
              <w:right w:val="single" w:sz="8" w:space="0" w:color="FFFFFF"/>
              <w:insideH w:val="single" w:sz="8" w:space="0" w:color="FFFFFF"/>
              <w:insideV w:val="single" w:sz="8" w:space="0" w:color="FFFFFF"/>
            </w:tcBorders>
            <w:shd w:fill="auto" w:val="clear"/>
            <w:vAlign w:val="center"/>
          </w:tcPr>
          <w:p>
            <w:pPr>
              <w:pStyle w:val="Contedodatabela"/>
              <w:spacing w:lineRule="auto" w:line="288"/>
              <w:jc w:val="center"/>
              <w:rPr/>
            </w:pPr>
            <w:r>
              <w:rPr>
                <w:rFonts w:ascii="Times New Roman" w:hAnsi="Times New Roman"/>
                <w:color w:val="000000"/>
                <w:sz w:val="20"/>
                <w:szCs w:val="20"/>
              </w:rPr>
              <w:t>SI ≤ 0.19</w:t>
            </w:r>
          </w:p>
        </w:tc>
      </w:tr>
      <w:tr>
        <w:trPr/>
        <w:tc>
          <w:tcPr>
            <w:tcW w:w="4180" w:type="dxa"/>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fill="auto" w:val="clear"/>
            <w:vAlign w:val="center"/>
          </w:tcPr>
          <w:p>
            <w:pPr>
              <w:pStyle w:val="Contedodatabela"/>
              <w:spacing w:lineRule="auto" w:line="288"/>
              <w:jc w:val="center"/>
              <w:rPr/>
            </w:pPr>
            <w:r>
              <w:rPr>
                <w:rFonts w:ascii="Times New Roman" w:hAnsi="Times New Roman"/>
                <w:color w:val="000000"/>
                <w:sz w:val="20"/>
                <w:szCs w:val="20"/>
              </w:rPr>
              <w:t>Equable but with a definite wetter season</w:t>
            </w:r>
          </w:p>
        </w:tc>
        <w:tc>
          <w:tcPr>
            <w:tcW w:w="2756" w:type="dxa"/>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fill="auto" w:val="clear"/>
            <w:vAlign w:val="center"/>
          </w:tcPr>
          <w:p>
            <w:pPr>
              <w:pStyle w:val="Contedodatabela"/>
              <w:spacing w:lineRule="auto" w:line="288"/>
              <w:jc w:val="center"/>
              <w:rPr/>
            </w:pPr>
            <w:r>
              <w:rPr>
                <w:rFonts w:ascii="Times New Roman" w:hAnsi="Times New Roman"/>
                <w:color w:val="000000"/>
                <w:sz w:val="20"/>
                <w:szCs w:val="20"/>
              </w:rPr>
              <w:t>0.20 ≤ SI ≤ 0.39</w:t>
            </w:r>
          </w:p>
        </w:tc>
      </w:tr>
      <w:tr>
        <w:trPr/>
        <w:tc>
          <w:tcPr>
            <w:tcW w:w="4180" w:type="dxa"/>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fill="auto" w:val="clear"/>
            <w:vAlign w:val="center"/>
          </w:tcPr>
          <w:p>
            <w:pPr>
              <w:pStyle w:val="Contedodatabela"/>
              <w:spacing w:lineRule="auto" w:line="288"/>
              <w:jc w:val="center"/>
              <w:rPr/>
            </w:pPr>
            <w:r>
              <w:rPr>
                <w:rFonts w:ascii="Times New Roman" w:hAnsi="Times New Roman"/>
                <w:color w:val="000000"/>
                <w:sz w:val="20"/>
                <w:szCs w:val="20"/>
              </w:rPr>
              <w:t>Rather seasonal with a short drier season</w:t>
            </w:r>
          </w:p>
        </w:tc>
        <w:tc>
          <w:tcPr>
            <w:tcW w:w="2756" w:type="dxa"/>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fill="auto" w:val="clear"/>
            <w:vAlign w:val="center"/>
          </w:tcPr>
          <w:p>
            <w:pPr>
              <w:pStyle w:val="Contedodatabela"/>
              <w:spacing w:lineRule="auto" w:line="288"/>
              <w:jc w:val="center"/>
              <w:rPr/>
            </w:pPr>
            <w:r>
              <w:rPr>
                <w:rFonts w:ascii="Times New Roman" w:hAnsi="Times New Roman"/>
                <w:color w:val="000000"/>
                <w:sz w:val="20"/>
                <w:szCs w:val="20"/>
              </w:rPr>
              <w:t>0.40 ≤ SI ≤ 0.59</w:t>
            </w:r>
          </w:p>
        </w:tc>
      </w:tr>
      <w:tr>
        <w:trPr/>
        <w:tc>
          <w:tcPr>
            <w:tcW w:w="4180" w:type="dxa"/>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fill="auto" w:val="clear"/>
            <w:vAlign w:val="center"/>
          </w:tcPr>
          <w:p>
            <w:pPr>
              <w:pStyle w:val="Contedodatabela"/>
              <w:spacing w:lineRule="auto" w:line="288"/>
              <w:jc w:val="center"/>
              <w:rPr/>
            </w:pPr>
            <w:r>
              <w:rPr>
                <w:rFonts w:ascii="Times New Roman" w:hAnsi="Times New Roman"/>
                <w:color w:val="000000"/>
                <w:sz w:val="20"/>
                <w:szCs w:val="20"/>
              </w:rPr>
              <w:t>Seasonal</w:t>
            </w:r>
          </w:p>
        </w:tc>
        <w:tc>
          <w:tcPr>
            <w:tcW w:w="2756" w:type="dxa"/>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fill="auto" w:val="clear"/>
            <w:vAlign w:val="center"/>
          </w:tcPr>
          <w:p>
            <w:pPr>
              <w:pStyle w:val="Contedodatabela"/>
              <w:spacing w:lineRule="auto" w:line="288"/>
              <w:jc w:val="center"/>
              <w:rPr/>
            </w:pPr>
            <w:r>
              <w:rPr>
                <w:rFonts w:ascii="Times New Roman" w:hAnsi="Times New Roman"/>
                <w:color w:val="000000"/>
                <w:sz w:val="20"/>
                <w:szCs w:val="20"/>
              </w:rPr>
              <w:t>0.60 ≤ SI ≤ 0.79</w:t>
            </w:r>
          </w:p>
        </w:tc>
      </w:tr>
      <w:tr>
        <w:trPr/>
        <w:tc>
          <w:tcPr>
            <w:tcW w:w="4180" w:type="dxa"/>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fill="auto" w:val="clear"/>
            <w:vAlign w:val="center"/>
          </w:tcPr>
          <w:p>
            <w:pPr>
              <w:pStyle w:val="Contedodatabela"/>
              <w:spacing w:lineRule="auto" w:line="288"/>
              <w:jc w:val="center"/>
              <w:rPr/>
            </w:pPr>
            <w:r>
              <w:rPr>
                <w:rFonts w:ascii="Times New Roman" w:hAnsi="Times New Roman"/>
                <w:color w:val="000000"/>
                <w:sz w:val="20"/>
                <w:szCs w:val="20"/>
              </w:rPr>
              <w:t>Markedly seasonal with a long drier season</w:t>
            </w:r>
          </w:p>
        </w:tc>
        <w:tc>
          <w:tcPr>
            <w:tcW w:w="2756" w:type="dxa"/>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fill="auto" w:val="clear"/>
            <w:vAlign w:val="center"/>
          </w:tcPr>
          <w:p>
            <w:pPr>
              <w:pStyle w:val="Contedodatabela"/>
              <w:spacing w:lineRule="auto" w:line="288"/>
              <w:jc w:val="center"/>
              <w:rPr/>
            </w:pPr>
            <w:r>
              <w:rPr>
                <w:rFonts w:ascii="Times New Roman" w:hAnsi="Times New Roman"/>
                <w:color w:val="000000"/>
                <w:sz w:val="20"/>
                <w:szCs w:val="20"/>
              </w:rPr>
              <w:t>0.80 ≤ SI ≤ 0.99</w:t>
            </w:r>
          </w:p>
        </w:tc>
      </w:tr>
      <w:tr>
        <w:trPr/>
        <w:tc>
          <w:tcPr>
            <w:tcW w:w="4180" w:type="dxa"/>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fill="auto" w:val="clear"/>
            <w:vAlign w:val="center"/>
          </w:tcPr>
          <w:p>
            <w:pPr>
              <w:pStyle w:val="Contedodatabela"/>
              <w:spacing w:lineRule="auto" w:line="288"/>
              <w:jc w:val="center"/>
              <w:rPr/>
            </w:pPr>
            <w:r>
              <w:rPr>
                <w:rFonts w:ascii="Times New Roman" w:hAnsi="Times New Roman"/>
                <w:color w:val="000000"/>
                <w:sz w:val="20"/>
                <w:szCs w:val="20"/>
              </w:rPr>
              <w:t>Most rain in 3 months or less</w:t>
            </w:r>
          </w:p>
        </w:tc>
        <w:tc>
          <w:tcPr>
            <w:tcW w:w="2756" w:type="dxa"/>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fill="auto" w:val="clear"/>
            <w:vAlign w:val="center"/>
          </w:tcPr>
          <w:p>
            <w:pPr>
              <w:pStyle w:val="Contedodatabela"/>
              <w:spacing w:lineRule="auto" w:line="288"/>
              <w:jc w:val="center"/>
              <w:rPr/>
            </w:pPr>
            <w:r>
              <w:rPr>
                <w:rFonts w:ascii="Times New Roman" w:hAnsi="Times New Roman"/>
                <w:color w:val="000000"/>
                <w:sz w:val="20"/>
                <w:szCs w:val="20"/>
              </w:rPr>
              <w:t>1.0 ≤ SI ≤ 1.19</w:t>
            </w:r>
          </w:p>
        </w:tc>
      </w:tr>
      <w:tr>
        <w:trPr/>
        <w:tc>
          <w:tcPr>
            <w:tcW w:w="4180" w:type="dxa"/>
            <w:tcBorders>
              <w:top w:val="single" w:sz="8" w:space="0" w:color="FFFFFF"/>
              <w:left w:val="single" w:sz="8" w:space="0" w:color="FFFFFF"/>
              <w:bottom w:val="single" w:sz="8" w:space="0" w:color="000000"/>
              <w:right w:val="single" w:sz="8" w:space="0" w:color="FFFFFF"/>
              <w:insideH w:val="single" w:sz="8" w:space="0" w:color="000000"/>
              <w:insideV w:val="single" w:sz="8" w:space="0" w:color="FFFFFF"/>
            </w:tcBorders>
            <w:shd w:fill="auto" w:val="clear"/>
            <w:vAlign w:val="center"/>
          </w:tcPr>
          <w:p>
            <w:pPr>
              <w:pStyle w:val="Contedodatabela"/>
              <w:spacing w:lineRule="auto" w:line="288"/>
              <w:jc w:val="center"/>
              <w:rPr/>
            </w:pPr>
            <w:r>
              <w:rPr>
                <w:rFonts w:ascii="Times New Roman" w:hAnsi="Times New Roman"/>
                <w:color w:val="000000"/>
                <w:sz w:val="20"/>
                <w:szCs w:val="20"/>
              </w:rPr>
              <w:t>Extreme, almost all rain in 1 to 2 months</w:t>
            </w:r>
          </w:p>
        </w:tc>
        <w:tc>
          <w:tcPr>
            <w:tcW w:w="2756" w:type="dxa"/>
            <w:tcBorders>
              <w:top w:val="single" w:sz="8" w:space="0" w:color="FFFFFF"/>
              <w:left w:val="single" w:sz="8" w:space="0" w:color="FFFFFF"/>
              <w:bottom w:val="single" w:sz="8" w:space="0" w:color="000000"/>
              <w:right w:val="single" w:sz="8" w:space="0" w:color="FFFFFF"/>
              <w:insideH w:val="single" w:sz="8" w:space="0" w:color="000000"/>
              <w:insideV w:val="single" w:sz="8" w:space="0" w:color="FFFFFF"/>
            </w:tcBorders>
            <w:shd w:fill="auto" w:val="clear"/>
            <w:vAlign w:val="center"/>
          </w:tcPr>
          <w:p>
            <w:pPr>
              <w:pStyle w:val="Contedodatabela"/>
              <w:spacing w:lineRule="auto" w:line="288"/>
              <w:jc w:val="center"/>
              <w:rPr/>
            </w:pPr>
            <w:r>
              <w:rPr>
                <w:rFonts w:ascii="Times New Roman" w:hAnsi="Times New Roman"/>
                <w:color w:val="000000"/>
                <w:sz w:val="20"/>
                <w:szCs w:val="20"/>
              </w:rPr>
              <w:t>SI ≥ 1.20</w:t>
            </w:r>
          </w:p>
        </w:tc>
      </w:tr>
    </w:tbl>
    <w:p>
      <w:pPr>
        <w:pStyle w:val="Corpodetexto"/>
        <w:jc w:val="center"/>
        <w:rPr/>
      </w:pPr>
      <w:r>
        <w:rPr>
          <w:rFonts w:ascii="Times New Roman" w:hAnsi="Times New Roman"/>
          <w:sz w:val="20"/>
          <w:szCs w:val="20"/>
        </w:rPr>
        <w:br/>
      </w:r>
    </w:p>
    <w:p>
      <w:pPr>
        <w:pStyle w:val="Corpodetexto"/>
        <w:spacing w:lineRule="auto" w:line="360" w:before="240" w:after="0"/>
        <w:jc w:val="both"/>
        <w:rPr/>
      </w:pPr>
      <w:r>
        <w:rPr/>
      </w:r>
    </w:p>
    <w:sectPr>
      <w:headerReference w:type="default" r:id="rId3"/>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Liberation Sans">
    <w:altName w:val="Arial"/>
    <w:charset w:val="01"/>
    <w:family w:val="roman"/>
    <w:pitch w:val="variable"/>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697302371"/>
    </w:sdtPr>
    <w:sdtContent>
      <w:p>
        <w:pPr>
          <w:pStyle w:val="Cabealho"/>
          <w:jc w:val="right"/>
          <w:rPr/>
        </w:pPr>
        <w:r>
          <w:rPr/>
        </w:r>
      </w:p>
      <w:p>
        <w:pPr>
          <w:pStyle w:val="Cabealho"/>
          <w:jc w:val="right"/>
          <w:rPr>
            <w:rFonts w:ascii="Times New Roman" w:hAnsi="Times New Roman" w:cs="Times New Roman"/>
            <w:sz w:val="20"/>
            <w:szCs w:val="20"/>
          </w:rPr>
        </w:pPr>
        <w:r>
          <w:rPr>
            <w:rFonts w:cs="Times New Roman" w:ascii="Times New Roman" w:hAnsi="Times New Roman"/>
            <w:sz w:val="20"/>
            <w:szCs w:val="20"/>
          </w:rPr>
        </w:r>
      </w:p>
      <w:p>
        <w:pPr>
          <w:pStyle w:val="Cabealho"/>
          <w:jc w:val="right"/>
          <w:rPr/>
        </w:pPr>
        <w:r>
          <w:rPr>
            <w:rFonts w:cs="Times New Roman" w:ascii="Times New Roman" w:hAnsi="Times New Roman"/>
            <w:sz w:val="20"/>
            <w:szCs w:val="20"/>
          </w:rPr>
          <w:fldChar w:fldCharType="begin"/>
        </w:r>
        <w:r>
          <w:rPr>
            <w:sz w:val="20"/>
            <w:szCs w:val="20"/>
            <w:rFonts w:cs="Times New Roman" w:ascii="Times New Roman" w:hAnsi="Times New Roman"/>
          </w:rPr>
          <w:instrText> PAGE </w:instrText>
        </w:r>
        <w:r>
          <w:rPr>
            <w:sz w:val="20"/>
            <w:szCs w:val="20"/>
            <w:rFonts w:cs="Times New Roman" w:ascii="Times New Roman" w:hAnsi="Times New Roman"/>
          </w:rPr>
          <w:fldChar w:fldCharType="separate"/>
        </w:r>
        <w:r>
          <w:rPr>
            <w:sz w:val="20"/>
            <w:szCs w:val="20"/>
            <w:rFonts w:cs="Times New Roman" w:ascii="Times New Roman" w:hAnsi="Times New Roman"/>
          </w:rPr>
          <w:t>2</w:t>
        </w:r>
        <w:r>
          <w:rPr>
            <w:sz w:val="20"/>
            <w:szCs w:val="20"/>
            <w:rFonts w:cs="Times New Roman" w:ascii="Times New Roman" w:hAnsi="Times New Roman"/>
          </w:rPr>
          <w:fldChar w:fldCharType="end"/>
        </w:r>
      </w:p>
    </w:sdtContent>
  </w:sdt>
  <w:p>
    <w:pPr>
      <w:pStyle w:val="Cabealho"/>
      <w:rPr/>
    </w:pPr>
    <w:r>
      <w:rPr/>
    </w:r>
  </w:p>
</w:hdr>
</file>

<file path=word/settings.xml><?xml version="1.0" encoding="utf-8"?>
<w:settings xmlns:w="http://schemas.openxmlformats.org/wordprocessingml/2006/main">
  <w:zoom w:percent="120"/>
  <w:defaultTabStop w:val="709"/>
  <w:compat>
    <w:compatSetting w:name="compatibilityMode" w:uri="http://schemas.microsoft.com/office/word" w:val="12"/>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Regular" w:cs="Lohit Devanagari"/>
        <w:kern w:val="2"/>
        <w:sz w:val="24"/>
        <w:szCs w:val="24"/>
        <w:lang w:val="pt-BR" w:eastAsia="zh-CN" w:bidi="hi-IN"/>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jc w:val="left"/>
    </w:pPr>
    <w:rPr>
      <w:rFonts w:ascii="Liberation Serif" w:hAnsi="Liberation Serif" w:eastAsia="Noto Sans CJK SC Regular" w:cs="Lohit Devanagari"/>
      <w:color w:val="auto"/>
      <w:kern w:val="2"/>
      <w:sz w:val="24"/>
      <w:szCs w:val="24"/>
      <w:lang w:val="pt-BR" w:eastAsia="zh-CN" w:bidi="hi-IN"/>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link w:val="Cabealho"/>
    <w:uiPriority w:val="99"/>
    <w:qFormat/>
    <w:rsid w:val="00ad674c"/>
    <w:rPr>
      <w:rFonts w:cs="Mangal"/>
      <w:szCs w:val="21"/>
    </w:rPr>
  </w:style>
  <w:style w:type="character" w:styleId="RodapChar" w:customStyle="1">
    <w:name w:val="Rodapé Char"/>
    <w:basedOn w:val="DefaultParagraphFont"/>
    <w:link w:val="Rodap"/>
    <w:uiPriority w:val="99"/>
    <w:qFormat/>
    <w:rsid w:val="00ad674c"/>
    <w:rPr>
      <w:rFonts w:cs="Mangal"/>
      <w:szCs w:val="21"/>
    </w:rPr>
  </w:style>
  <w:style w:type="paragraph" w:styleId="Ttulo">
    <w:name w:val="Título"/>
    <w:basedOn w:val="Normal"/>
    <w:next w:val="Corpodetexto"/>
    <w:qFormat/>
    <w:pPr>
      <w:keepNext w:val="true"/>
      <w:spacing w:before="240" w:after="120"/>
    </w:pPr>
    <w:rPr>
      <w:rFonts w:ascii="Liberation Sans" w:hAnsi="Liberation Sans" w:eastAsia="Noto Sans CJK SC Regular" w:cs="Lohit Devanagari"/>
      <w:sz w:val="28"/>
      <w:szCs w:val="28"/>
    </w:rPr>
  </w:style>
  <w:style w:type="paragraph" w:styleId="Corpodetexto">
    <w:name w:val="Body Text"/>
    <w:basedOn w:val="Normal"/>
    <w:pPr>
      <w:spacing w:lineRule="auto" w:line="276" w:before="0" w:after="140"/>
    </w:pPr>
    <w:rPr/>
  </w:style>
  <w:style w:type="paragraph" w:styleId="Lista">
    <w:name w:val="List"/>
    <w:basedOn w:val="Corpodetexto"/>
    <w:pPr/>
    <w:rPr/>
  </w:style>
  <w:style w:type="paragraph" w:styleId="Legenda">
    <w:name w:val="Caption"/>
    <w:basedOn w:val="Normal"/>
    <w:qFormat/>
    <w:pPr>
      <w:suppressLineNumbers/>
      <w:spacing w:before="120" w:after="120"/>
    </w:pPr>
    <w:rPr>
      <w:rFonts w:cs="Lohit Devanagari"/>
      <w:i/>
      <w:iCs/>
      <w:sz w:val="24"/>
      <w:szCs w:val="24"/>
    </w:rPr>
  </w:style>
  <w:style w:type="paragraph" w:styleId="Ndice" w:customStyle="1">
    <w:name w:val="Índice"/>
    <w:basedOn w:val="Normal"/>
    <w:qFormat/>
    <w:pPr>
      <w:suppressLineNumbers/>
    </w:pPr>
    <w:rPr/>
  </w:style>
  <w:style w:type="paragraph" w:styleId="Ttulododocumento">
    <w:name w:val="Title"/>
    <w:basedOn w:val="Normal"/>
    <w:qFormat/>
    <w:pPr>
      <w:keepNext w:val="true"/>
      <w:spacing w:before="240" w:after="120"/>
    </w:pPr>
    <w:rPr>
      <w:rFonts w:ascii="Liberation Sans" w:hAnsi="Liberation Sans"/>
      <w:sz w:val="28"/>
      <w:szCs w:val="28"/>
    </w:rPr>
  </w:style>
  <w:style w:type="paragraph" w:styleId="Caption">
    <w:name w:val="caption"/>
    <w:basedOn w:val="Normal"/>
    <w:qFormat/>
    <w:pPr>
      <w:suppressLineNumbers/>
      <w:spacing w:before="120" w:after="120"/>
    </w:pPr>
    <w:rPr>
      <w:i/>
      <w:iCs/>
    </w:rPr>
  </w:style>
  <w:style w:type="paragraph" w:styleId="Contedodatabela" w:customStyle="1">
    <w:name w:val="Conteúdo da tabela"/>
    <w:basedOn w:val="Normal"/>
    <w:qFormat/>
    <w:pPr>
      <w:suppressLineNumbers/>
    </w:pPr>
    <w:rPr/>
  </w:style>
  <w:style w:type="paragraph" w:styleId="Cabealho">
    <w:name w:val="Header"/>
    <w:basedOn w:val="Normal"/>
    <w:link w:val="CabealhoChar"/>
    <w:uiPriority w:val="99"/>
    <w:unhideWhenUsed/>
    <w:rsid w:val="00ad674c"/>
    <w:pPr>
      <w:tabs>
        <w:tab w:val="center" w:pos="4252" w:leader="none"/>
        <w:tab w:val="right" w:pos="8504" w:leader="none"/>
      </w:tabs>
    </w:pPr>
    <w:rPr>
      <w:rFonts w:cs="Mangal"/>
      <w:szCs w:val="21"/>
    </w:rPr>
  </w:style>
  <w:style w:type="paragraph" w:styleId="Rodap">
    <w:name w:val="Footer"/>
    <w:basedOn w:val="Normal"/>
    <w:link w:val="RodapChar"/>
    <w:uiPriority w:val="99"/>
    <w:unhideWhenUsed/>
    <w:rsid w:val="00ad674c"/>
    <w:pPr>
      <w:tabs>
        <w:tab w:val="center" w:pos="4252" w:leader="none"/>
        <w:tab w:val="right" w:pos="8504" w:leader="none"/>
      </w:tabs>
    </w:pPr>
    <w:rPr>
      <w:rFonts w:cs="Mangal"/>
      <w:szCs w:val="21"/>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tif"/><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Application>LibreOffice/6.0.7.3$Linux_X86_64 LibreOffice_project/00m0$Build-3</Application>
  <Pages>2</Pages>
  <Words>214</Words>
  <Characters>1074</Characters>
  <CharactersWithSpaces>1271</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2021-07-13T14:54:00Z</dcterms:created>
  <dc:creator/>
  <dc:description/>
  <dc:language>pt-BR</dc:language>
  <cp:lastModifiedBy/>
  <dcterms:modified xsi:type="dcterms:W3CDTF">2021-08-03T10:37:05Z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