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5BE" w:rsidRDefault="00CD75BE" w:rsidP="00CD75BE">
      <w:pPr>
        <w:rPr>
          <w:b/>
        </w:rPr>
      </w:pPr>
      <w:r>
        <w:rPr>
          <w:b/>
        </w:rPr>
        <w:t>SUPPLEMENTARY FIGURES</w:t>
      </w:r>
    </w:p>
    <w:p w:rsidR="00CD75BE" w:rsidRDefault="00CD75BE" w:rsidP="00CD75BE">
      <w:pPr>
        <w:rPr>
          <w:b/>
        </w:rPr>
      </w:pPr>
      <w:r>
        <w:rPr>
          <w:b/>
          <w:noProof/>
          <w:lang w:val="en-IN" w:eastAsia="en-IN"/>
        </w:rPr>
        <w:drawing>
          <wp:inline distT="0" distB="0" distL="0" distR="0">
            <wp:extent cx="4963160" cy="6982460"/>
            <wp:effectExtent l="0" t="0" r="889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63160" cy="6982460"/>
                    </a:xfrm>
                    <a:prstGeom prst="rect">
                      <a:avLst/>
                    </a:prstGeom>
                    <a:noFill/>
                    <a:ln>
                      <a:noFill/>
                    </a:ln>
                  </pic:spPr>
                </pic:pic>
              </a:graphicData>
            </a:graphic>
          </wp:inline>
        </w:drawing>
      </w:r>
    </w:p>
    <w:p w:rsidR="00CD75BE" w:rsidRDefault="00CD75BE" w:rsidP="00CD75BE">
      <w:r>
        <w:rPr>
          <w:b/>
        </w:rPr>
        <w:t xml:space="preserve">Figure S1. </w:t>
      </w:r>
      <w:r>
        <w:t xml:space="preserve">Stability of heterotroph community composition in three cultures sampled one year apart. (A) The </w:t>
      </w:r>
      <w:r>
        <w:rPr>
          <w:i/>
        </w:rPr>
        <w:t>Prochlorococcus</w:t>
      </w:r>
      <w:r>
        <w:t xml:space="preserve">-normalized relative abundance (indicated by the color bar) of each of the heterotroph ASVs is shown in the </w:t>
      </w:r>
      <w:proofErr w:type="spellStart"/>
      <w:r>
        <w:t>heatmap</w:t>
      </w:r>
      <w:proofErr w:type="spellEnd"/>
      <w:r>
        <w:t xml:space="preserve"> for each of three cyanobacterial enrichment cultures (</w:t>
      </w:r>
      <w:r>
        <w:rPr>
          <w:i/>
        </w:rPr>
        <w:t>Prochlorococcus</w:t>
      </w:r>
      <w:r>
        <w:t xml:space="preserve"> strains MED4, MIT9313, and NATL2A) sampled once in 2018 and again in 2019 for amplicon sequencing. The phylogenetic tree on the left is based on the heterotroph ASV sequences. (B) The Spearman correlation (comparing the correspondence in rank) of relative abundance of heterotroph ASVs is indicated by the color bar. </w:t>
      </w:r>
      <w:r>
        <w:br w:type="page"/>
      </w:r>
    </w:p>
    <w:p w:rsidR="00CD75BE" w:rsidRDefault="00CD75BE" w:rsidP="00CD75BE">
      <w:r>
        <w:rPr>
          <w:noProof/>
          <w:lang w:val="en-IN" w:eastAsia="en-IN"/>
        </w:rPr>
        <w:lastRenderedPageBreak/>
        <w:drawing>
          <wp:inline distT="0" distB="0" distL="0" distR="0">
            <wp:extent cx="5946140" cy="58191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6140" cy="5819140"/>
                    </a:xfrm>
                    <a:prstGeom prst="rect">
                      <a:avLst/>
                    </a:prstGeom>
                    <a:noFill/>
                    <a:ln>
                      <a:noFill/>
                    </a:ln>
                  </pic:spPr>
                </pic:pic>
              </a:graphicData>
            </a:graphic>
          </wp:inline>
        </w:drawing>
      </w:r>
    </w:p>
    <w:p w:rsidR="00CD75BE" w:rsidRDefault="00CD75BE" w:rsidP="00CD75BE">
      <w:r>
        <w:rPr>
          <w:b/>
        </w:rPr>
        <w:t xml:space="preserve">Figure S2. </w:t>
      </w:r>
      <w:proofErr w:type="gramStart"/>
      <w:r>
        <w:t xml:space="preserve">Composition of heterotroph communities, as defined by class membership of ASVs, in long-term cultures of </w:t>
      </w:r>
      <w:r>
        <w:rPr>
          <w:i/>
          <w:iCs/>
        </w:rPr>
        <w:t xml:space="preserve">Prochlorococcus </w:t>
      </w:r>
      <w:r>
        <w:t xml:space="preserve">(green) and </w:t>
      </w:r>
      <w:proofErr w:type="spellStart"/>
      <w:r>
        <w:rPr>
          <w:i/>
          <w:iCs/>
        </w:rPr>
        <w:t>Synechococcus</w:t>
      </w:r>
      <w:proofErr w:type="spellEnd"/>
      <w:r>
        <w:rPr>
          <w:i/>
          <w:iCs/>
        </w:rPr>
        <w:t xml:space="preserve"> </w:t>
      </w:r>
      <w:r>
        <w:t>(magenta) hosts.</w:t>
      </w:r>
      <w:proofErr w:type="gramEnd"/>
      <w:r>
        <w:t xml:space="preserve"> This is the same data as depicted in Fig. 2, but here the heterotroph communities in each culture are arranged using Ward’s method of hierarchical clustering with unweighted </w:t>
      </w:r>
      <w:proofErr w:type="spellStart"/>
      <w:r>
        <w:t>UniFrac</w:t>
      </w:r>
      <w:proofErr w:type="spellEnd"/>
      <w:r>
        <w:t xml:space="preserve"> on ASVs as the distance metric to emphasize the relationships between communities. Relative abundance of heterotrophic community members, by class, is shown to the right of each strain name. </w:t>
      </w:r>
    </w:p>
    <w:p w:rsidR="00CD75BE" w:rsidRDefault="00CD75BE" w:rsidP="00CD75BE">
      <w:r>
        <w:br w:type="page"/>
      </w:r>
    </w:p>
    <w:p w:rsidR="00CD75BE" w:rsidRDefault="00CD75BE" w:rsidP="00CD75BE"/>
    <w:p w:rsidR="00CD75BE" w:rsidRDefault="00CD75BE" w:rsidP="00CD75BE"/>
    <w:p w:rsidR="00CD75BE" w:rsidRDefault="00CD75BE" w:rsidP="00CD75BE">
      <w:pPr>
        <w:rPr>
          <w:b/>
        </w:rPr>
      </w:pPr>
    </w:p>
    <w:p w:rsidR="00CD75BE" w:rsidRDefault="00CD75BE" w:rsidP="00CD75BE">
      <w:pPr>
        <w:rPr>
          <w:b/>
        </w:rPr>
      </w:pPr>
      <w:r>
        <w:rPr>
          <w:b/>
          <w:noProof/>
          <w:lang w:val="en-IN" w:eastAsia="en-IN"/>
        </w:rPr>
        <w:drawing>
          <wp:inline distT="0" distB="0" distL="0" distR="0">
            <wp:extent cx="5946140" cy="49999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6140" cy="4999990"/>
                    </a:xfrm>
                    <a:prstGeom prst="rect">
                      <a:avLst/>
                    </a:prstGeom>
                    <a:noFill/>
                    <a:ln>
                      <a:noFill/>
                    </a:ln>
                  </pic:spPr>
                </pic:pic>
              </a:graphicData>
            </a:graphic>
          </wp:inline>
        </w:drawing>
      </w:r>
    </w:p>
    <w:p w:rsidR="00CD75BE" w:rsidRDefault="00CD75BE" w:rsidP="00CD75BE">
      <w:r>
        <w:rPr>
          <w:b/>
        </w:rPr>
        <w:t xml:space="preserve">Figure S3. </w:t>
      </w:r>
      <w:r>
        <w:t xml:space="preserve">Mapping of cultures onto ordination plots labeled to indicate the position of each cyanobacterial host’s community at the ASV level in the ordination plots from Figure 4 and Figure S4. </w:t>
      </w:r>
      <w:proofErr w:type="gramStart"/>
      <w:r>
        <w:t xml:space="preserve">Non-metric multidimensional scaling (NMDS) of heterotroph communities using unweighted </w:t>
      </w:r>
      <w:proofErr w:type="spellStart"/>
      <w:r>
        <w:t>UniFrac</w:t>
      </w:r>
      <w:proofErr w:type="spellEnd"/>
      <w:r>
        <w:t xml:space="preserve"> as the distance metric.</w:t>
      </w:r>
      <w:proofErr w:type="gramEnd"/>
      <w:r>
        <w:t xml:space="preserve"> Each point in the NMDS plot represents a single heterotroph community associated with the given cyanobacterial host indicated in the name. The closeness of two points in NMDS space reflects the distance between communities, with communities having more similar phylogenetic structure (as measured by unweighted </w:t>
      </w:r>
      <w:proofErr w:type="spellStart"/>
      <w:r>
        <w:t>UniFrac</w:t>
      </w:r>
      <w:proofErr w:type="spellEnd"/>
      <w:r>
        <w:t>) grouping more closely together.</w:t>
      </w:r>
    </w:p>
    <w:p w:rsidR="00CD75BE" w:rsidRDefault="00CD75BE" w:rsidP="00CD75BE">
      <w:pPr>
        <w:rPr>
          <w:b/>
        </w:rPr>
      </w:pPr>
      <w:r>
        <w:rPr>
          <w:b/>
        </w:rPr>
        <w:br w:type="page"/>
      </w:r>
    </w:p>
    <w:p w:rsidR="00CD75BE" w:rsidRDefault="00CD75BE" w:rsidP="00CD75BE"/>
    <w:p w:rsidR="00CD75BE" w:rsidRDefault="00CD75BE" w:rsidP="00CD75BE">
      <w:pPr>
        <w:rPr>
          <w:b/>
        </w:rPr>
      </w:pPr>
      <w:r>
        <w:rPr>
          <w:b/>
          <w:noProof/>
          <w:lang w:val="en-IN" w:eastAsia="en-IN"/>
        </w:rPr>
        <w:drawing>
          <wp:inline distT="0" distB="0" distL="0" distR="0">
            <wp:extent cx="5946140" cy="398018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6140" cy="3980180"/>
                    </a:xfrm>
                    <a:prstGeom prst="rect">
                      <a:avLst/>
                    </a:prstGeom>
                    <a:noFill/>
                    <a:ln>
                      <a:noFill/>
                    </a:ln>
                  </pic:spPr>
                </pic:pic>
              </a:graphicData>
            </a:graphic>
          </wp:inline>
        </w:drawing>
      </w:r>
    </w:p>
    <w:p w:rsidR="00CD75BE" w:rsidRDefault="00CD75BE" w:rsidP="00CD75BE">
      <w:r>
        <w:rPr>
          <w:b/>
        </w:rPr>
        <w:t>Figure S4.</w:t>
      </w:r>
      <w:r>
        <w:t xml:space="preserve"> Ordination of heterotroph community composition at the ASV level overlaid with enrichment culture metadata. Non-metric multidimensional scaling (NMDS) of heterotroph communities using unweighted </w:t>
      </w:r>
      <w:proofErr w:type="spellStart"/>
      <w:r>
        <w:t>UniFrac</w:t>
      </w:r>
      <w:proofErr w:type="spellEnd"/>
      <w:r>
        <w:t xml:space="preserve"> as the distance metric overlaid with (A) cyanobacterial ecotype, (B) isolation location, (C) cyanobacterial clade, and (D) culture age. The closeness of two points in NMDS space reflects the distance between communities, with communities having more similar phylogenetic structure (as measured by unweighted </w:t>
      </w:r>
      <w:proofErr w:type="spellStart"/>
      <w:r>
        <w:t>UniFrac</w:t>
      </w:r>
      <w:proofErr w:type="spellEnd"/>
      <w:r>
        <w:t xml:space="preserve">) grouping more closely together. Heterotroph </w:t>
      </w:r>
      <w:proofErr w:type="gramStart"/>
      <w:r>
        <w:t>communities for which metadata was</w:t>
      </w:r>
      <w:proofErr w:type="gramEnd"/>
      <w:r>
        <w:t xml:space="preserve"> not known are indicated as NAs. See also Figure 4, and Figures S3 and S7.</w:t>
      </w:r>
    </w:p>
    <w:p w:rsidR="00CD75BE" w:rsidRDefault="00CD75BE" w:rsidP="00CD75BE">
      <w:r>
        <w:br w:type="page"/>
      </w:r>
    </w:p>
    <w:p w:rsidR="00CD75BE" w:rsidRDefault="00CD75BE" w:rsidP="00CD75BE"/>
    <w:p w:rsidR="00CD75BE" w:rsidRDefault="00CD75BE" w:rsidP="00CD75BE"/>
    <w:p w:rsidR="00CD75BE" w:rsidRDefault="00CD75BE" w:rsidP="00CD75BE">
      <w:pPr>
        <w:rPr>
          <w:b/>
        </w:rPr>
      </w:pPr>
      <w:r>
        <w:rPr>
          <w:b/>
          <w:noProof/>
          <w:lang w:val="en-IN" w:eastAsia="en-IN"/>
        </w:rPr>
        <w:drawing>
          <wp:inline distT="0" distB="0" distL="0" distR="0">
            <wp:extent cx="5724525" cy="2811780"/>
            <wp:effectExtent l="0" t="0" r="9525"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4525" cy="2811780"/>
                    </a:xfrm>
                    <a:prstGeom prst="rect">
                      <a:avLst/>
                    </a:prstGeom>
                    <a:noFill/>
                    <a:ln>
                      <a:noFill/>
                    </a:ln>
                  </pic:spPr>
                </pic:pic>
              </a:graphicData>
            </a:graphic>
          </wp:inline>
        </w:drawing>
      </w:r>
    </w:p>
    <w:p w:rsidR="00CD75BE" w:rsidRDefault="00CD75BE" w:rsidP="00CD75BE">
      <w:pPr>
        <w:rPr>
          <w:b/>
        </w:rPr>
      </w:pPr>
    </w:p>
    <w:p w:rsidR="00CD75BE" w:rsidRDefault="00CD75BE" w:rsidP="00CD75BE">
      <w:pPr>
        <w:rPr>
          <w:b/>
        </w:rPr>
      </w:pPr>
      <w:r>
        <w:rPr>
          <w:b/>
        </w:rPr>
        <w:t xml:space="preserve">Figure S5. </w:t>
      </w:r>
      <w:r>
        <w:t xml:space="preserve">Venn diagram showing the number of OTUs shared in heterotroph communities from diatoms </w:t>
      </w:r>
      <w:r>
        <w:fldChar w:fldCharType="begin"/>
      </w:r>
      <w:r>
        <w:instrText xml:space="preserve"> ADDIN ZOTERO_ITEM CSL_CITATION {"citationID":"uXrPNg2w","properties":{"formattedCitation":"(Behringer et al., 2018)","plainCitation":"(Behringer et al., 2018)","noteIndex":0},"citationItems":[{"id":102,"uris":["http://zotero.org/users/local/8YE4sIE7/items/5E968M2N"],"uri":["http://zotero.org/users/local/8YE4sIE7/items/5E968M2N"],"itemData":{"id":102,"type":"article-journal","abstract":"Interactions between phytoplankton and bacteria play important roles in shaping the microenvironment surrounding these organisms and in turn influence global biogeochemical cycles. This microenvironment, known as the phycosphere, is presumed to shape the bacterial diversity around phytoplankton and thus stimulate a diverse array of interactions between both groups. Although many studies have attempted to characterize bacterial communities that associate and interact with phytoplankton, bias in bacterial cultivation and consistency and persistence of bacterial communities across phytoplankton isolates likely impede the understanding of these microbial associations. Here, we isolate four strains of the diatom Asterionellopsis glacialis and three strains of the diatom Nitzschia longissima and show through metabarcoding of the bacterial 16S rDNA gene that though each species possesses a unique bacterial community, the bacterial composition across strains from the same species are highly conserved at the genus level. Cultivation of all seven strains in the laboratory for longer than 1 year resulted in only small changes to the bacterial composition, suggesting that despite strong pressures from laboratory culturing conditions associations between these diatoms and their bacterial communities are robust. Specific operational taxonomic units (OTUs) belonging to the Roseobacter-clade appear to be conserved across all strains and time, suggesting their importance to diatoms. In addition, we isolate a range of cultivable bacteria from one of these cultures, A. glacialis strain A3, including several strains of Shimia marina and Nautella sp. that appear closely related to OTUs conserved across all strains and times. Coculturing of A3 with some of its cultivable bacteria as well as other diatom-associated bacteria shows a wide range of responses that include enhancing diatom growth. Cumulatively, these findings suggest that phytoplankton possess unique microbiomes that are consistent across strains and temporal scales.","archive":"PubMed","archive_location":"29681892","container-title":"Frontiers in microbiology","DOI":"10.3389/fmicb.2018.00659","ISSN":"1664-302X","journalAbbreviation":"Front Microbiol","language":"eng","page":"659-659","title":"Bacterial Communities of Diatoms Display Strong Conservation Across Strains and Time","volume":"9","author":[{"family":"Behringer","given":"Gregory"},{"family":"Ochsenkühn","given":"Michael A"},{"family":"Fei","given":"Cong"},{"family":"Fanning","given":"Jhamal"},{"family":"Koester","given":"Julie A"},{"family":"Amin","given":"Shady A"}],"issued":{"date-parts":[["2018",4,6]]}}}],"schema":"https://github.com/citation-style-language/schema/raw/master/csl-citation.json"} </w:instrText>
      </w:r>
      <w:r>
        <w:fldChar w:fldCharType="separate"/>
      </w:r>
      <w:r>
        <w:rPr>
          <w:noProof/>
        </w:rPr>
        <w:t>(Behringer et al., 2018)</w:t>
      </w:r>
      <w:r>
        <w:fldChar w:fldCharType="end"/>
      </w:r>
      <w:r>
        <w:t xml:space="preserve"> and </w:t>
      </w:r>
      <w:proofErr w:type="spellStart"/>
      <w:r>
        <w:rPr>
          <w:i/>
        </w:rPr>
        <w:t>Synechococcus</w:t>
      </w:r>
      <w:proofErr w:type="spellEnd"/>
      <w:r>
        <w:rPr>
          <w:i/>
        </w:rPr>
        <w:t xml:space="preserve"> </w:t>
      </w:r>
      <w:r>
        <w:fldChar w:fldCharType="begin"/>
      </w:r>
      <w:r>
        <w:instrText xml:space="preserve"> ADDIN ZOTERO_ITEM CSL_CITATION {"citationID":"YyHBUmR3","properties":{"formattedCitation":"(Zheng et al., 2018)","plainCitation":"(Zheng et al., 2018)","noteIndex":0},"citationItems":[{"id":89,"uris":["http://zotero.org/users/local/8YE4sIE7/items/IGGFJ2DW"],"uri":["http://zotero.org/users/local/8YE4sIE7/items/IGGFJ2DW"],"itemData":{"id":89,"type":"article-journal","abstract":"Interactions between photoautotrophic and heterotrophic microorganisms are central to the marine microbial ecosystem. Lab cultures of one of the dominant marine photoautotrophs, Synechococcus, have historically been difficult to render axenic, presumably because these bacteria depend upon other organisms to grow under these conditions. These tight associations between Synechococcus and heterotrophic bacteria represent a good relevant system to study interspecies interactions. Ten individual Synechococcus strains, isolated from eutrophic and oligotrophic waters, were chosen for investigation. Four to six dominant associated heterotrophic bacteria were detected in the liquid cultures of each Synechococcus isolate, comprising members of the Cytophaga-Flavobacteria-Bacteroides (CFB) group (mainly from Flavobacteriales and Cytophagales), Alphaproteobacteria (mainly from the Roseobacter clade), Gammaproteobacteria (mainly from the Alteromonadales and Pseudomonadales), and Actinobacteria. The presence of the CFB group, Gammaproteobacteria, and Actinobacteria showed clear geographic patterns related to the isolation environments of the Synechococcus bacteria. An investigation of the population dynamics within a growing culture (XM-24) of one of the isolates, including an evaluation of the proportions of cells that were free-living versus aggregated/attached, revealed interesting patterns for different bacterial groups. In Synechococcus sp. strain XM-24 culture, flavobacteria, which was the most abundant group throughout the culture period, tended to be aggregated or attached to the Synechococcus cells, whereas the actinobacteria demonstrated a free-living lifestyle, and roseobacters displayed different patterns depending on the culture growth phase. Factors contributing to these succession patterns for the heterotrophs likely include interactions among the culture community members, their relative abilities to utilize different compounds produced by Synechococcus cells and changes in the compounds released as culture growth proceeds, and their responses to other changes in the environmental conditions throughout the culture period.IMPORTANCE Marine microbes exist within an interactive ecological network, and studying their interactions is an important part of understanding their roles in global biogeochemical cycling and the determinants of microbial diversity. In this study, the dynamic relationships between Synechococcus spp. and their associated heterotrophic bacteria were investigated. Synechococcus-associated heterotrophic bacteria had similar geographic distribution patterns as their “host” and displayed different lifestyles (free-living versus attached/aggregated) according to the Synechococcus culture growth phases. Combined organic carbon composition and bacterial lifestyle data indicated a potential for succession in carbon utilization patterns by the dominant associated heterotrophic bacteria. Comprehending the interactions between photoautotrophs and heterotrophs and the patterns of organic carbon excretion and utilization is critical to understanding their roles in oceanic biogeochemical cycling.","container-title":"Applied and Environmental Microbiology","DOI":"10.1128/AEM.01517-17","issue":"3","journalAbbreviation":"Appl. Environ. Microbiol.","page":"e01517-17","title":"Dynamics of Heterotrophic Bacterial Assemblages within &lt;span class=\"named-content genus-species\" id=\"named-content-1\"&gt;Synechococcus&lt;/span&gt; Cultures","volume":"84","author":[{"family":"Zheng","given":"Qiang"},{"family":"Wang","given":"Yu"},{"family":"Xie","given":"Rui"},{"family":"Lang","given":"Andrew S."},{"family":"Liu","given":"Yanting"},{"family":"Lu","given":"Jiayao"},{"family":"Zhang","given":"Xiaodong"},{"family":"Sun","given":"Jun"},{"family":"Suttle","given":"Curtis A."},{"family":"Jiao","given":"Nianzhi"}],"editor":[{"family":"Drake","given":"Harold L."}],"issued":{"date-parts":[["2018",2,1]]}}}],"schema":"https://github.com/citation-style-language/schema/raw/master/csl-citation.json"} </w:instrText>
      </w:r>
      <w:r>
        <w:fldChar w:fldCharType="separate"/>
      </w:r>
      <w:r>
        <w:rPr>
          <w:noProof/>
        </w:rPr>
        <w:t>(Zheng et al., 2018)</w:t>
      </w:r>
      <w:r>
        <w:fldChar w:fldCharType="end"/>
      </w:r>
      <w:r>
        <w:t xml:space="preserve"> compared to the </w:t>
      </w:r>
      <w:r>
        <w:rPr>
          <w:i/>
        </w:rPr>
        <w:t>Prochlorococcus</w:t>
      </w:r>
      <w:r>
        <w:t xml:space="preserve"> and </w:t>
      </w:r>
      <w:proofErr w:type="spellStart"/>
      <w:r>
        <w:rPr>
          <w:i/>
        </w:rPr>
        <w:t>Synechococcus</w:t>
      </w:r>
      <w:proofErr w:type="spellEnd"/>
      <w:r>
        <w:rPr>
          <w:i/>
        </w:rPr>
        <w:t xml:space="preserve"> </w:t>
      </w:r>
      <w:r>
        <w:t>in this study. The area of the ellipses is not to scale with the number of OTUs.</w:t>
      </w:r>
    </w:p>
    <w:p w:rsidR="00CD75BE" w:rsidRDefault="00CD75BE" w:rsidP="00CD75BE">
      <w:r>
        <w:br w:type="page"/>
      </w:r>
    </w:p>
    <w:p w:rsidR="00CD75BE" w:rsidRDefault="00CD75BE" w:rsidP="00CD75BE">
      <w:pPr>
        <w:rPr>
          <w:b/>
        </w:rPr>
      </w:pPr>
      <w:r>
        <w:rPr>
          <w:b/>
          <w:noProof/>
          <w:lang w:val="en-IN" w:eastAsia="en-IN"/>
        </w:rPr>
        <w:lastRenderedPageBreak/>
        <w:drawing>
          <wp:inline distT="0" distB="0" distL="0" distR="0">
            <wp:extent cx="4439920" cy="65220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39920" cy="6522085"/>
                    </a:xfrm>
                    <a:prstGeom prst="rect">
                      <a:avLst/>
                    </a:prstGeom>
                    <a:noFill/>
                    <a:ln>
                      <a:noFill/>
                    </a:ln>
                  </pic:spPr>
                </pic:pic>
              </a:graphicData>
            </a:graphic>
          </wp:inline>
        </w:drawing>
      </w:r>
    </w:p>
    <w:p w:rsidR="00CD75BE" w:rsidRDefault="00CD75BE" w:rsidP="00CD75BE">
      <w:r>
        <w:rPr>
          <w:b/>
        </w:rPr>
        <w:t xml:space="preserve">Figure S6 </w:t>
      </w:r>
      <w:r>
        <w:t>Heterotroph communities accompanying diatoms (dark blue) (</w:t>
      </w:r>
      <w:proofErr w:type="spellStart"/>
      <w:r>
        <w:t>Behringer</w:t>
      </w:r>
      <w:proofErr w:type="spellEnd"/>
      <w:r>
        <w:t xml:space="preserve"> et al., 2018) and </w:t>
      </w:r>
      <w:proofErr w:type="spellStart"/>
      <w:r>
        <w:rPr>
          <w:i/>
        </w:rPr>
        <w:t>Synechococcus</w:t>
      </w:r>
      <w:proofErr w:type="spellEnd"/>
      <w:r>
        <w:t xml:space="preserve"> (orange) in culture for less than a year (Zheng et al., 2018) compared to this study (green (</w:t>
      </w:r>
      <w:r>
        <w:rPr>
          <w:i/>
        </w:rPr>
        <w:t>Prochlorococcus</w:t>
      </w:r>
      <w:r>
        <w:t>) and magenta (</w:t>
      </w:r>
      <w:proofErr w:type="spellStart"/>
      <w:r>
        <w:rPr>
          <w:i/>
        </w:rPr>
        <w:t>Synechococcus</w:t>
      </w:r>
      <w:proofErr w:type="spellEnd"/>
      <w:r>
        <w:t xml:space="preserve">)) with cultures over 5 years old. Bacterial classes are indicated by the colors in the legend, and relative abundance of each class in the heterotroph community of the corresponding culture is shown. Heterotroph communities in each cyanobacterial culture (vertical axis) are organized by the hierarchical clustering tree on the left using Ward’s method of hierarchical clustering with unweighted </w:t>
      </w:r>
      <w:proofErr w:type="spellStart"/>
      <w:r>
        <w:t>UniFrac</w:t>
      </w:r>
      <w:proofErr w:type="spellEnd"/>
      <w:r>
        <w:t xml:space="preserve"> as the distance metric on 97% OTUs. See also Figure 2 and Figure S2.</w:t>
      </w:r>
    </w:p>
    <w:p w:rsidR="00CD75BE" w:rsidRDefault="00CD75BE" w:rsidP="00CD75BE">
      <w:r>
        <w:br w:type="page"/>
      </w:r>
    </w:p>
    <w:p w:rsidR="00CD75BE" w:rsidRDefault="00CD75BE" w:rsidP="00CD75BE"/>
    <w:p w:rsidR="00CD75BE" w:rsidRDefault="00CD75BE" w:rsidP="00CD75BE">
      <w:pPr>
        <w:rPr>
          <w:b/>
        </w:rPr>
      </w:pPr>
      <w:r>
        <w:rPr>
          <w:b/>
          <w:noProof/>
          <w:lang w:val="en-IN" w:eastAsia="en-IN"/>
        </w:rPr>
        <w:drawing>
          <wp:inline distT="0" distB="0" distL="0" distR="0">
            <wp:extent cx="5142865" cy="47625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42865" cy="4762500"/>
                    </a:xfrm>
                    <a:prstGeom prst="rect">
                      <a:avLst/>
                    </a:prstGeom>
                    <a:noFill/>
                    <a:ln>
                      <a:noFill/>
                    </a:ln>
                  </pic:spPr>
                </pic:pic>
              </a:graphicData>
            </a:graphic>
          </wp:inline>
        </w:drawing>
      </w:r>
    </w:p>
    <w:p w:rsidR="00CD75BE" w:rsidRDefault="00CD75BE" w:rsidP="00CD75BE">
      <w:pPr>
        <w:rPr>
          <w:rFonts w:eastAsia="Times New Roman"/>
          <w:color w:val="000000"/>
          <w:bdr w:val="none" w:sz="0" w:space="0" w:color="auto" w:frame="1"/>
          <w:shd w:val="clear" w:color="auto" w:fill="FFFFFF"/>
        </w:rPr>
      </w:pPr>
      <w:r>
        <w:rPr>
          <w:b/>
        </w:rPr>
        <w:t xml:space="preserve">Figure S7 </w:t>
      </w:r>
      <w:r>
        <w:t xml:space="preserve">Associations between metadata pertaining to isolation or host phylogeny of enrichment cultures. The pairwise </w:t>
      </w:r>
      <w:proofErr w:type="gramStart"/>
      <w:r>
        <w:t>association between each variable indicated on the vertical and horizontal axes were</w:t>
      </w:r>
      <w:proofErr w:type="gramEnd"/>
      <w:r>
        <w:t xml:space="preserve"> calculated using an asymmetric measure of association, Goodman and </w:t>
      </w:r>
      <w:proofErr w:type="spellStart"/>
      <w:r>
        <w:t>Kruskal’s</w:t>
      </w:r>
      <w:proofErr w:type="spellEnd"/>
      <w:r>
        <w:t xml:space="preserve"> </w:t>
      </w:r>
      <w:r>
        <w:rPr>
          <w:rFonts w:eastAsia="Times New Roman"/>
          <w:color w:val="000000"/>
          <w:bdr w:val="none" w:sz="0" w:space="0" w:color="auto" w:frame="1"/>
          <w:shd w:val="clear" w:color="auto" w:fill="FFFFFF"/>
        </w:rPr>
        <w:t xml:space="preserve">τ, ranging from 0 to 1. A τ of 1 indicates that there is a perfect correspondence between the levels in one variable and the record index. For instance, the clade has a τ of 1 with ecotype because clades are perfectly nested within ecotypes (that is, identification of the clade is sufficient to identify the ecotype). Because of the asymmetry in the metric, </w:t>
      </w:r>
      <w:r>
        <w:t xml:space="preserve">ecotype has a </w:t>
      </w:r>
      <w:r>
        <w:rPr>
          <w:rFonts w:eastAsia="Times New Roman"/>
          <w:color w:val="000000"/>
          <w:bdr w:val="none" w:sz="0" w:space="0" w:color="auto" w:frame="1"/>
          <w:shd w:val="clear" w:color="auto" w:fill="FFFFFF"/>
        </w:rPr>
        <w:t xml:space="preserve">τ less than 1, but greater than 0 with the clade; ecotype only constrains identification of clades, but does not perfectly determine them. </w:t>
      </w:r>
    </w:p>
    <w:p w:rsidR="00CD75BE" w:rsidRDefault="00CD75BE" w:rsidP="00CD75BE">
      <w:r>
        <w:rPr>
          <w:rFonts w:eastAsia="Times New Roman"/>
          <w:color w:val="000000"/>
          <w:bdr w:val="none" w:sz="0" w:space="0" w:color="auto" w:frame="1"/>
          <w:shd w:val="clear" w:color="auto" w:fill="FFFFFF"/>
        </w:rPr>
        <w:t>See also Figures 4, S3, and S4.</w:t>
      </w:r>
    </w:p>
    <w:p w:rsidR="00CD75BE" w:rsidRDefault="00CD75BE" w:rsidP="00CD75BE"/>
    <w:p w:rsidR="00CD75BE" w:rsidRDefault="00CD75BE" w:rsidP="00CD75BE">
      <w:r>
        <w:rPr>
          <w:b/>
        </w:rPr>
        <w:br w:type="page"/>
      </w:r>
    </w:p>
    <w:p w:rsidR="00CD75BE" w:rsidRDefault="00CD75BE" w:rsidP="00CD75BE">
      <w:pPr>
        <w:rPr>
          <w:b/>
        </w:rPr>
      </w:pPr>
    </w:p>
    <w:p w:rsidR="00CD75BE" w:rsidRDefault="00CD75BE" w:rsidP="00CD75BE">
      <w:pPr>
        <w:rPr>
          <w:b/>
        </w:rPr>
      </w:pPr>
      <w:r>
        <w:rPr>
          <w:b/>
          <w:noProof/>
          <w:lang w:val="en-IN" w:eastAsia="en-IN"/>
        </w:rPr>
        <w:drawing>
          <wp:inline distT="0" distB="0" distL="0" distR="0">
            <wp:extent cx="5946140" cy="3752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6140" cy="3752850"/>
                    </a:xfrm>
                    <a:prstGeom prst="rect">
                      <a:avLst/>
                    </a:prstGeom>
                    <a:noFill/>
                    <a:ln>
                      <a:noFill/>
                    </a:ln>
                  </pic:spPr>
                </pic:pic>
              </a:graphicData>
            </a:graphic>
          </wp:inline>
        </w:drawing>
      </w:r>
    </w:p>
    <w:p w:rsidR="002D0263" w:rsidRDefault="00CD75BE" w:rsidP="00CD75BE">
      <w:r>
        <w:rPr>
          <w:b/>
        </w:rPr>
        <w:t xml:space="preserve">Figure S8. </w:t>
      </w:r>
      <w:r>
        <w:t xml:space="preserve">(A) Top two most abundant OTUs in </w:t>
      </w:r>
      <w:proofErr w:type="spellStart"/>
      <w:r>
        <w:t>bioGEOTRACES</w:t>
      </w:r>
      <w:proofErr w:type="spellEnd"/>
      <w:r>
        <w:t xml:space="preserve">; these OTUs are not present in cyanobacterial cultures. (B) Top two most abundant OTUs (distinct unclassified OTUs in the family </w:t>
      </w:r>
      <w:proofErr w:type="spellStart"/>
      <w:r>
        <w:t>Rhodoobacteraceae</w:t>
      </w:r>
      <w:proofErr w:type="spellEnd"/>
      <w:r>
        <w:t xml:space="preserve">) in </w:t>
      </w:r>
      <w:proofErr w:type="spellStart"/>
      <w:r>
        <w:t>bioGEOTRACES</w:t>
      </w:r>
      <w:proofErr w:type="spellEnd"/>
      <w:r>
        <w:t xml:space="preserve"> that are also present in the cyanobacterial cultures. Scale bar indicates the log10 relative abundance (number of reads normalized by number of </w:t>
      </w:r>
      <w:r>
        <w:rPr>
          <w:color w:val="1D1C1D"/>
          <w:highlight w:val="white"/>
        </w:rPr>
        <w:t>non</w:t>
      </w:r>
      <w:r>
        <w:rPr>
          <w:i/>
          <w:color w:val="1D1C1D"/>
          <w:highlight w:val="white"/>
        </w:rPr>
        <w:t>-Prochlorococcus,</w:t>
      </w:r>
      <w:r>
        <w:rPr>
          <w:color w:val="1D1C1D"/>
          <w:highlight w:val="white"/>
        </w:rPr>
        <w:t xml:space="preserve"> non-</w:t>
      </w:r>
      <w:proofErr w:type="spellStart"/>
      <w:r>
        <w:rPr>
          <w:i/>
          <w:color w:val="1D1C1D"/>
          <w:highlight w:val="white"/>
        </w:rPr>
        <w:t>Synechococcus</w:t>
      </w:r>
      <w:proofErr w:type="spellEnd"/>
      <w:r>
        <w:rPr>
          <w:color w:val="1D1C1D"/>
          <w:highlight w:val="white"/>
        </w:rPr>
        <w:t xml:space="preserve"> </w:t>
      </w:r>
      <w:r>
        <w:t xml:space="preserve">reads) at a given site. </w:t>
      </w:r>
      <w:proofErr w:type="gramStart"/>
      <w:r>
        <w:t>Related to Figure 5.</w:t>
      </w:r>
      <w:bookmarkStart w:id="0" w:name="_GoBack"/>
      <w:bookmarkEnd w:id="0"/>
      <w:proofErr w:type="gramEnd"/>
    </w:p>
    <w:sectPr w:rsidR="002D02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00007843" w:usb2="00000001"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5BE"/>
    <w:rsid w:val="002D0263"/>
    <w:rsid w:val="00CD75B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5BE"/>
    <w:pPr>
      <w:spacing w:after="0" w:line="240" w:lineRule="auto"/>
    </w:pPr>
    <w:rPr>
      <w:rFonts w:ascii="Times New Roman" w:eastAsiaTheme="minorEastAsia" w:hAnsi="Times New Roman" w:cs="Times New Roman"/>
      <w:sz w:val="24"/>
      <w:szCs w:val="24"/>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75BE"/>
    <w:rPr>
      <w:rFonts w:ascii="Tahoma" w:hAnsi="Tahoma" w:cs="Tahoma"/>
      <w:sz w:val="16"/>
      <w:szCs w:val="16"/>
    </w:rPr>
  </w:style>
  <w:style w:type="character" w:customStyle="1" w:styleId="BalloonTextChar">
    <w:name w:val="Balloon Text Char"/>
    <w:basedOn w:val="DefaultParagraphFont"/>
    <w:link w:val="BalloonText"/>
    <w:uiPriority w:val="99"/>
    <w:semiHidden/>
    <w:rsid w:val="00CD75BE"/>
    <w:rPr>
      <w:rFonts w:ascii="Tahoma" w:eastAsiaTheme="minorEastAsia" w:hAnsi="Tahoma" w:cs="Tahoma"/>
      <w:sz w:val="16"/>
      <w:szCs w:val="16"/>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5BE"/>
    <w:pPr>
      <w:spacing w:after="0" w:line="240" w:lineRule="auto"/>
    </w:pPr>
    <w:rPr>
      <w:rFonts w:ascii="Times New Roman" w:eastAsiaTheme="minorEastAsia" w:hAnsi="Times New Roman" w:cs="Times New Roman"/>
      <w:sz w:val="24"/>
      <w:szCs w:val="24"/>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75BE"/>
    <w:rPr>
      <w:rFonts w:ascii="Tahoma" w:hAnsi="Tahoma" w:cs="Tahoma"/>
      <w:sz w:val="16"/>
      <w:szCs w:val="16"/>
    </w:rPr>
  </w:style>
  <w:style w:type="character" w:customStyle="1" w:styleId="BalloonTextChar">
    <w:name w:val="Balloon Text Char"/>
    <w:basedOn w:val="DefaultParagraphFont"/>
    <w:link w:val="BalloonText"/>
    <w:uiPriority w:val="99"/>
    <w:semiHidden/>
    <w:rsid w:val="00CD75BE"/>
    <w:rPr>
      <w:rFonts w:ascii="Tahoma" w:eastAsiaTheme="minorEastAsia" w:hAnsi="Tahoma" w:cs="Tahoma"/>
      <w:sz w:val="16"/>
      <w:szCs w:val="1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3314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1857</Words>
  <Characters>10589</Characters>
  <Application>Microsoft Office Word</Application>
  <DocSecurity>0</DocSecurity>
  <Lines>88</Lines>
  <Paragraphs>24</Paragraphs>
  <ScaleCrop>false</ScaleCrop>
  <Company>Hewlett-Packard Company</Company>
  <LinksUpToDate>false</LinksUpToDate>
  <CharactersWithSpaces>12422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Kamble, Siddharth, Crest</dc:creator>
  <cp:lastModifiedBy>Kamble, Siddharth, Crest</cp:lastModifiedBy>
  <cp:revision>1</cp:revision>
  <dcterms:created xsi:type="dcterms:W3CDTF">2020-09-22T05:39:00Z</dcterms:created>
  <dcterms:modified xsi:type="dcterms:W3CDTF">2020-09-22T05:41:00Z</dcterms:modified>
</cp:coreProperties>
</file>