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52381" w:rsidRDefault="00752381" w:rsidP="008254C8">
      <w:pPr>
        <w:jc w:val="both"/>
        <w:rPr>
          <w:b/>
          <w:lang w:val="en-IE"/>
        </w:rPr>
      </w:pPr>
      <w:r>
        <w:rPr>
          <w:b/>
          <w:noProof/>
          <w:lang w:val="ca-ES"/>
        </w:rPr>
        <w:drawing>
          <wp:inline distT="0" distB="0" distL="0" distR="0">
            <wp:extent cx="5400040" cy="389191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 Figure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4C8" w:rsidRPr="00057BA7" w:rsidRDefault="008254C8" w:rsidP="008254C8">
      <w:pPr>
        <w:jc w:val="both"/>
        <w:rPr>
          <w:lang w:val="en-IE"/>
        </w:rPr>
      </w:pPr>
      <w:r w:rsidRPr="00057BA7">
        <w:rPr>
          <w:b/>
          <w:lang w:val="en-IE"/>
        </w:rPr>
        <w:t xml:space="preserve">Supplementary Figure 1. </w:t>
      </w:r>
      <w:r w:rsidRPr="00057BA7">
        <w:rPr>
          <w:lang w:val="en-IE"/>
        </w:rPr>
        <w:t>PAMs were stimulated for 24 hours with the different supernatant fractions separated by molecular weights. Levels of IFN</w:t>
      </w:r>
      <w:r>
        <w:rPr>
          <w:lang w:val="en-IE"/>
        </w:rPr>
        <w:t>-</w:t>
      </w:r>
      <w:r>
        <w:rPr>
          <w:rFonts w:ascii="Symbol" w:hAnsi="Symbol"/>
          <w:lang w:val="en-IE"/>
        </w:rPr>
        <w:t></w:t>
      </w:r>
      <w:r w:rsidRPr="00057BA7">
        <w:rPr>
          <w:lang w:val="en-IE"/>
        </w:rPr>
        <w:t xml:space="preserve"> (</w:t>
      </w:r>
      <w:r w:rsidRPr="00057BA7">
        <w:rPr>
          <w:b/>
          <w:lang w:val="en-IE"/>
        </w:rPr>
        <w:t>a</w:t>
      </w:r>
      <w:r w:rsidRPr="00057BA7">
        <w:rPr>
          <w:lang w:val="en-IE"/>
        </w:rPr>
        <w:t>), IL</w:t>
      </w:r>
      <w:r>
        <w:rPr>
          <w:lang w:val="en-IE"/>
        </w:rPr>
        <w:t>-</w:t>
      </w:r>
      <w:r w:rsidRPr="00057BA7">
        <w:rPr>
          <w:lang w:val="en-IE"/>
        </w:rPr>
        <w:t>1</w:t>
      </w:r>
      <w:r w:rsidRPr="00A35575">
        <w:rPr>
          <w:rFonts w:ascii="Symbol" w:hAnsi="Symbol"/>
          <w:lang w:val="en-IE"/>
        </w:rPr>
        <w:t></w:t>
      </w:r>
      <w:r w:rsidRPr="00057BA7">
        <w:rPr>
          <w:lang w:val="en-IE"/>
        </w:rPr>
        <w:t xml:space="preserve"> (</w:t>
      </w:r>
      <w:r w:rsidRPr="00057BA7">
        <w:rPr>
          <w:b/>
          <w:lang w:val="en-IE"/>
        </w:rPr>
        <w:t>b</w:t>
      </w:r>
      <w:r w:rsidRPr="00057BA7">
        <w:rPr>
          <w:lang w:val="en-IE"/>
        </w:rPr>
        <w:t>), IL</w:t>
      </w:r>
      <w:r>
        <w:rPr>
          <w:lang w:val="en-IE"/>
        </w:rPr>
        <w:t>-</w:t>
      </w:r>
      <w:r w:rsidRPr="00057BA7">
        <w:rPr>
          <w:lang w:val="en-IE"/>
        </w:rPr>
        <w:t>4 (</w:t>
      </w:r>
      <w:r w:rsidRPr="00057BA7">
        <w:rPr>
          <w:b/>
          <w:lang w:val="en-IE"/>
        </w:rPr>
        <w:t>c</w:t>
      </w:r>
      <w:r w:rsidRPr="00057BA7">
        <w:rPr>
          <w:lang w:val="en-IE"/>
        </w:rPr>
        <w:t>), IL</w:t>
      </w:r>
      <w:r>
        <w:rPr>
          <w:lang w:val="en-IE"/>
        </w:rPr>
        <w:t>-</w:t>
      </w:r>
      <w:r w:rsidRPr="00057BA7">
        <w:rPr>
          <w:lang w:val="en-IE"/>
        </w:rPr>
        <w:t>6 (</w:t>
      </w:r>
      <w:r w:rsidRPr="00057BA7">
        <w:rPr>
          <w:b/>
          <w:lang w:val="en-IE"/>
        </w:rPr>
        <w:t>d</w:t>
      </w:r>
      <w:r w:rsidRPr="00057BA7">
        <w:rPr>
          <w:lang w:val="en-IE"/>
        </w:rPr>
        <w:t>), IL</w:t>
      </w:r>
      <w:r>
        <w:rPr>
          <w:lang w:val="en-IE"/>
        </w:rPr>
        <w:t>-</w:t>
      </w:r>
      <w:r w:rsidRPr="00057BA7">
        <w:rPr>
          <w:lang w:val="en-IE"/>
        </w:rPr>
        <w:t>12 (</w:t>
      </w:r>
      <w:r w:rsidRPr="00057BA7">
        <w:rPr>
          <w:b/>
          <w:lang w:val="en-IE"/>
        </w:rPr>
        <w:t>e</w:t>
      </w:r>
      <w:r w:rsidRPr="00057BA7">
        <w:rPr>
          <w:lang w:val="en-IE"/>
        </w:rPr>
        <w:t>), IL</w:t>
      </w:r>
      <w:r>
        <w:rPr>
          <w:lang w:val="en-IE"/>
        </w:rPr>
        <w:t>-</w:t>
      </w:r>
      <w:r w:rsidRPr="00057BA7">
        <w:rPr>
          <w:lang w:val="en-IE"/>
        </w:rPr>
        <w:t>10 (</w:t>
      </w:r>
      <w:r w:rsidRPr="00057BA7">
        <w:rPr>
          <w:b/>
          <w:lang w:val="en-IE"/>
        </w:rPr>
        <w:t>f</w:t>
      </w:r>
      <w:r w:rsidRPr="00057BA7">
        <w:rPr>
          <w:lang w:val="en-IE"/>
        </w:rPr>
        <w:t>), and TNF (</w:t>
      </w:r>
      <w:r w:rsidRPr="00057BA7">
        <w:rPr>
          <w:b/>
          <w:lang w:val="en-IE"/>
        </w:rPr>
        <w:t>g</w:t>
      </w:r>
      <w:r w:rsidRPr="00057BA7">
        <w:rPr>
          <w:lang w:val="en-IE"/>
        </w:rPr>
        <w:t>) from PAMs supernatant were measured by Luminex-based multiplex assay</w:t>
      </w:r>
      <w:r w:rsidRPr="005A09E1">
        <w:rPr>
          <w:lang w:val="en-IE"/>
        </w:rPr>
        <w:t>. Non-stimulated cells were used as control. Significant differences were determined using a one-way ANOVA (* p-value ≤ 0.05).</w:t>
      </w:r>
    </w:p>
    <w:p w:rsidR="008254C8" w:rsidRDefault="008254C8" w:rsidP="008254C8">
      <w:pPr>
        <w:shd w:val="clear" w:color="auto" w:fill="FFFFFF"/>
        <w:spacing w:line="360" w:lineRule="auto"/>
        <w:jc w:val="both"/>
      </w:pPr>
    </w:p>
    <w:p w:rsidR="00752381" w:rsidRDefault="00752381" w:rsidP="008254C8">
      <w:pPr>
        <w:shd w:val="clear" w:color="auto" w:fill="FFFFFF"/>
        <w:spacing w:line="360" w:lineRule="auto"/>
        <w:jc w:val="both"/>
      </w:pPr>
      <w:r>
        <w:rPr>
          <w:noProof/>
          <w:lang w:val="ca-ES"/>
        </w:rPr>
        <w:lastRenderedPageBreak/>
        <w:drawing>
          <wp:inline distT="0" distB="0" distL="0" distR="0">
            <wp:extent cx="5400040" cy="741870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up Figur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4C8" w:rsidRDefault="008254C8" w:rsidP="008254C8">
      <w:pPr>
        <w:jc w:val="both"/>
        <w:rPr>
          <w:lang w:val="en-IE"/>
        </w:rPr>
      </w:pPr>
      <w:r w:rsidRPr="00057BA7">
        <w:rPr>
          <w:b/>
          <w:lang w:val="en-IE"/>
        </w:rPr>
        <w:t xml:space="preserve">Supplementary Figure 2. </w:t>
      </w:r>
      <w:r w:rsidRPr="00057BA7">
        <w:rPr>
          <w:lang w:val="en-IE"/>
        </w:rPr>
        <w:t>Daily rectal temperature charts (</w:t>
      </w:r>
      <w:r w:rsidRPr="00057BA7">
        <w:rPr>
          <w:b/>
          <w:lang w:val="en-IE"/>
        </w:rPr>
        <w:t>a</w:t>
      </w:r>
      <w:r w:rsidRPr="00057BA7">
        <w:rPr>
          <w:lang w:val="en-IE"/>
        </w:rPr>
        <w:t>) and clinical scores (</w:t>
      </w:r>
      <w:r w:rsidRPr="00057BA7">
        <w:rPr>
          <w:b/>
          <w:lang w:val="en-IE"/>
        </w:rPr>
        <w:t>b</w:t>
      </w:r>
      <w:r w:rsidRPr="00057BA7">
        <w:rPr>
          <w:lang w:val="en-IE"/>
        </w:rPr>
        <w:t>) of individual pigs from day 0 to day 22 post-vaccination (</w:t>
      </w:r>
      <w:proofErr w:type="spellStart"/>
      <w:r w:rsidRPr="00057BA7">
        <w:rPr>
          <w:lang w:val="en-IE"/>
        </w:rPr>
        <w:t>p.v.</w:t>
      </w:r>
      <w:proofErr w:type="spellEnd"/>
      <w:r w:rsidRPr="00057BA7">
        <w:rPr>
          <w:lang w:val="en-IE"/>
        </w:rPr>
        <w:t>). The severity of the clinical signs (score value) is represented by a coloured gradient: green (absence), yellow (mild), and orange/red (severe). (</w:t>
      </w:r>
      <w:r w:rsidRPr="00057BA7">
        <w:rPr>
          <w:b/>
          <w:lang w:val="en-IE"/>
        </w:rPr>
        <w:t>c-d</w:t>
      </w:r>
      <w:r w:rsidRPr="00057BA7">
        <w:rPr>
          <w:lang w:val="en-IE"/>
        </w:rPr>
        <w:t>) Virus loads measured by qPCR in nasal swabs (</w:t>
      </w:r>
      <w:r w:rsidRPr="00057BA7">
        <w:rPr>
          <w:b/>
          <w:lang w:val="en-IE"/>
        </w:rPr>
        <w:t>c</w:t>
      </w:r>
      <w:r w:rsidRPr="00057BA7">
        <w:rPr>
          <w:lang w:val="en-IE"/>
        </w:rPr>
        <w:t>) and serum (</w:t>
      </w:r>
      <w:r w:rsidRPr="00057BA7">
        <w:rPr>
          <w:b/>
          <w:lang w:val="en-IE"/>
        </w:rPr>
        <w:t>d</w:t>
      </w:r>
      <w:r w:rsidRPr="00057BA7">
        <w:rPr>
          <w:lang w:val="en-IE"/>
        </w:rPr>
        <w:t xml:space="preserve">) </w:t>
      </w:r>
      <w:r>
        <w:rPr>
          <w:lang w:val="en-IE"/>
        </w:rPr>
        <w:t xml:space="preserve">at days 0, 7, 15, and 22 </w:t>
      </w:r>
      <w:proofErr w:type="spellStart"/>
      <w:r>
        <w:rPr>
          <w:lang w:val="en-IE"/>
        </w:rPr>
        <w:t>p.v.</w:t>
      </w:r>
      <w:proofErr w:type="spellEnd"/>
      <w:r>
        <w:rPr>
          <w:lang w:val="en-IE"/>
        </w:rPr>
        <w:t xml:space="preserve"> </w:t>
      </w:r>
      <w:r w:rsidRPr="00057BA7">
        <w:rPr>
          <w:lang w:val="en-IE"/>
        </w:rPr>
        <w:t xml:space="preserve">Genomic equivalent copies (GEC) of ASFV were quantified by the detection of the ASFV gene </w:t>
      </w:r>
      <w:r w:rsidRPr="00057BA7">
        <w:rPr>
          <w:i/>
          <w:lang w:val="en-IE"/>
        </w:rPr>
        <w:t>PK</w:t>
      </w:r>
      <w:r w:rsidRPr="00057BA7">
        <w:rPr>
          <w:lang w:val="en-IE"/>
        </w:rPr>
        <w:t>.</w:t>
      </w:r>
    </w:p>
    <w:p w:rsidR="008254C8" w:rsidRDefault="008254C8" w:rsidP="008254C8">
      <w:pPr>
        <w:jc w:val="both"/>
        <w:rPr>
          <w:lang w:val="en-IE"/>
        </w:rPr>
      </w:pPr>
    </w:p>
    <w:p w:rsidR="00752381" w:rsidRDefault="00752381" w:rsidP="008254C8">
      <w:pPr>
        <w:jc w:val="both"/>
        <w:rPr>
          <w:b/>
          <w:lang w:val="en-IE"/>
        </w:rPr>
      </w:pPr>
      <w:r>
        <w:rPr>
          <w:b/>
          <w:noProof/>
          <w:lang w:val="ca-ES"/>
        </w:rPr>
        <w:lastRenderedPageBreak/>
        <w:drawing>
          <wp:inline distT="0" distB="0" distL="0" distR="0">
            <wp:extent cx="5400040" cy="627570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 Figure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27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4C8" w:rsidRDefault="008254C8" w:rsidP="008254C8">
      <w:pPr>
        <w:jc w:val="both"/>
        <w:rPr>
          <w:lang w:val="en-IE"/>
        </w:rPr>
      </w:pPr>
      <w:r w:rsidRPr="00057BA7">
        <w:rPr>
          <w:b/>
          <w:lang w:val="en-IE"/>
        </w:rPr>
        <w:t xml:space="preserve">Supplementary Figure 3. </w:t>
      </w:r>
      <w:r w:rsidRPr="00057BA7">
        <w:rPr>
          <w:lang w:val="en-IE"/>
        </w:rPr>
        <w:t>ASFV-specific IgG (</w:t>
      </w:r>
      <w:r w:rsidRPr="00057BA7">
        <w:rPr>
          <w:b/>
          <w:lang w:val="en-IE"/>
        </w:rPr>
        <w:t>a</w:t>
      </w:r>
      <w:r w:rsidRPr="00057BA7">
        <w:rPr>
          <w:lang w:val="en-IE"/>
        </w:rPr>
        <w:t>), IgG1 (</w:t>
      </w:r>
      <w:r w:rsidRPr="00057BA7">
        <w:rPr>
          <w:b/>
          <w:lang w:val="en-IE"/>
        </w:rPr>
        <w:t>b</w:t>
      </w:r>
      <w:r w:rsidRPr="00057BA7">
        <w:rPr>
          <w:lang w:val="en-IE"/>
        </w:rPr>
        <w:t>), IgG2 (</w:t>
      </w:r>
      <w:r w:rsidRPr="00057BA7">
        <w:rPr>
          <w:b/>
          <w:lang w:val="en-IE"/>
        </w:rPr>
        <w:t>c</w:t>
      </w:r>
      <w:r w:rsidRPr="00057BA7">
        <w:rPr>
          <w:lang w:val="en-IE"/>
        </w:rPr>
        <w:t>), and IgM (</w:t>
      </w:r>
      <w:r w:rsidRPr="00057BA7">
        <w:rPr>
          <w:b/>
          <w:lang w:val="en-IE"/>
        </w:rPr>
        <w:t>d</w:t>
      </w:r>
      <w:r w:rsidRPr="00057BA7">
        <w:rPr>
          <w:lang w:val="en-IE"/>
        </w:rPr>
        <w:t>) antibodies measured by ELISA at 22 (</w:t>
      </w:r>
      <w:r w:rsidRPr="00057BA7">
        <w:rPr>
          <w:b/>
          <w:lang w:val="en-IE"/>
        </w:rPr>
        <w:t>a-c</w:t>
      </w:r>
      <w:r w:rsidRPr="00057BA7">
        <w:rPr>
          <w:lang w:val="en-IE"/>
        </w:rPr>
        <w:t>) or 14 (</w:t>
      </w:r>
      <w:r w:rsidRPr="00057BA7">
        <w:rPr>
          <w:b/>
          <w:lang w:val="en-IE"/>
        </w:rPr>
        <w:t>d</w:t>
      </w:r>
      <w:r w:rsidRPr="00057BA7">
        <w:rPr>
          <w:lang w:val="en-IE"/>
        </w:rPr>
        <w:t xml:space="preserve">) days </w:t>
      </w:r>
      <w:proofErr w:type="spellStart"/>
      <w:r w:rsidRPr="00057BA7">
        <w:rPr>
          <w:lang w:val="en-IE"/>
        </w:rPr>
        <w:t>p.v.</w:t>
      </w:r>
      <w:proofErr w:type="spellEnd"/>
      <w:r w:rsidRPr="00057BA7">
        <w:rPr>
          <w:lang w:val="en-IE"/>
        </w:rPr>
        <w:t xml:space="preserve"> for each animal.</w:t>
      </w:r>
    </w:p>
    <w:p w:rsidR="008254C8" w:rsidRDefault="008254C8" w:rsidP="008254C8">
      <w:pPr>
        <w:jc w:val="both"/>
        <w:rPr>
          <w:lang w:val="en-IE"/>
        </w:rPr>
      </w:pPr>
    </w:p>
    <w:p w:rsidR="00752381" w:rsidRDefault="00752381" w:rsidP="008254C8">
      <w:pPr>
        <w:jc w:val="both"/>
        <w:rPr>
          <w:lang w:val="en-IE"/>
        </w:rPr>
      </w:pPr>
      <w:r>
        <w:rPr>
          <w:lang w:val="en-IE"/>
        </w:rPr>
        <w:br/>
      </w:r>
    </w:p>
    <w:p w:rsidR="00752381" w:rsidRDefault="00752381">
      <w:pPr>
        <w:spacing w:after="160" w:line="259" w:lineRule="auto"/>
        <w:rPr>
          <w:lang w:val="en-IE"/>
        </w:rPr>
      </w:pPr>
      <w:r>
        <w:rPr>
          <w:lang w:val="en-IE"/>
        </w:rPr>
        <w:br w:type="page"/>
      </w:r>
    </w:p>
    <w:p w:rsidR="00752381" w:rsidRDefault="00D82CC4" w:rsidP="008254C8">
      <w:pPr>
        <w:jc w:val="both"/>
        <w:rPr>
          <w:lang w:val="en-IE"/>
        </w:rPr>
      </w:pPr>
      <w:r>
        <w:rPr>
          <w:noProof/>
          <w:lang w:val="ca-ES"/>
        </w:rPr>
        <w:lastRenderedPageBreak/>
        <w:drawing>
          <wp:inline distT="0" distB="0" distL="0" distR="0">
            <wp:extent cx="5400040" cy="471043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 Figure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1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4C8" w:rsidRPr="005A09E1" w:rsidRDefault="008254C8" w:rsidP="008254C8">
      <w:pPr>
        <w:jc w:val="both"/>
        <w:rPr>
          <w:lang w:val="en-IE"/>
        </w:rPr>
      </w:pPr>
      <w:r w:rsidRPr="00057BA7">
        <w:rPr>
          <w:b/>
          <w:lang w:val="en-IE"/>
        </w:rPr>
        <w:t xml:space="preserve">Supplementary Figure 4. </w:t>
      </w:r>
      <w:r w:rsidRPr="00057BA7">
        <w:rPr>
          <w:lang w:val="en-IE"/>
        </w:rPr>
        <w:t>(</w:t>
      </w:r>
      <w:r w:rsidRPr="00057BA7">
        <w:rPr>
          <w:b/>
          <w:lang w:val="en-IE"/>
        </w:rPr>
        <w:t>a-b</w:t>
      </w:r>
      <w:r w:rsidRPr="00057BA7">
        <w:rPr>
          <w:lang w:val="en-IE"/>
        </w:rPr>
        <w:t>)</w:t>
      </w:r>
      <w:r w:rsidRPr="00057BA7">
        <w:rPr>
          <w:b/>
          <w:lang w:val="en-IE"/>
        </w:rPr>
        <w:t xml:space="preserve"> </w:t>
      </w:r>
      <w:r w:rsidRPr="00057BA7">
        <w:rPr>
          <w:lang w:val="en-IE"/>
        </w:rPr>
        <w:t>PAMs were infected with the fluorescently-labelled BA71</w:t>
      </w:r>
      <w:r w:rsidRPr="000508D1">
        <w:rPr>
          <w:lang w:val="en-IE"/>
        </w:rPr>
        <w:t>Δ</w:t>
      </w:r>
      <w:r w:rsidRPr="00057BA7">
        <w:rPr>
          <w:lang w:val="en-IE"/>
        </w:rPr>
        <w:t>CD2-mWasabi at MOI 3.5. Two hours post-infection, cells were treated with HI-Ro (MOI 50), Frac-Ro or left untreated. (</w:t>
      </w:r>
      <w:r w:rsidRPr="00057BA7">
        <w:rPr>
          <w:b/>
          <w:lang w:val="en-IE"/>
        </w:rPr>
        <w:t>a</w:t>
      </w:r>
      <w:r w:rsidRPr="00057BA7">
        <w:rPr>
          <w:lang w:val="en-IE"/>
        </w:rPr>
        <w:t xml:space="preserve">) The percentages of p72-positive infected cells were </w:t>
      </w:r>
      <w:proofErr w:type="spellStart"/>
      <w:r w:rsidRPr="00057BA7">
        <w:rPr>
          <w:lang w:val="en-IE"/>
        </w:rPr>
        <w:t>analyzed</w:t>
      </w:r>
      <w:proofErr w:type="spellEnd"/>
      <w:r w:rsidRPr="00057BA7">
        <w:rPr>
          <w:lang w:val="en-IE"/>
        </w:rPr>
        <w:t xml:space="preserve"> every 2 hours using time-lapse </w:t>
      </w:r>
      <w:proofErr w:type="spellStart"/>
      <w:r w:rsidRPr="00057BA7">
        <w:rPr>
          <w:lang w:val="en-IE"/>
        </w:rPr>
        <w:t>Incucyte</w:t>
      </w:r>
      <w:proofErr w:type="spellEnd"/>
      <w:r w:rsidRPr="00057BA7">
        <w:rPr>
          <w:lang w:val="en-IE"/>
        </w:rPr>
        <w:t xml:space="preserve"> analysis. (</w:t>
      </w:r>
      <w:r w:rsidRPr="00057BA7">
        <w:rPr>
          <w:b/>
          <w:lang w:val="en-IE"/>
        </w:rPr>
        <w:t>b</w:t>
      </w:r>
      <w:r w:rsidRPr="00057BA7">
        <w:rPr>
          <w:lang w:val="en-IE"/>
        </w:rPr>
        <w:t>) Area under the curve (AUC) for each condition obtained from the kinetics of percentages of infected cells. (</w:t>
      </w:r>
      <w:r w:rsidR="00683481">
        <w:rPr>
          <w:b/>
          <w:lang w:val="en-IE"/>
        </w:rPr>
        <w:t>c-e</w:t>
      </w:r>
      <w:r w:rsidRPr="00057BA7">
        <w:rPr>
          <w:lang w:val="en-IE"/>
        </w:rPr>
        <w:t>) BA71</w:t>
      </w:r>
      <w:r w:rsidRPr="000508D1">
        <w:rPr>
          <w:lang w:val="en-IE"/>
        </w:rPr>
        <w:t>Δ</w:t>
      </w:r>
      <w:r w:rsidRPr="00057BA7">
        <w:rPr>
          <w:lang w:val="en-IE"/>
        </w:rPr>
        <w:t>CD2-infected PAMs (MOI 3.5) treated with HI-Ro (MOI 50), Frac-Ro, IFN</w:t>
      </w:r>
      <w:r>
        <w:rPr>
          <w:lang w:val="en-IE"/>
        </w:rPr>
        <w:t>-</w:t>
      </w:r>
      <w:r w:rsidRPr="00A35575">
        <w:rPr>
          <w:rFonts w:ascii="Symbol" w:hAnsi="Symbol"/>
          <w:lang w:val="en-IE"/>
        </w:rPr>
        <w:t></w:t>
      </w:r>
      <w:r w:rsidRPr="00057BA7">
        <w:rPr>
          <w:lang w:val="en-IE"/>
        </w:rPr>
        <w:t xml:space="preserve"> (0.1 </w:t>
      </w:r>
      <w:r w:rsidR="00781A22" w:rsidRPr="00781A22">
        <w:rPr>
          <w:rFonts w:ascii="Symbol" w:hAnsi="Symbol"/>
          <w:lang w:val="en-IE"/>
        </w:rPr>
        <w:t></w:t>
      </w:r>
      <w:r w:rsidRPr="00057BA7">
        <w:rPr>
          <w:lang w:val="en-IE"/>
        </w:rPr>
        <w:t xml:space="preserve">g/mL), LPS (10 </w:t>
      </w:r>
      <w:r w:rsidR="00781A22" w:rsidRPr="00781A22">
        <w:rPr>
          <w:rFonts w:ascii="Symbol" w:hAnsi="Symbol"/>
          <w:lang w:val="en-IE"/>
        </w:rPr>
        <w:t></w:t>
      </w:r>
      <w:r w:rsidR="00781A22" w:rsidRPr="00057BA7">
        <w:rPr>
          <w:lang w:val="en-IE"/>
        </w:rPr>
        <w:t>g</w:t>
      </w:r>
      <w:r w:rsidRPr="00057BA7">
        <w:rPr>
          <w:lang w:val="en-IE"/>
        </w:rPr>
        <w:t xml:space="preserve">/mL) or left untreated were </w:t>
      </w:r>
      <w:proofErr w:type="spellStart"/>
      <w:r w:rsidRPr="00057BA7">
        <w:rPr>
          <w:lang w:val="en-IE"/>
        </w:rPr>
        <w:t>analyzed</w:t>
      </w:r>
      <w:proofErr w:type="spellEnd"/>
      <w:r w:rsidRPr="00057BA7">
        <w:rPr>
          <w:lang w:val="en-IE"/>
        </w:rPr>
        <w:t xml:space="preserve"> at 48 hours post-infection by flow cytometry. The percentages of BA71</w:t>
      </w:r>
      <w:r w:rsidRPr="000508D1">
        <w:rPr>
          <w:lang w:val="en-IE"/>
        </w:rPr>
        <w:t>Δ</w:t>
      </w:r>
      <w:r w:rsidRPr="00057BA7">
        <w:rPr>
          <w:lang w:val="en-IE"/>
        </w:rPr>
        <w:t>CD2-infected cells (</w:t>
      </w:r>
      <w:r w:rsidRPr="00057BA7">
        <w:rPr>
          <w:b/>
          <w:lang w:val="en-IE"/>
        </w:rPr>
        <w:t>c</w:t>
      </w:r>
      <w:r w:rsidRPr="00057BA7">
        <w:rPr>
          <w:lang w:val="en-IE"/>
        </w:rPr>
        <w:t>), the mean fluorescence intensity (MFI) of the p7</w:t>
      </w:r>
      <w:r w:rsidR="00997A9E">
        <w:rPr>
          <w:lang w:val="en-IE"/>
        </w:rPr>
        <w:t>2</w:t>
      </w:r>
      <w:r w:rsidRPr="00057BA7">
        <w:rPr>
          <w:lang w:val="en-IE"/>
        </w:rPr>
        <w:t xml:space="preserve"> ASFV protein (</w:t>
      </w:r>
      <w:r w:rsidRPr="00057BA7">
        <w:rPr>
          <w:b/>
          <w:lang w:val="en-IE"/>
        </w:rPr>
        <w:t>d</w:t>
      </w:r>
      <w:r w:rsidRPr="00057BA7">
        <w:rPr>
          <w:lang w:val="en-IE"/>
        </w:rPr>
        <w:t>), and the percentage of alive cells (</w:t>
      </w:r>
      <w:r w:rsidRPr="005A09E1">
        <w:rPr>
          <w:b/>
          <w:bCs/>
          <w:lang w:val="en-IE"/>
        </w:rPr>
        <w:t>e</w:t>
      </w:r>
      <w:r w:rsidR="00683481">
        <w:rPr>
          <w:lang w:val="en-IE"/>
        </w:rPr>
        <w:t xml:space="preserve">) are shown. </w:t>
      </w:r>
      <w:r w:rsidRPr="005A09E1">
        <w:rPr>
          <w:lang w:val="en-IE"/>
        </w:rPr>
        <w:t>Non-infected cells were used as control. Significant differences were determined using a one-way ANOVA (* p-values ≤ 0.05, ** ≤ 0.01, *** ≤ 0.001).</w:t>
      </w:r>
    </w:p>
    <w:p w:rsidR="008254C8" w:rsidRPr="00057BA7" w:rsidRDefault="008254C8" w:rsidP="008254C8">
      <w:pPr>
        <w:jc w:val="both"/>
        <w:rPr>
          <w:lang w:val="en-IE"/>
        </w:rPr>
      </w:pPr>
    </w:p>
    <w:p w:rsidR="00752381" w:rsidRPr="00D82CC4" w:rsidRDefault="00D82CC4" w:rsidP="008254C8">
      <w:pPr>
        <w:jc w:val="both"/>
        <w:rPr>
          <w:b/>
          <w:lang w:val="en-IE"/>
        </w:rPr>
      </w:pPr>
      <w:r>
        <w:rPr>
          <w:b/>
          <w:noProof/>
          <w:lang w:val="ca-ES"/>
        </w:rPr>
        <w:lastRenderedPageBreak/>
        <w:drawing>
          <wp:inline distT="0" distB="0" distL="0" distR="0">
            <wp:extent cx="5400040" cy="49212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 Figure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2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4C8" w:rsidRPr="00057BA7" w:rsidRDefault="008254C8" w:rsidP="008254C8">
      <w:pPr>
        <w:jc w:val="both"/>
        <w:rPr>
          <w:lang w:val="en-IE"/>
        </w:rPr>
      </w:pPr>
      <w:r w:rsidRPr="00057BA7">
        <w:rPr>
          <w:b/>
          <w:lang w:val="en-IE"/>
        </w:rPr>
        <w:t>Supplementary Figure 5. Short HI-Ro or Frac-Ro stimulation do not impair BA71</w:t>
      </w:r>
      <w:r w:rsidRPr="000508D1">
        <w:rPr>
          <w:lang w:val="en-IE"/>
        </w:rPr>
        <w:t>Δ</w:t>
      </w:r>
      <w:r w:rsidRPr="00057BA7">
        <w:rPr>
          <w:b/>
          <w:lang w:val="en-IE"/>
        </w:rPr>
        <w:t>CD2 replication</w:t>
      </w:r>
      <w:r w:rsidRPr="00057BA7">
        <w:rPr>
          <w:lang w:val="en-IE"/>
        </w:rPr>
        <w:t>. PAMs were stimulated with HI-Ro (MOI 50), Frac-Ro or left untreated for 2 hours (</w:t>
      </w:r>
      <w:r w:rsidRPr="00057BA7">
        <w:rPr>
          <w:b/>
          <w:lang w:val="en-IE"/>
        </w:rPr>
        <w:t>a-b</w:t>
      </w:r>
      <w:r w:rsidRPr="00057BA7">
        <w:rPr>
          <w:lang w:val="en-IE"/>
        </w:rPr>
        <w:t>). Subsequently, cells were infected with the fluorescent-labelled BA71</w:t>
      </w:r>
      <w:r w:rsidRPr="000508D1">
        <w:rPr>
          <w:lang w:val="en-IE"/>
        </w:rPr>
        <w:t>Δ</w:t>
      </w:r>
      <w:r w:rsidRPr="00057BA7">
        <w:rPr>
          <w:lang w:val="en-IE"/>
        </w:rPr>
        <w:t>CD2-mWasabi at MOI 0.1 (</w:t>
      </w:r>
      <w:r w:rsidRPr="00057BA7">
        <w:rPr>
          <w:b/>
          <w:lang w:val="en-IE"/>
        </w:rPr>
        <w:t>a</w:t>
      </w:r>
      <w:r w:rsidRPr="00057BA7">
        <w:rPr>
          <w:lang w:val="en-IE"/>
        </w:rPr>
        <w:t>) or 3.5 (</w:t>
      </w:r>
      <w:r w:rsidRPr="00057BA7">
        <w:rPr>
          <w:b/>
          <w:lang w:val="en-IE"/>
        </w:rPr>
        <w:t>b</w:t>
      </w:r>
      <w:r w:rsidRPr="00057BA7">
        <w:rPr>
          <w:lang w:val="en-IE"/>
        </w:rPr>
        <w:t xml:space="preserve">). The percentages of ASFV-infected cells quantified every 2 hours using time-lapse </w:t>
      </w:r>
      <w:proofErr w:type="spellStart"/>
      <w:r w:rsidRPr="00057BA7">
        <w:rPr>
          <w:lang w:val="en-IE"/>
        </w:rPr>
        <w:t>Incucyte</w:t>
      </w:r>
      <w:proofErr w:type="spellEnd"/>
      <w:r w:rsidRPr="00057BA7">
        <w:rPr>
          <w:lang w:val="en-IE"/>
        </w:rPr>
        <w:t xml:space="preserve"> analysis, and the area under the curve (AUC) of the virus kinetics expansion was calculated. </w:t>
      </w:r>
    </w:p>
    <w:p w:rsidR="00A52100" w:rsidRPr="00277E18" w:rsidRDefault="00A52100" w:rsidP="00277E18">
      <w:pPr>
        <w:jc w:val="both"/>
        <w:rPr>
          <w:b/>
          <w:lang w:val="en-IE"/>
        </w:rPr>
      </w:pPr>
    </w:p>
    <w:sectPr w:rsidR="00A52100" w:rsidRPr="00277E1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54C8"/>
    <w:rsid w:val="00277E18"/>
    <w:rsid w:val="005A09E1"/>
    <w:rsid w:val="005B055C"/>
    <w:rsid w:val="00683481"/>
    <w:rsid w:val="00752381"/>
    <w:rsid w:val="007765E4"/>
    <w:rsid w:val="00781A22"/>
    <w:rsid w:val="008254C8"/>
    <w:rsid w:val="008E233A"/>
    <w:rsid w:val="00997A9E"/>
    <w:rsid w:val="00A52100"/>
    <w:rsid w:val="00B276C6"/>
    <w:rsid w:val="00D82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CAC2588"/>
  <w15:chartTrackingRefBased/>
  <w15:docId w15:val="{A377D7A8-7C14-4AD8-B814-AE6EC1251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254C8"/>
    <w:pPr>
      <w:spacing w:after="0" w:line="276" w:lineRule="auto"/>
    </w:pPr>
    <w:rPr>
      <w:rFonts w:ascii="Arial" w:eastAsia="Arial" w:hAnsi="Arial" w:cs="Arial"/>
      <w:lang w:val="ca" w:eastAsia="ca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Tort, Aida</dc:creator>
  <cp:keywords/>
  <dc:description/>
  <cp:lastModifiedBy>Jordi Argilaguet</cp:lastModifiedBy>
  <cp:revision>10</cp:revision>
  <dcterms:created xsi:type="dcterms:W3CDTF">2025-09-30T07:50:00Z</dcterms:created>
  <dcterms:modified xsi:type="dcterms:W3CDTF">2025-10-09T05:03:00Z</dcterms:modified>
</cp:coreProperties>
</file>