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2A677" w14:textId="4F081694" w:rsidR="006E67EC" w:rsidRPr="006E67EC" w:rsidRDefault="006E67EC" w:rsidP="00546230">
      <w:pPr>
        <w:pStyle w:val="Web"/>
        <w:jc w:val="both"/>
        <w:rPr>
          <w:rFonts w:ascii="Times New Roman" w:hAnsi="Times New Roman" w:cs="Times New Roman"/>
        </w:rPr>
      </w:pPr>
      <w:r w:rsidRPr="006E67EC">
        <w:rPr>
          <w:rFonts w:ascii="Times New Roman" w:hAnsi="Times New Roman" w:cs="Times New Roman"/>
        </w:rPr>
        <w:t>Supplementary materials and methods</w:t>
      </w:r>
    </w:p>
    <w:p w14:paraId="426339A4" w14:textId="55EFE4A0" w:rsidR="00546230" w:rsidRPr="006E67EC" w:rsidRDefault="00546230" w:rsidP="00546230">
      <w:pPr>
        <w:pStyle w:val="Web"/>
        <w:jc w:val="both"/>
        <w:rPr>
          <w:rFonts w:ascii="Times New Roman" w:hAnsi="Times New Roman" w:cs="Times New Roman"/>
        </w:rPr>
      </w:pPr>
      <w:r w:rsidRPr="006E67EC">
        <w:rPr>
          <w:rFonts w:ascii="Times New Roman" w:hAnsi="Times New Roman" w:cs="Times New Roman"/>
        </w:rPr>
        <w:t>Study Population</w:t>
      </w:r>
    </w:p>
    <w:p w14:paraId="73A72E07" w14:textId="170B7CAA" w:rsidR="00546230" w:rsidRPr="006E67EC" w:rsidRDefault="00546230" w:rsidP="00546230">
      <w:pPr>
        <w:pStyle w:val="Web"/>
        <w:jc w:val="both"/>
        <w:rPr>
          <w:rFonts w:ascii="Times New Roman" w:hAnsi="Times New Roman" w:cs="Times New Roman"/>
        </w:rPr>
      </w:pPr>
      <w:r w:rsidRPr="006E67EC">
        <w:rPr>
          <w:rFonts w:ascii="Times New Roman" w:hAnsi="Times New Roman" w:cs="Times New Roman"/>
        </w:rPr>
        <w:t>A consecutive surgical series of patients with MMD or quasi-MMD was reviewed to identify all patients undergoing combined direct/indirect bypass</w:t>
      </w:r>
      <w:r w:rsidRPr="006E67EC">
        <w:rPr>
          <w:rFonts w:ascii="Times New Roman" w:hAnsi="Times New Roman" w:cs="Times New Roman"/>
        </w:rPr>
        <w:t xml:space="preserve">　</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{"citationItems":[{"id":"ITEM-1","itemData":{"abstract":"Objective: We reviewed our 11-year experience with a novel bypass procedure, superficial temporal artery to middle cerebral artery (STA-MCA) anastomosis and encephalo-duro-myo-arterio-pericranio-synangiosis (EDMAPS), for moyamoya disease regarding cerebral hemodynamics and long-term outcome. Methods: This prospective study included 75 patients with moyamoya disease, including 28 children and 47 adults. We performed STA-MCA anastomosis and EDMAPS on 123 hemispheres of 75 patients. In addition to conventional STA-MCA anastomosis and indirect bypass for the MCA territory, the medial frontal lobe was revascularized using the frontal pericranial flap through medial frontal craniotomy. Surgical results were analyzed with magnetic resonance imaging, cerebral angiography, and single-photon emission computed tomography/positron emission tomography. Results: Overall incidences of mortality and morbidity were 0% and 5.7%, respectively. The annual risk of cerebrovascular events during the follow-up periods was very low: 0% in pediatric patients and 0.4% in adults over approximately 67 months. Postoperative cerebral angiography showed that the pericranial flap functioned well as donor tissue for indirect bypass, especially in pediatric patients. Follow-up single-photon emission computed tomography/positron emission tomography studies revealed that cerebral blood flow and its reactivity to acetazolamide markedly improved in both the MCA and anterior cerebral artery territories. Conclusion: These findings strongly suggest that STA-MCA anastomosis and EDMAPS using a frontal pericranial flap is a safe and effective surgical procedure to further improve the long-term prognosis in moyamoya disease by improving cerebral hemodynamics in both the MCA and anterior cerebral artery territories. Copyright © 2010 by the Congress of Neurological Surgeons.","author":[{"dropping-particle":"","family":"Kuroda","given":"Satoshi","non-dropping-particle":"","parse-names":false,"suffix":""},{"dropping-particle":"","family":"Houkin","given":"Kiyohiro","non-dropping-particle":"","parse-names":false,"suffix":""},{"dropping-particle":"","family":"Ishikawa","given":"Tatsuya","non-dropping-particle":"","parse-names":false,"suffix":""},{"dropping-particle":"","family":"Nakayama","given":"Naoki","non-dropping-particle":"","parse-names":false,"suffix":""},{"dropping-particle":"","family":"Iwasaki","given":"Yoshinobu","non-dropping-particle":"","parse-names":false,"suffix":""}],"container-title":"Neurosurgery","id":"ITEM-1","issue":"6","issued":{"date-parts":[["2010"]]},"page":"1093-1101","publisher":"Neurosurgery","title":"Novel bypass surgery for moyamoya disease using pericranial flap: Its impacts on cerebral hemodynamics and long-term outcome","type":"article","volume":"66"},"uris":["http://www.mendeley.com/documents/?uuid=4e6bd323-a220-3785-aa82-ba741728d122"]},{"id":"ITEM-2","itemData":{"abstract":"We present surgical techniques for optimal revascularization in childhood moyamoya disease. During the past 10 years we performed revascularization surgery for childhood moyamoya disease using direct revascularization with superficial temporal artery to middle cerebral artery (STA-MCA) anastomosis and indirect revascularization of encephalo-duro-arterio-myo-synangiosis (EDAMS) 43 times. Points of this surgery are as follows: (1) craniotomy and dural opening for the most extensive possible exposure of the brain surface, (2) protective manipulation of the STA, temporal muscle and middle meningeal artery, (3) STA-MCA anastomosis to the frontal branch of the MCA to improve cerebral circulation of the frontal lobe using a small branch of the STA, and (4) a small opening in the arachnoid membrane and watertight closure.","author":[{"dropping-particle":"","family":"Houkin","given":"Kiyohiro","non-dropping-particle":"","parse-names":false,"suffix":""},{"dropping-particle":"","family":"Kamiyama","given":"Hiroyasu","non-dropping-particle":"","parse-names":false,"suffix":""},{"dropping-particle":"","family":"Takahashi","given":"Akihiro","non-dropping-particle":"","parse-names":false,"suffix":""},{"dropping-particle":"","family":"Kuroda","given":"Satoshi","non-dropping-particle":"","parse-names":false,"suffix":""},{"dropping-particle":"","family":"Abe","given":"Hiroshi","non-dropping-particle":"","parse-names":false,"suffix":""}],"container-title":"Child's Nervous System","id":"ITEM-2","issue":"1","issued":{"date-parts":[["1997"]]},"page":"24-29","publisher":"Childs Nerv Syst","title":"Combined revascularization surgery for childhood moyamoya disease: STA-MCA and encephalo-duro-arterio-myo-synangiosis","type":"article-journal","volume":"13"},"uris":["http://www.mendeley.com/documents/?uuid=a352a4a1-aa87-3a40-a136-d356a0f151c6"]}],"mendeley":{"formattedCitation":"[1, 4]","plainTextFormattedCitation":"[1, 4]","previouslyFormattedCitation":"[1, 4]"},"properties":{"noteIndex":0},"schema":"https://github.com/citation-style-language/schema/raw/master/csl-citation.json"}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[1, 4]</w:t>
      </w:r>
      <w:r w:rsidRPr="006E67EC">
        <w:rPr>
          <w:rFonts w:ascii="Times New Roman" w:hAnsi="Times New Roman" w:cs="Times New Roman"/>
        </w:rPr>
        <w:fldChar w:fldCharType="end"/>
      </w:r>
      <w:r w:rsidRPr="006E67EC">
        <w:rPr>
          <w:rFonts w:ascii="Times New Roman" w:hAnsi="Times New Roman" w:cs="Times New Roman"/>
        </w:rPr>
        <w:t xml:space="preserve"> between 2005 and 2019 at our hospital. The diagnosis of MMD was confirmed by the criteria outlined in the Japanese guidelines for the diagnosis and treatment of MMD. </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{"citationItems":[{"id":"ITEM-1","itemData":{"ISSN":"1349-8029","PMID":"22870528","author":[{"dropping-particle":"","family":"Research Committee on the Pathology and Treatment of Spontaneous Occlusion of the Circle of Willis","given":"","non-dropping-particle":"","parse-names":false,"suffix":""},{"dropping-particle":"","family":"Health Labour Sciences Research Grant for Research on Measures for Infractable Diseases","given":"","non-dropping-particle":"","parse-names":false,"suffix":""}],"container-title":"Neurologia medico-chirurgica (Tokyo)","id":"ITEM-1","issue":"5","issued":{"date-parts":[["2012"]]},"page":"245-266","title":"Guidelines for diagnosis and treatment of moyamoya disease (spontaneous occlusion of the circle of Willis).","type":"article-journal","volume":"52"},"uris":["http://www.mendeley.com/documents/?uuid=2f0ed1c3-2d40-3738-aee2-0e732389fb69"]}],"mendeley":{"formattedCitation":"[5]","plainTextFormattedCitation":"[5]","previouslyFormattedCitation":"[5]"},"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[5]</w:t>
      </w:r>
      <w:r w:rsidRPr="006E67EC">
        <w:rPr>
          <w:rFonts w:ascii="Times New Roman" w:hAnsi="Times New Roman" w:cs="Times New Roman"/>
        </w:rPr>
        <w:fldChar w:fldCharType="end"/>
      </w:r>
      <w:r w:rsidRPr="006E67EC">
        <w:rPr>
          <w:rFonts w:ascii="Times New Roman" w:hAnsi="Times New Roman" w:cs="Times New Roman"/>
        </w:rPr>
        <w:t xml:space="preserve"> In accordance with the guidelines, patients were offered the surgery if they were symptomatic based on a combination of neuropsychological testing, as reported previously,</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{"citationItems":[{"id":"ITEM-1","itemData":{"abstract":"Chronic ischemia in adult moyamoya disease (MMD) reduces the integrity of normal-appearing white matter (WM). We investigated whether covert WM impairment alters large-scale brain networks and specific neural circuits associated with neurocognitive dysfunction in MMD. Forty-six participants (control, n = 23; MMD, n = 23) were examined using diffusion tensor imaging and streamline tractography. Structural connectivity among 90 cortical and subcortical brain regions was evaluated using the mean fractional anisotropy along the fiber tracts. Graph theoretical analysis was used to measure network parameters and inter-regional connectivity. Global network parameters were reduced in patients with MMD, including cluster coefficient (controls vs. MMD: 3.62 ± 0.24 vs. 3.26 ± 0.36; P &lt; 0.0001), characteristic path length (controls vs. MMD: 1.20 ± 0.02 vs. 1.17 ± 0.01; P &lt; 0.001), and small-world property (controls vs. MMD: 3.07 ± 0.18 vs. 2.83 ± 0.27; P &lt; 0.001). Reduced pairwise connectivity was found in prefrontal neural circuits within the middle/inferior frontal gyrus; supplementary motor area; and insular, inferior temporal, and dorsal cingulate cortices. Covert WM microstructural changes in patients with MMD alter large-scale brain networks, as well as lateral prefrontal neural circuits. Evaluation of structural connectivity may be useful to assess the severity of chronic ischemic injury from a network perspective.","author":[{"dropping-particle":"","family":"Kazumata","given":"Ken","non-dropping-particle":"","parse-names":false,"suffix":""},{"dropping-particle":"","family":"Tha","given":"Khin Khin","non-dropping-particle":"","parse-names":false,"suffix":""},{"dropping-particle":"","family":"Narita","given":"Hisashi","non-dropping-particle":"","parse-names":false,"suffix":""},{"dropping-particle":"","family":"Shichinohe","given":"Hideo","non-dropping-particle":"","parse-names":false,"suffix":""},{"dropping-particle":"","family":"Ito","given":"Masaki","non-dropping-particle":"","parse-names":false,"suffix":""},{"dropping-particle":"","family":"Uchino","given":"Haruto","non-dropping-particle":"","parse-names":false,"suffix":""},{"dropping-particle":"","family":"Abumiya","given":"Takeo","non-dropping-particle":"","parse-names":false,"suffix":""}],"container-title":"World Neurosurgery","id":"ITEM-1","issued":{"date-parts":[["2016"]]},"page":"654-665.e2","publisher":"Elsevier Inc.","title":"Investigating Brain Network Characteristics Interrupted by Covert White Matter Injury in Patients with Moyamoya Disease: Insights from Graph Theoretical Analysis","type":"article-journal","volume":"89"},"uris":["http://www.mendeley.com/documents/?uuid=1959a261-a601-3fe0-a5b6-da6f544ddd3c"]}],"mendeley":{"formattedCitation":"[3]","plainTextFormattedCitation":"[3]","previouslyFormattedCitation":"[3]"},"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[3]</w:t>
      </w:r>
      <w:r w:rsidRPr="006E67EC">
        <w:rPr>
          <w:rFonts w:ascii="Times New Roman" w:hAnsi="Times New Roman" w:cs="Times New Roman"/>
        </w:rPr>
        <w:fldChar w:fldCharType="end"/>
      </w:r>
      <w:r w:rsidRPr="006E67EC">
        <w:rPr>
          <w:rFonts w:ascii="Times New Roman" w:hAnsi="Times New Roman" w:cs="Times New Roman"/>
        </w:rPr>
        <w:t xml:space="preserve"> and radiological studies, including MR imaging, TOF MR angiography, or had evidence of hemodynamic compromise by cerebral blood flow (CBF) measurements by [</w:t>
      </w:r>
      <w:r w:rsidRPr="006E67EC">
        <w:rPr>
          <w:rFonts w:ascii="Times New Roman" w:hAnsi="Times New Roman" w:cs="Times New Roman"/>
          <w:vertAlign w:val="superscript"/>
        </w:rPr>
        <w:t>123</w:t>
      </w:r>
      <w:r w:rsidRPr="006E67EC">
        <w:rPr>
          <w:rFonts w:ascii="Times New Roman" w:hAnsi="Times New Roman" w:cs="Times New Roman"/>
        </w:rPr>
        <w:t>I] N-isopropyl-</w:t>
      </w:r>
      <w:proofErr w:type="spellStart"/>
      <w:r w:rsidRPr="006E67EC">
        <w:rPr>
          <w:rFonts w:ascii="Times New Roman" w:hAnsi="Times New Roman" w:cs="Times New Roman"/>
        </w:rPr>
        <w:t>iodoamphetamine</w:t>
      </w:r>
      <w:proofErr w:type="spellEnd"/>
      <w:r w:rsidRPr="006E67EC">
        <w:rPr>
          <w:rFonts w:ascii="Times New Roman" w:hAnsi="Times New Roman" w:cs="Times New Roman"/>
        </w:rPr>
        <w:t xml:space="preserve"> single photon emission tomography, with acetazolamide challenge if safely applicable. Repeat MR imaging and MR angiography after surgery were recommended at 3, 6, and 12 months, and yearly thereafter, but due to patient preference or willingness, it was not always available at all time points. This study included adult MMD patients (&gt;16 years of age at the surgery) who consented to genetic analysis and underwent repeat MR imaging within 3 years after surgery. quasi-MMD was excluded. The </w:t>
      </w:r>
      <w:proofErr w:type="spellStart"/>
      <w:r w:rsidRPr="006E67EC">
        <w:rPr>
          <w:rFonts w:ascii="Times New Roman" w:hAnsi="Times New Roman" w:cs="Times New Roman"/>
        </w:rPr>
        <w:t>Houkin</w:t>
      </w:r>
      <w:proofErr w:type="spellEnd"/>
      <w:r w:rsidRPr="006E67EC">
        <w:rPr>
          <w:rFonts w:ascii="Times New Roman" w:hAnsi="Times New Roman" w:cs="Times New Roman"/>
        </w:rPr>
        <w:t xml:space="preserve"> MR angiographical stage/grading system was used to stratify the angiographical stage of MMD (ranging 1 to 4 [most advanced]).</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{"citationItems":[{"id":"ITEM-1","itemData":{"abstract":"BACKGROUND Magnetic resonance angiography (MRA) has been acknowledged as a noninvasive diagnostic modality for moyamoya disease. However, in terms of staging of moyamoya disease, conventional angiography is still the gold standard. Therefore, the purpose of this study was to establish MRA grades for moyamoya disease as an alternative to conventional angiography. METHODS Twenty-two patients (44 sides) with moyamoya disease diagnosed by conventional angiography were evaluated by MRA during the past 5 years. MRA scores were assigned based on the severity of occlusive changes of the internal carotid artery, the horizontal portion of the middle cerebral artery, the anterior and the posterior cerebral arteries and the signals of the distal branches of these arteries. Total points ranged from 0 (normal) to 10 (most severe). RESULTS MRA scores (0-10) were significantly consistent with the conventional angiographic staging. Four grades based on this novel MRA scores correlated well with Suzuki's stages, with high sensitivity and specificity. CONCLUSIONS These novel MRA grades can be a reliable alternative to conventional staging. By employing these novel MRA grades, the use of conventional angiography can be avoided for the purpose of evaluation of the stages of moyamoya disease.","author":[{"dropping-particle":"","family":"Houkin","given":"Kiyohiro","non-dropping-particle":"","parse-names":false,"suffix":""},{"dropping-particle":"","family":"Nakayama","given":"Naoki","non-dropping-particle":"","parse-names":false,"suffix":""},{"dropping-particle":"","family":"Kuroda","given":"Satoshi","non-dropping-particle":"","parse-names":false,"suffix":""},{"dropping-particle":"","family":"Nonaka","given":"Tadashi","non-dropping-particle":"","parse-names":false,"suffix":""},{"dropping-particle":"","family":"Shonai","given":"Takaharu","non-dropping-particle":"","parse-names":false,"suffix":""},{"dropping-particle":"","family":"Yoshimoto","given":"Takashi","non-dropping-particle":"","parse-names":false,"suffix":""}],"container-title":"Cerebrovascular diseases (Basel, Switzerland)","id":"ITEM-1","issue":"5","issued":{"date-parts":[["2005"]]},"page":"347-54","title":"Novel magnetic resonance angiography stage grading for moyamoya disease.","type":"article-journal","volume":"20"},"uris":["http://www.mendeley.com/documents/?uuid=fc6603e9-e51c-3f9c-9c0c-bae985ad9dae"]}],"mendeley":{"formattedCitation":"[2]","plainTextFormattedCitation":"[2]","previouslyFormattedCitation":"[2]"},"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[2]</w:t>
      </w:r>
      <w:r w:rsidRPr="006E67EC">
        <w:rPr>
          <w:rFonts w:ascii="Times New Roman" w:hAnsi="Times New Roman" w:cs="Times New Roman"/>
        </w:rPr>
        <w:fldChar w:fldCharType="end"/>
      </w:r>
      <w:r w:rsidRPr="006E67EC">
        <w:rPr>
          <w:rFonts w:ascii="Times New Roman" w:hAnsi="Times New Roman" w:cs="Times New Roman"/>
        </w:rPr>
        <w:t xml:space="preserve"> Cerebrovascular reactivity (CVR) to acetazolamide was evaluated quantitatively as previously reported.</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{"citationItems":[{"id":"ITEM-1","itemData":{"ISSN":"15244040","abstract":"BACKGROUND: Whether additional indirect bypasses effectively contribute to revascularization in combined procedures remains unclear in patients with moyamoya disease. OBJECTIVE: To evaluate the longitudinal changes associated with combined procedures while following up pediatric and adult patients long term and to assess whether any other clinical factors or hemodynamic parameters affected these changes to determine an optimal surgical strategy. METHODS: We studied 58 hemispheres in 43 adults and 39 hemispheres in 26 children who underwent combined revascularization for moyamoya disease. To evaluate bypass development, we assessed the sizes of the superficial temporal artery and middle meningeal artery using magnetic resonance angiography. Multivariate analysis determined the effects of multiple variables on bypass development. RESULTS: Indirect bypass (middle meningeal artery) development occurred in 95% and 78% of the pediatric and adult hemispheres, respectively. Of these, dual development of direct and indirect bypasses occurred in 54% of the pediatric hemispheres and in 47% of the adult hemispheres. Reciprocal superficial temporal artery regression occurred in 28% of the hemispheres during the transition from the postoperative acute phase to the chronic phase during indirect bypass development. Good indirect bypass development was associated with adult hemispheres at Suzuki stage 4 or greater (odds ratio, 7.4; 95% confidence interval, 1.4-39.4; P = .02). Disease onset type and preoperative hemodynamic parameters were not considered predictors for the development of surgical revascularization. CONCLUSION: Simultaneous direct and indirect bypass development was most frequently observed, regardless of patient age and hemodynamic status. Applying indirect bypass as an adjunct to direct bypass could maximize revascularization in adults and children.","author":[{"dropping-particle":"","family":"Uchino","given":"Haruto","non-dropping-particle":"","parse-names":false,"suffix":""},{"dropping-particle":"","family":"Kim","given":"Jae Hoon","non-dropping-particle":"","parse-names":false,"suffix":""},{"dropping-particle":"","family":"Fujima","given":"Noriyuki","non-dropping-particle":"","parse-names":false,"suffix":""},{"dropping-particle":"","family":"Kazumata","given":"Ken","non-dropping-particle":"","parse-names":false,"suffix":""},{"dropping-particle":"","family":"Ito","given":"Masaki","non-dropping-particle":"","parse-names":false,"suffix":""},{"dropping-particle":"","family":"Nakayama","given":"Naoki","non-dropping-particle":"","parse-names":false,"suffix":""},{"dropping-particle":"","family":"Kuroda","given":"Satoshi","non-dropping-particle":"","parse-names":false,"suffix":""},{"dropping-particle":"","family":"Houkin","given":"Kiyohiro","non-dropping-particle":"","parse-names":false,"suffix":""}],"container-title":"Neurosurgery","id":"ITEM-1","issue":"2","issued":{"date-parts":[["2017"]]},"page":"201-209","title":"Synergistic interactions between direct and indirect bypasses in combined procedures: The significance of indirect bypasses in moyamoya disease","type":"article-journal","volume":"80"},"uris":["http://www.mendeley.com/documents/?uuid=53ed53c9-1fc8-39f2-9db0-63c17336e17b"]}],"mendeley":{"formattedCitation":"[6]","plainTextFormattedCitation":"[6]","previouslyFormattedCitation":"[6]"},"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[6]</w:t>
      </w:r>
      <w:r w:rsidRPr="006E67EC">
        <w:rPr>
          <w:rFonts w:ascii="Times New Roman" w:hAnsi="Times New Roman" w:cs="Times New Roman"/>
        </w:rPr>
        <w:fldChar w:fldCharType="end"/>
      </w:r>
      <w:r w:rsidRPr="006E67EC">
        <w:rPr>
          <w:rFonts w:ascii="Times New Roman" w:hAnsi="Times New Roman" w:cs="Times New Roman"/>
        </w:rPr>
        <w:t xml:space="preserve"> In accordance with an institutional review board-approved protocol (number14-053), medical records were retrospectively reviewed to gather demographic information, age at the surgery, symptoms at presentation, comorbid conditions before surgery, and results of radiographic studies. </w:t>
      </w:r>
    </w:p>
    <w:p w14:paraId="23CB1EA4" w14:textId="77777777" w:rsidR="00546230" w:rsidRPr="006E67EC" w:rsidRDefault="00546230" w:rsidP="00092FF9">
      <w:pPr>
        <w:pStyle w:val="Web"/>
        <w:jc w:val="both"/>
        <w:rPr>
          <w:rFonts w:ascii="Times New Roman" w:hAnsi="Times New Roman" w:cs="Times New Roman"/>
        </w:rPr>
      </w:pPr>
    </w:p>
    <w:p w14:paraId="18393D67" w14:textId="4729A5D1" w:rsidR="00092FF9" w:rsidRPr="006E67EC" w:rsidRDefault="00092FF9" w:rsidP="00092FF9">
      <w:pPr>
        <w:pStyle w:val="Web"/>
        <w:jc w:val="both"/>
        <w:rPr>
          <w:rFonts w:ascii="Times New Roman" w:hAnsi="Times New Roman" w:cs="Times New Roman"/>
        </w:rPr>
      </w:pPr>
      <w:r w:rsidRPr="006E67EC">
        <w:rPr>
          <w:rFonts w:ascii="Times New Roman" w:hAnsi="Times New Roman" w:cs="Times New Roman"/>
        </w:rPr>
        <w:t>Surgical Procedure</w:t>
      </w:r>
    </w:p>
    <w:p w14:paraId="05A44688" w14:textId="5B130D33" w:rsidR="00092FF9" w:rsidRPr="006E67EC" w:rsidRDefault="00092FF9" w:rsidP="007A41D3">
      <w:pPr>
        <w:pStyle w:val="Web"/>
        <w:jc w:val="both"/>
        <w:rPr>
          <w:rFonts w:ascii="Times New Roman" w:hAnsi="Times New Roman" w:cs="Times New Roman"/>
        </w:rPr>
      </w:pPr>
      <w:r w:rsidRPr="006E67EC">
        <w:rPr>
          <w:rFonts w:ascii="Times New Roman" w:hAnsi="Times New Roman" w:cs="Times New Roman"/>
        </w:rPr>
        <w:t>According to our surgical protocol,</w:t>
      </w:r>
      <w:r w:rsidR="00546230" w:rsidRPr="006E67EC">
        <w:rPr>
          <w:rFonts w:ascii="Times New Roman" w:hAnsi="Times New Roman" w:cs="Times New Roman"/>
        </w:rPr>
        <w:t xml:space="preserve"> </w:t>
      </w:r>
      <w:r w:rsidR="00546230"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{"citationItems":[{"id":"ITEM-1","itemData":{"abstract":"Objective: We reviewed our 11-year experience with a novel bypass procedure, superficial temporal artery to middle cerebral artery (STA-MCA) anastomosis and encephalo-duro-myo-arterio-pericranio-synangiosis (EDMAPS), for moyamoya disease regarding cerebral hemodynamics and long-term outcome. Methods: This prospective study included 75 patients with moyamoya disease, including 28 children and 47 adults. We performed STA-MCA anastomosis and EDMAPS on 123 hemispheres of 75 patients. In addition to conventional STA-MCA anastomosis and indirect bypass for the MCA territory, the medial frontal lobe was revascularized using the frontal pericranial flap through medial frontal craniotomy. Surgical results were analyzed with magnetic resonance imaging, cerebral angiography, and single-photon emission computed tomography/positron emission tomography. Results: Overall incidences of mortality and morbidity were 0% and 5.7%, respectively. The annual risk of cerebrovascular events during the follow-up periods was very low: 0% in pediatric patients and 0.4% in adults over approximately 67 months. Postoperative cerebral angiography showed that the pericranial flap functioned well as donor tissue for indirect bypass, especially in pediatric patients. Follow-up single-photon emission computed tomography/positron emission tomography studies revealed that cerebral blood flow and its reactivity to acetazolamide markedly improved in both the MCA and anterior cerebral artery territories. Conclusion: These findings strongly suggest that STA-MCA anastomosis and EDMAPS using a frontal pericranial flap is a safe and effective surgical procedure to further improve the long-term prognosis in moyamoya disease by improving cerebral hemodynamics in both the MCA and anterior cerebral artery territories. Copyright © 2010 by the Congress of Neurological Surgeons.","author":[{"dropping-particle":"","family":"Kuroda","given":"Satoshi","non-dropping-particle":"","parse-names":false,"suffix":""},{"dropping-particle":"","family":"Houkin","given":"Kiyohiro","non-dropping-particle":"","parse-names":false,"suffix":""},{"dropping-particle":"","family":"Ishikawa","given":"Tatsuya","non-dropping-particle":"","parse-names":false,"suffix":""},{"dropping-particle":"","family":"Nakayama","given":"Naoki","non-dropping-particle":"","parse-names":false,"suffix":""},{"dropping-particle":"","family":"Iwasaki","given":"Yoshinobu","non-dropping-particle":"","parse-names":false,"suffix":""}],"container-title":"Neurosurgery","id":"ITEM-1","issue":"6","issued":{"date-parts":[["2010"]]},"page":"1093-1101","publisher":"Neurosurgery","title":"Novel bypass surgery for moyamoya disease using pericranial flap: Its impacts on cerebral hemodynamics and long-term outcome","type":"article","volume":"66"},"uris":["http://www.mendeley.com/documents/?uuid=4e6bd323-a220-3785-aa82-ba741728d122"]},{"id":"ITEM-2","itemData":{"abstract":"We present surgical techniques for optimal revascularization in childhood moyamoya disease. During the past 10 years we performed revascularization surgery for childhood moyamoya disease using direct revascularization with superficial temporal artery to middle cerebral artery (STA-MCA) anastomosis and indirect revascularization of encephalo-duro-arterio-myo-synangiosis (EDAMS) 43 times. Points of this surgery are as follows: (1) craniotomy and dural opening for the most extensive possible exposure of the brain surface, (2) protective manipulation of the STA, temporal muscle and middle meningeal artery, (3) STA-MCA anastomosis to the frontal branch of the MCA to improve cerebral circulation of the frontal lobe using a small branch of the STA, and (4) a small opening in the arachnoid membrane and watertight closure.","author":[{"dropping-particle":"","family":"Houkin","given":"Kiyohiro","non-dropping-particle":"","parse-names":false,"suffix":""},{"dropping-particle":"","family":"Kamiyama","given":"Hiroyasu","non-dropping-particle":"","parse-names":false,"suffix":""},{"dropping-particle":"","family":"Takahashi","given":"Akihiro","non-dropping-particle":"","parse-names":false,"suffix":""},{"dropping-particle":"","family":"Kuroda","given":"Satoshi","non-dropping-particle":"","parse-names":false,"suffix":""},{"dropping-particle":"","family":"Abe","given":"Hiroshi","non-dropping-particle":"","parse-names":false,"suffix":""}],"container-title":"Child's Nervous System","id":"ITEM-2","issue":"1","issued":{"date-parts":[["1997"]]},"page":"24-29","publisher":"Childs Nerv Syst","title":"Combined revascularization surgery for childhood moyamoya disease: STA-MCA and encephalo-duro-arterio-myo-synangiosis","type":"article-journal","volume":"13"},"uris":["http://www.mendeley.com/documents/?uuid=a352a4a1-aa87-3a40-a136-d356a0f151c6"]}],"mendeley":{"formattedCitation":"[1, 4]","plainTextFormattedCitation":"[1, 4]","previouslyFormattedCitation":"[1, 4]"},"properties":{"noteIndex":0},"schema":"https://github.com/citation-style-language/schema/raw/master/csl-citation.json"}</w:instrText>
      </w:r>
      <w:r w:rsidR="00546230" w:rsidRPr="006E67EC">
        <w:rPr>
          <w:rFonts w:ascii="Times New Roman" w:hAnsi="Times New Roman" w:cs="Times New Roman"/>
        </w:rPr>
        <w:fldChar w:fldCharType="separate"/>
      </w:r>
      <w:r w:rsidR="00234F9A" w:rsidRPr="00234F9A">
        <w:rPr>
          <w:rFonts w:ascii="Times New Roman" w:hAnsi="Times New Roman" w:cs="Times New Roman"/>
          <w:noProof/>
        </w:rPr>
        <w:t>[1, 4]</w:t>
      </w:r>
      <w:r w:rsidR="00546230" w:rsidRPr="006E67EC">
        <w:rPr>
          <w:rFonts w:ascii="Times New Roman" w:hAnsi="Times New Roman" w:cs="Times New Roman"/>
        </w:rPr>
        <w:fldChar w:fldCharType="end"/>
      </w:r>
      <w:r w:rsidR="00546230" w:rsidRPr="006E67EC">
        <w:rPr>
          <w:rFonts w:ascii="Times New Roman" w:hAnsi="Times New Roman" w:cs="Times New Roman"/>
        </w:rPr>
        <w:t xml:space="preserve"> </w:t>
      </w:r>
      <w:r w:rsidRPr="006E67EC">
        <w:rPr>
          <w:rFonts w:ascii="Times New Roman" w:hAnsi="Times New Roman" w:cs="Times New Roman"/>
        </w:rPr>
        <w:t xml:space="preserve">double STA to MCA anastomosis combined with EDAMS or EDMAPS was performed as the standard combined direct and indirect bypass procedure. Briefly, after large frontotemporal craniotomy, the dura was opened while preserving the MMA. Both of the parietal and frontal branches of the STA were </w:t>
      </w:r>
      <w:r w:rsidRPr="006E67EC">
        <w:rPr>
          <w:rFonts w:ascii="Times New Roman" w:hAnsi="Times New Roman" w:cs="Times New Roman"/>
        </w:rPr>
        <w:lastRenderedPageBreak/>
        <w:t xml:space="preserve">anastomosed to the cortical branches of the MCA in an end-to-side manner. The </w:t>
      </w:r>
      <w:proofErr w:type="spellStart"/>
      <w:r w:rsidRPr="006E67EC">
        <w:rPr>
          <w:rFonts w:ascii="Times New Roman" w:hAnsi="Times New Roman" w:cs="Times New Roman"/>
        </w:rPr>
        <w:t>dural</w:t>
      </w:r>
      <w:proofErr w:type="spellEnd"/>
      <w:r w:rsidRPr="006E67EC">
        <w:rPr>
          <w:rFonts w:ascii="Times New Roman" w:hAnsi="Times New Roman" w:cs="Times New Roman"/>
        </w:rPr>
        <w:t xml:space="preserve"> flap was inverted and placed on the surface of the brain to increase collateral formation. The temporal muscle was sutured to the edge of the dura. In the EDMAPS procedure, paramedian craniotomy was also performed to improve revascularization in the area of the anterior cerebral artery (ACA). The majority of these patients underwent indirect bypass using the periosteal flap, whereas the remaining patients underwent STA to ACA anastomosis.</w:t>
      </w:r>
    </w:p>
    <w:p w14:paraId="4D6C99F0" w14:textId="77777777" w:rsidR="00092FF9" w:rsidRPr="006E67EC" w:rsidRDefault="00092FF9" w:rsidP="007A41D3">
      <w:pPr>
        <w:pStyle w:val="Web"/>
        <w:jc w:val="both"/>
        <w:rPr>
          <w:rFonts w:ascii="Times New Roman" w:hAnsi="Times New Roman" w:cs="Times New Roman"/>
        </w:rPr>
      </w:pPr>
    </w:p>
    <w:p w14:paraId="5A5AE242" w14:textId="0A327985" w:rsidR="007A41D3" w:rsidRPr="006E67EC" w:rsidRDefault="007A41D3" w:rsidP="007A41D3">
      <w:pPr>
        <w:pStyle w:val="Web"/>
        <w:jc w:val="both"/>
        <w:rPr>
          <w:rFonts w:ascii="Times New Roman" w:hAnsi="Times New Roman" w:cs="Times New Roman"/>
        </w:rPr>
      </w:pPr>
      <w:r w:rsidRPr="006E67EC">
        <w:rPr>
          <w:rFonts w:ascii="Times New Roman" w:hAnsi="Times New Roman" w:cs="Times New Roman"/>
        </w:rPr>
        <w:t>Evaluation of the Postoperative Development of Direct and Indirect Surgical Collaterals by MR angiography</w:t>
      </w:r>
    </w:p>
    <w:p w14:paraId="3C47F484" w14:textId="782864A4" w:rsidR="007A41D3" w:rsidRPr="006E67EC" w:rsidRDefault="007A41D3" w:rsidP="007A41D3">
      <w:pPr>
        <w:pStyle w:val="Web"/>
        <w:jc w:val="both"/>
        <w:rPr>
          <w:rFonts w:ascii="Times New Roman" w:hAnsi="Times New Roman" w:cs="Times New Roman"/>
        </w:rPr>
      </w:pPr>
      <w:r w:rsidRPr="006E67EC">
        <w:rPr>
          <w:rFonts w:ascii="Times New Roman" w:hAnsi="Times New Roman" w:cs="Times New Roman"/>
        </w:rPr>
        <w:t>Evaluation of the postoperative development of direct and indirect surgical collaterals was performed qualitatively and quantitatively using TOF MR angiography and its source images, respectively.</w:t>
      </w:r>
    </w:p>
    <w:p w14:paraId="2F7C4951" w14:textId="293E3694" w:rsidR="007A41D3" w:rsidRPr="006E67EC" w:rsidRDefault="007A41D3" w:rsidP="007A41D3">
      <w:pPr>
        <w:pStyle w:val="Web"/>
        <w:jc w:val="both"/>
        <w:rPr>
          <w:rFonts w:ascii="Times New Roman" w:hAnsi="Times New Roman" w:cs="Times New Roman"/>
        </w:rPr>
      </w:pPr>
      <w:r w:rsidRPr="006E67EC">
        <w:rPr>
          <w:rFonts w:ascii="Times New Roman" w:hAnsi="Times New Roman" w:cs="Times New Roman"/>
        </w:rPr>
        <w:tab/>
        <w:t>For qualitative evaluation,</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{"citationItems":[{"id":"ITEM-1","itemData":{"ISSN":"15244040","abstract":"BACKGROUND: Whether additional indirect bypasses effectively contribute to revascularization in combined procedures remains unclear in patients with moyamoya disease. OBJECTIVE: To evaluate the longitudinal changes associated with combined procedures while following up pediatric and adult patients long term and to assess whether any other clinical factors or hemodynamic parameters affected these changes to determine an optimal surgical strategy. METHODS: We studied 58 hemispheres in 43 adults and 39 hemispheres in 26 children who underwent combined revascularization for moyamoya disease. To evaluate bypass development, we assessed the sizes of the superficial temporal artery and middle meningeal artery using magnetic resonance angiography. Multivariate analysis determined the effects of multiple variables on bypass development. RESULTS: Indirect bypass (middle meningeal artery) development occurred in 95% and 78% of the pediatric and adult hemispheres, respectively. Of these, dual development of direct and indirect bypasses occurred in 54% of the pediatric hemispheres and in 47% of the adult hemispheres. Reciprocal superficial temporal artery regression occurred in 28% of the hemispheres during the transition from the postoperative acute phase to the chronic phase during indirect bypass development. Good indirect bypass development was associated with adult hemispheres at Suzuki stage 4 or greater (odds ratio, 7.4; 95% confidence interval, 1.4-39.4; P = .02). Disease onset type and preoperative hemodynamic parameters were not considered predictors for the development of surgical revascularization. CONCLUSION: Simultaneous direct and indirect bypass development was most frequently observed, regardless of patient age and hemodynamic status. Applying indirect bypass as an adjunct to direct bypass could maximize revascularization in adults and children.","author":[{"dropping-particle":"","family":"Uchino","given":"Haruto","non-dropping-particle":"","parse-names":false,"suffix":""},{"dropping-particle":"","family":"Kim","given":"Jae Hoon","non-dropping-particle":"","parse-names":false,"suffix":""},{"dropping-particle":"","family":"Fujima","given":"Noriyuki","non-dropping-particle":"","parse-names":false,"suffix":""},{"dropping-particle":"","family":"Kazumata","given":"Ken","non-dropping-particle":"","parse-names":false,"suffix":""},{"dropping-particle":"","family":"Ito","given":"Masaki","non-dropping-particle":"","parse-names":false,"suffix":""},{"dropping-particle":"","family":"Nakayama","given":"Naoki","non-dropping-particle":"","parse-names":false,"suffix":""},{"dropping-particle":"","family":"Kuroda","given":"Satoshi","non-dropping-particle":"","parse-names":false,"suffix":""},{"dropping-particle":"","family":"Houkin","given":"Kiyohiro","non-dropping-particle":"","parse-names":false,"suffix":""}],"container-title":"Neurosurgery","id":"ITEM-1","issue":"2","issued":{"date-parts":[["2017"]]},"page":"201-209","title":"Synergistic interactions between direct and indirect bypasses in combined procedures: The significance of indirect bypasses in moyamoya disease","type":"article-journal","volume":"80"},"uris":["http://www.mendeley.com/documents/?uuid=53ed53c9-1fc8-39f2-9db0-63c17336e17b"]}],"mendeley":{"formattedCitation":"[6]","plainTextFormattedCitation":"[6]","previouslyFormattedCitation":"[6]"},"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[6]</w:t>
      </w:r>
      <w:r w:rsidRPr="006E67EC">
        <w:rPr>
          <w:rFonts w:ascii="Times New Roman" w:hAnsi="Times New Roman" w:cs="Times New Roman"/>
        </w:rPr>
        <w:fldChar w:fldCharType="end"/>
      </w:r>
      <w:r w:rsidRPr="006E67EC">
        <w:rPr>
          <w:rFonts w:ascii="Times New Roman" w:hAnsi="Times New Roman" w:cs="Times New Roman"/>
        </w:rPr>
        <w:t xml:space="preserve"> postoperative development of</w:t>
      </w:r>
      <w:r w:rsidR="005E19F3" w:rsidRPr="006E67EC">
        <w:rPr>
          <w:rFonts w:ascii="Times New Roman" w:hAnsi="Times New Roman" w:cs="Times New Roman"/>
        </w:rPr>
        <w:t xml:space="preserve"> each</w:t>
      </w:r>
      <w:r w:rsidRPr="006E67EC">
        <w:rPr>
          <w:rFonts w:ascii="Times New Roman" w:hAnsi="Times New Roman" w:cs="Times New Roman"/>
        </w:rPr>
        <w:t xml:space="preserve"> direct and indirect surgical collaterals were dichotomized into excellent or not</w:t>
      </w:r>
      <w:r w:rsidR="005E19F3" w:rsidRPr="006E67EC">
        <w:rPr>
          <w:rFonts w:ascii="Times New Roman" w:hAnsi="Times New Roman" w:cs="Times New Roman"/>
        </w:rPr>
        <w:t>, respectively</w:t>
      </w:r>
      <w:r w:rsidRPr="006E67EC">
        <w:rPr>
          <w:rFonts w:ascii="Times New Roman" w:hAnsi="Times New Roman" w:cs="Times New Roman"/>
        </w:rPr>
        <w:t xml:space="preserve">. As defined below, the development of direct surgical collaterals was evaluated by the development of the STA, whereas that of indirect surgical collaterals was evaluated by the development of the MMA and DTA. Thus, we reviewed the caliber and course of the STA towards the site of direct anastomosis on TOF MR angiography with maximal intensity projection (MIP) reconstructions after surgery. When we were able to clearly follow the STA towards the anastomotic site with increased caliber after surgery, postoperative STA development was considered excellent. When we were unable to follow the STA to the anastomotic site with its unchanged or reduced caliber, we considered it to be fair or poor. For the indirect surgical collaterals, we compared the calibers of the MMA and DTA on MR angiography after surgery. When the caliber of both arteries increased, we considered the indirect bypass development to be excellent. When the caliber of either artery increased, we considered the indirect bypass development to be fair. In all other cases, it was considered poor. Lastly, the postoperative development of direct surgical collaterals was defined as excellent for the hemispheres with excellent STA development, and that of indirect collaterals was defined as excellent </w:t>
      </w:r>
      <w:r w:rsidRPr="006E67EC">
        <w:rPr>
          <w:rFonts w:ascii="Times New Roman" w:hAnsi="Times New Roman" w:cs="Times New Roman"/>
        </w:rPr>
        <w:lastRenderedPageBreak/>
        <w:t>for the hemispheres with excellent or fair MMA and/or DTA development. We also evaluated the relationship between direct or indirect bypass and postoperative development based on their dominancy as follows: direct dominant, indirect dominant, and dual/equal development.</w:t>
      </w:r>
    </w:p>
    <w:p w14:paraId="4E156857" w14:textId="05F8E48D" w:rsidR="007A41D3" w:rsidRPr="006E67EC" w:rsidRDefault="007A41D3" w:rsidP="007A41D3">
      <w:pPr>
        <w:pStyle w:val="Web"/>
        <w:ind w:firstLine="960"/>
        <w:jc w:val="both"/>
        <w:rPr>
          <w:rFonts w:ascii="Times New Roman" w:hAnsi="Times New Roman" w:cs="Times New Roman"/>
        </w:rPr>
      </w:pPr>
      <w:r w:rsidRPr="006E67EC">
        <w:rPr>
          <w:rFonts w:ascii="Times New Roman" w:hAnsi="Times New Roman" w:cs="Times New Roman"/>
        </w:rPr>
        <w:t>For quantitative evaluation, we reviewed MR angiography source images and measured the calibers of the STA, MMA, and DTA as previously reported.</w:t>
      </w:r>
      <w:r w:rsidRPr="006E67EC">
        <w:rPr>
          <w:rFonts w:ascii="Times New Roman" w:hAnsi="Times New Roman" w:cs="Times New Roman"/>
        </w:rPr>
        <w:fldChar w:fldCharType="begin" w:fldLock="1"/>
      </w:r>
      <w:r w:rsidR="00234F9A">
        <w:rPr>
          <w:rFonts w:ascii="Times New Roman" w:hAnsi="Times New Roman" w:cs="Times New Roman"/>
        </w:rPr>
        <w:instrText>ADDIN CSL_CITATION {"citationItems":[{"id":"ITEM-1","itemData":{"ISSN":"19330693","abstract":"OBJECTIVE The calibers of donor arteries can change dynamically after bypass surgery in patients with moyamoya disease (MMD). The present study aimed to evaluate the cutoffs of caliber changes in donor arteries associated with good surgical revascularization and to assess the impact of clinical factors potentially related to bypass development. METHODS The authors studied 71 hemispheres of 30 adults and 16 children with MMD who underwent combined direct and indirect revascularization. They quantitatively measured the calibers of the superficial temporal artery (STA), deep temporal artery (DTA), and middle meningeal artery (MMA) with MR angiography (MRA) source images and calculated the postoperative caliber change ratios (CCRs) to assess direct and indirect bypass development. These values were compared with the findings of digital subtraction angiography, in which revascularization areas were categorized into 3 groups (poor, good, and excellent). RESULTS In both adult and pediatric hemispheres, the median STA and DTA CCRs were higher in better-revascularization groups (p &lt; 0.05), while MMA CCRs were not significantly different among the groups. Receiver operating characteristic analysis revealed that the cutoff STA CCRs of &gt; 1.1 and &gt; 1.3 were associated with good direct revascularization in adult and pediatric hemispheres, respectively. Cutoff DTA CCRs of &gt; 1.6 and &gt; 1.2 were associated with good indirect revascularization in adult and pediatric hemispheres, respectively. Considering these cutoff values, STA and DTA CCRs showed high median values, irrespective of age, severity of cerebrovascular reserve, disease stage, and disease-onset type. CONCLUSIONS Caliber changes in STAs and DTAs can be easily measured using MRA, and they could be indicators of direct and indirect bypass development. The dual development of a direct and indirect bypass was most frequently observed in the context of a combined bypass procedure in both adults and children with MMD.","author":[{"dropping-particle":"","family":"Uchino","given":"Haruto","non-dropping-particle":"","parse-names":false,"suffix":""},{"dropping-particle":"","family":"Yamamoto","given":"Shusuke","non-dropping-particle":"","parse-names":false,"suffix":""},{"dropping-particle":"","family":"Kashiwazaki","given":"Daina","non-dropping-particle":"","parse-names":false,"suffix":""},{"dropping-particle":"","family":"Akioka","given":"Naoki","non-dropping-particle":"","parse-names":false,"suffix":""},{"dropping-particle":"","family":"Kuwayama","given":"Naoya","non-dropping-particle":"","parse-names":false,"suffix":""},{"dropping-particle":"","family":"Noguchi","given":"Kyo","non-dropping-particle":"","parse-names":false,"suffix":""},{"dropping-particle":"","family":"Kuroda","given":"Satoshi","non-dropping-particle":"","parse-names":false,"suffix":""}],"container-title":"Journal of Neurosurgery","id":"ITEM-1","issue":"1","issued":{"date-parts":[["2021"]]},"page":"1-9","publisher":"American Association of Neurological Surgeons","title":"Using postoperative remodeling of donor arteries on MR angiography to predict the development of surgical collaterals in moyamoya disease","type":"article-journal","volume":"134"},"uris":["http://www.mendeley.com/documents/?uuid=4dbd880b-f51b-3112-8c18-0c9a3ab97ee1"]}],"mendeley":{"formattedCitation":"[7]","plainTextFormattedCitation":"[7]","previouslyFormattedCitation":"[7]"},"properties":{"noteIndex":0},"schema":"https://github.com/citation-style-language/schema/raw/master/csl-citation.json"}</w:instrText>
      </w:r>
      <w:r w:rsidRPr="006E67EC">
        <w:rPr>
          <w:rFonts w:ascii="Times New Roman" w:hAnsi="Times New Roman" w:cs="Times New Roman"/>
        </w:rPr>
        <w:fldChar w:fldCharType="separate"/>
      </w:r>
      <w:r w:rsidR="00234F9A" w:rsidRPr="00234F9A">
        <w:rPr>
          <w:rFonts w:ascii="Times New Roman" w:hAnsi="Times New Roman" w:cs="Times New Roman"/>
          <w:noProof/>
        </w:rPr>
        <w:t>[7]</w:t>
      </w:r>
      <w:r w:rsidRPr="006E67EC">
        <w:rPr>
          <w:rFonts w:ascii="Times New Roman" w:hAnsi="Times New Roman" w:cs="Times New Roman"/>
        </w:rPr>
        <w:fldChar w:fldCharType="end"/>
      </w:r>
      <w:r w:rsidRPr="006E67EC">
        <w:rPr>
          <w:rFonts w:ascii="Times New Roman" w:hAnsi="Times New Roman" w:cs="Times New Roman"/>
        </w:rPr>
        <w:t xml:space="preserve"> For direct bypass, we compared the caliber of the STA after surgery at the proximal portion of the STA bifurcation into frontal/parietal branches. For indirect bypass, the calibers of the DTA at the most proximal portion and MMA near the foramen spinosum were measured after surgery. The caliber change ratios (CCRs) of post to preoperative calibers were calculated for each artery. The calibers of the basilar artery were also measured before and after surgery as an internal control to validate the reliability of the measurement. The mean caliber of the basilar artery was not significantly different after surgery (3.1±0.52 mm vs. 3.0±0.50 mm).</w:t>
      </w:r>
    </w:p>
    <w:p w14:paraId="11DFFF2D" w14:textId="14EF4F1D" w:rsidR="00FB2D42" w:rsidRPr="006E67EC" w:rsidRDefault="00234F9A">
      <w:pPr>
        <w:rPr>
          <w:rFonts w:ascii="Times New Roman" w:hAnsi="Times New Roman" w:cs="Times New Roman"/>
        </w:rPr>
      </w:pPr>
    </w:p>
    <w:p w14:paraId="08A8ABF6" w14:textId="77777777" w:rsidR="007A41D3" w:rsidRPr="006E67EC" w:rsidRDefault="007A41D3" w:rsidP="007A41D3">
      <w:pPr>
        <w:pStyle w:val="Web"/>
        <w:jc w:val="both"/>
        <w:rPr>
          <w:rFonts w:ascii="Times New Roman" w:hAnsi="Times New Roman" w:cs="Times New Roman"/>
        </w:rPr>
      </w:pPr>
      <w:r w:rsidRPr="006E67EC">
        <w:rPr>
          <w:rFonts w:ascii="Times New Roman" w:hAnsi="Times New Roman" w:cs="Times New Roman"/>
        </w:rPr>
        <w:t xml:space="preserve">Genetic Analysis of the </w:t>
      </w:r>
      <w:r w:rsidRPr="006E67EC">
        <w:rPr>
          <w:rFonts w:ascii="Times New Roman" w:hAnsi="Times New Roman" w:cs="Times New Roman"/>
          <w:i/>
          <w:iCs/>
        </w:rPr>
        <w:t>RNF213</w:t>
      </w:r>
      <w:r w:rsidRPr="006E67EC">
        <w:rPr>
          <w:rFonts w:ascii="Times New Roman" w:hAnsi="Times New Roman" w:cs="Times New Roman"/>
        </w:rPr>
        <w:t xml:space="preserve"> founder polymorphism (p.R4810K)</w:t>
      </w:r>
    </w:p>
    <w:p w14:paraId="49D9ABB9" w14:textId="56092B83" w:rsidR="007A41D3" w:rsidRDefault="007A41D3" w:rsidP="007A41D3">
      <w:pPr>
        <w:pStyle w:val="Web"/>
        <w:jc w:val="both"/>
        <w:rPr>
          <w:rFonts w:ascii="Times New Roman" w:hAnsi="Times New Roman" w:cs="Times New Roman"/>
        </w:rPr>
      </w:pPr>
      <w:r w:rsidRPr="006E67EC">
        <w:rPr>
          <w:rFonts w:ascii="Times New Roman" w:hAnsi="Times New Roman" w:cs="Times New Roman"/>
        </w:rPr>
        <w:t xml:space="preserve">In accordance with the institutional review board-approved protocol, written-informed consent was received for genetic analysis from MMD patients or their guardians. Whole blood samples were collected from the study participants with written informed consent, centrifuged immediately, and blood cell pellets were stored at −80 °C until further analysis at Hokkaido University Hospital Clinical Research and Medical Innovation Center. Genetic analysis was conducted at the Department of Neurosurgery of Hokkaido University by K.T. and R.T. who were blinded to clinical data. Thus, genomic DNA was extracted using the </w:t>
      </w:r>
      <w:proofErr w:type="spellStart"/>
      <w:r w:rsidRPr="006E67EC">
        <w:rPr>
          <w:rFonts w:ascii="Times New Roman" w:hAnsi="Times New Roman" w:cs="Times New Roman"/>
        </w:rPr>
        <w:t>QIAsymphony</w:t>
      </w:r>
      <w:proofErr w:type="spellEnd"/>
      <w:r w:rsidRPr="006E67EC">
        <w:rPr>
          <w:rFonts w:ascii="Times New Roman" w:hAnsi="Times New Roman" w:cs="Times New Roman"/>
        </w:rPr>
        <w:t xml:space="preserve"> DSP DNA Midi Kit (937255, QIAGEN, Hilden, Germany) from the blood cells. Real-time polymerase chain reaction (PCR) was performed using Light Cycler 96 (Roche, Mannheim, Germany). PCR reaction mixtures were prepared using the </w:t>
      </w:r>
      <w:proofErr w:type="spellStart"/>
      <w:r w:rsidRPr="006E67EC">
        <w:rPr>
          <w:rFonts w:ascii="Times New Roman" w:hAnsi="Times New Roman" w:cs="Times New Roman"/>
        </w:rPr>
        <w:t>Taqman</w:t>
      </w:r>
      <w:proofErr w:type="spellEnd"/>
      <w:r w:rsidRPr="006E67EC">
        <w:rPr>
          <w:rFonts w:ascii="Times New Roman" w:hAnsi="Times New Roman" w:cs="Times New Roman"/>
        </w:rPr>
        <w:t xml:space="preserve"> genotyping master mix (4371355, Applied Biosystems, Foster City, CA, USA) and </w:t>
      </w:r>
      <w:proofErr w:type="spellStart"/>
      <w:r w:rsidRPr="006E67EC">
        <w:rPr>
          <w:rFonts w:ascii="Times New Roman" w:hAnsi="Times New Roman" w:cs="Times New Roman"/>
        </w:rPr>
        <w:t>Taqman</w:t>
      </w:r>
      <w:proofErr w:type="spellEnd"/>
      <w:r w:rsidRPr="006E67EC">
        <w:rPr>
          <w:rFonts w:ascii="Times New Roman" w:hAnsi="Times New Roman" w:cs="Times New Roman"/>
        </w:rPr>
        <w:t xml:space="preserve"> single nucleotide polymorphism genotyping assay (4351379, Thermo Fisher Scientific, Waltham, MA, USA) to identify </w:t>
      </w:r>
      <w:r w:rsidRPr="006E67EC">
        <w:rPr>
          <w:rFonts w:ascii="Times New Roman" w:hAnsi="Times New Roman" w:cs="Times New Roman"/>
          <w:i/>
          <w:iCs/>
        </w:rPr>
        <w:t>RNF21</w:t>
      </w:r>
      <w:r w:rsidRPr="006E67EC">
        <w:rPr>
          <w:rFonts w:ascii="Times New Roman" w:hAnsi="Times New Roman" w:cs="Times New Roman"/>
        </w:rPr>
        <w:t>3 founder mutation (</w:t>
      </w:r>
      <w:r w:rsidR="00234F9A">
        <w:rPr>
          <w:rFonts w:ascii="Times New Roman" w:hAnsi="Times New Roman" w:cs="Times New Roman"/>
        </w:rPr>
        <w:t>p.R4810K</w:t>
      </w:r>
      <w:r w:rsidRPr="006E67EC">
        <w:rPr>
          <w:rFonts w:ascii="Times New Roman" w:hAnsi="Times New Roman" w:cs="Times New Roman"/>
        </w:rPr>
        <w:t xml:space="preserve">). According to the manufacturer’s instructions, the thermal cycling </w:t>
      </w:r>
      <w:r w:rsidRPr="006E67EC">
        <w:rPr>
          <w:rFonts w:ascii="Times New Roman" w:hAnsi="Times New Roman" w:cs="Times New Roman"/>
        </w:rPr>
        <w:lastRenderedPageBreak/>
        <w:t xml:space="preserve">conditions were as follows: primary enzyme activation at 95°C for 10 minutes, followed by 40 cycles of denaturation at 95°C for 15 seconds, and annealing and extension at 60°C for 1 minute. After PCR amplification, an endpoint plate read was performed on the real-time PCR instrument to determine the allele type in each sample (p.R4810K, rs112735431, c.14429G&gt;A located at </w:t>
      </w:r>
      <w:proofErr w:type="spellStart"/>
      <w:r w:rsidRPr="006E67EC">
        <w:rPr>
          <w:rFonts w:ascii="Times New Roman" w:hAnsi="Times New Roman" w:cs="Times New Roman"/>
        </w:rPr>
        <w:t>chr</w:t>
      </w:r>
      <w:proofErr w:type="spellEnd"/>
      <w:r w:rsidRPr="006E67EC">
        <w:rPr>
          <w:rFonts w:ascii="Times New Roman" w:hAnsi="Times New Roman" w:cs="Times New Roman"/>
        </w:rPr>
        <w:t xml:space="preserve"> 17:80385145 [GRCh38.p12], </w:t>
      </w:r>
      <w:r w:rsidR="00234F9A">
        <w:rPr>
          <w:rFonts w:ascii="Times New Roman" w:hAnsi="Times New Roman" w:cs="Times New Roman"/>
        </w:rPr>
        <w:t>https://www.ncbi.nlm.nih.gov/snp/rs112735431</w:t>
      </w:r>
      <w:r w:rsidRPr="006E67EC">
        <w:rPr>
          <w:rFonts w:ascii="Times New Roman" w:hAnsi="Times New Roman" w:cs="Times New Roman"/>
        </w:rPr>
        <w:t>).</w:t>
      </w:r>
    </w:p>
    <w:p w14:paraId="4D250097" w14:textId="14A83DC2" w:rsidR="00234F9A" w:rsidRDefault="00234F9A" w:rsidP="007A41D3">
      <w:pPr>
        <w:pStyle w:val="Web"/>
        <w:jc w:val="both"/>
        <w:rPr>
          <w:rFonts w:ascii="Times New Roman" w:hAnsi="Times New Roman" w:cs="Times New Roman"/>
        </w:rPr>
      </w:pPr>
    </w:p>
    <w:p w14:paraId="1556080E" w14:textId="5B117514" w:rsidR="00234F9A" w:rsidRDefault="00234F9A" w:rsidP="00234F9A">
      <w:pPr>
        <w:pStyle w:val="Web"/>
        <w:jc w:val="both"/>
        <w:rPr>
          <w:rFonts w:ascii="Times New Roman" w:hAnsi="Times New Roman" w:cs="Times New Roman" w:hint="eastAsia"/>
        </w:rPr>
      </w:pPr>
      <w:r>
        <w:rPr>
          <w:rFonts w:ascii="Times New Roman" w:hAnsi="Times New Roman" w:cs="Times New Roman" w:hint="eastAsia"/>
        </w:rPr>
        <w:t>R</w:t>
      </w:r>
      <w:r>
        <w:rPr>
          <w:rFonts w:ascii="Times New Roman" w:hAnsi="Times New Roman" w:cs="Times New Roman"/>
        </w:rPr>
        <w:t>eference</w:t>
      </w:r>
    </w:p>
    <w:p w14:paraId="2D3B52E2" w14:textId="325F7F6D" w:rsidR="00234F9A" w:rsidRPr="00234F9A" w:rsidRDefault="00234F9A" w:rsidP="00234F9A">
      <w:pPr>
        <w:autoSpaceDE w:val="0"/>
        <w:autoSpaceDN w:val="0"/>
        <w:adjustRightInd w:val="0"/>
        <w:spacing w:before="100" w:after="100"/>
        <w:ind w:left="640" w:hanging="640"/>
        <w:rPr>
          <w:rFonts w:ascii="Times New Roman" w:hAnsi="Times New Roman" w:cs="Times New Roman"/>
          <w:noProof/>
          <w:kern w:val="0"/>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Pr="00234F9A">
        <w:rPr>
          <w:rFonts w:ascii="Times New Roman" w:hAnsi="Times New Roman" w:cs="Times New Roman"/>
          <w:noProof/>
          <w:kern w:val="0"/>
        </w:rPr>
        <w:t xml:space="preserve">1. </w:t>
      </w:r>
      <w:r w:rsidRPr="00234F9A">
        <w:rPr>
          <w:rFonts w:ascii="Times New Roman" w:hAnsi="Times New Roman" w:cs="Times New Roman"/>
          <w:noProof/>
          <w:kern w:val="0"/>
        </w:rPr>
        <w:tab/>
        <w:t>Houkin K, Kamiyama H, Takahashi A, Kuroda S, Abe H (1997) Combined revascularization surgery for childhood moyamoya disease: STA-MCA and encephalo-duro-arterio-myo-synangiosis. Child’s Nerv Syst 13:24–29</w:t>
      </w:r>
    </w:p>
    <w:p w14:paraId="57E77F78" w14:textId="77777777" w:rsidR="00234F9A" w:rsidRPr="00234F9A" w:rsidRDefault="00234F9A" w:rsidP="00234F9A">
      <w:pPr>
        <w:autoSpaceDE w:val="0"/>
        <w:autoSpaceDN w:val="0"/>
        <w:adjustRightInd w:val="0"/>
        <w:spacing w:before="100" w:after="100"/>
        <w:ind w:left="640" w:hanging="640"/>
        <w:rPr>
          <w:rFonts w:ascii="Times New Roman" w:hAnsi="Times New Roman" w:cs="Times New Roman"/>
          <w:noProof/>
          <w:kern w:val="0"/>
        </w:rPr>
      </w:pPr>
      <w:r w:rsidRPr="00234F9A">
        <w:rPr>
          <w:rFonts w:ascii="Times New Roman" w:hAnsi="Times New Roman" w:cs="Times New Roman"/>
          <w:noProof/>
          <w:kern w:val="0"/>
        </w:rPr>
        <w:t xml:space="preserve">2. </w:t>
      </w:r>
      <w:r w:rsidRPr="00234F9A">
        <w:rPr>
          <w:rFonts w:ascii="Times New Roman" w:hAnsi="Times New Roman" w:cs="Times New Roman"/>
          <w:noProof/>
          <w:kern w:val="0"/>
        </w:rPr>
        <w:tab/>
        <w:t>Houkin K, Nakayama N, Kuroda S, Nonaka T, Shonai T, Yoshimoto T (2005) Novel magnetic resonance angiography stage grading for moyamoya disease. Cerebrovasc Dis 20:347–54</w:t>
      </w:r>
    </w:p>
    <w:p w14:paraId="6711F07D" w14:textId="77777777" w:rsidR="00234F9A" w:rsidRPr="00234F9A" w:rsidRDefault="00234F9A" w:rsidP="00234F9A">
      <w:pPr>
        <w:autoSpaceDE w:val="0"/>
        <w:autoSpaceDN w:val="0"/>
        <w:adjustRightInd w:val="0"/>
        <w:spacing w:before="100" w:after="100"/>
        <w:ind w:left="640" w:hanging="640"/>
        <w:rPr>
          <w:rFonts w:ascii="Times New Roman" w:hAnsi="Times New Roman" w:cs="Times New Roman"/>
          <w:noProof/>
          <w:kern w:val="0"/>
        </w:rPr>
      </w:pPr>
      <w:r w:rsidRPr="00234F9A">
        <w:rPr>
          <w:rFonts w:ascii="Times New Roman" w:hAnsi="Times New Roman" w:cs="Times New Roman"/>
          <w:noProof/>
          <w:kern w:val="0"/>
        </w:rPr>
        <w:t xml:space="preserve">3. </w:t>
      </w:r>
      <w:r w:rsidRPr="00234F9A">
        <w:rPr>
          <w:rFonts w:ascii="Times New Roman" w:hAnsi="Times New Roman" w:cs="Times New Roman"/>
          <w:noProof/>
          <w:kern w:val="0"/>
        </w:rPr>
        <w:tab/>
        <w:t>Kazumata K, Tha KK, Narita H, Shichinohe H, Ito M, Uchino H, Abumiya T (2016) Investigating Brain Network Characteristics Interrupted by Covert White Matter Injury in Patients with Moyamoya Disease: Insights from Graph Theoretical Analysis. World Neurosurg 89:654-665.e2</w:t>
      </w:r>
    </w:p>
    <w:p w14:paraId="3643D9B5" w14:textId="77777777" w:rsidR="00234F9A" w:rsidRPr="00234F9A" w:rsidRDefault="00234F9A" w:rsidP="00234F9A">
      <w:pPr>
        <w:autoSpaceDE w:val="0"/>
        <w:autoSpaceDN w:val="0"/>
        <w:adjustRightInd w:val="0"/>
        <w:spacing w:before="100" w:after="100"/>
        <w:ind w:left="640" w:hanging="640"/>
        <w:rPr>
          <w:rFonts w:ascii="Times New Roman" w:hAnsi="Times New Roman" w:cs="Times New Roman"/>
          <w:noProof/>
          <w:kern w:val="0"/>
        </w:rPr>
      </w:pPr>
      <w:r w:rsidRPr="00234F9A">
        <w:rPr>
          <w:rFonts w:ascii="Times New Roman" w:hAnsi="Times New Roman" w:cs="Times New Roman"/>
          <w:noProof/>
          <w:kern w:val="0"/>
        </w:rPr>
        <w:t xml:space="preserve">4. </w:t>
      </w:r>
      <w:r w:rsidRPr="00234F9A">
        <w:rPr>
          <w:rFonts w:ascii="Times New Roman" w:hAnsi="Times New Roman" w:cs="Times New Roman"/>
          <w:noProof/>
          <w:kern w:val="0"/>
        </w:rPr>
        <w:tab/>
        <w:t>Kuroda S, Houkin K, Ishikawa T, Nakayama N, Iwasaki Y (2010) Novel bypass surgery for moyamoya disease using pericranial flap: Its impacts on cerebral hemodynamics and long-term outcome. Neurosurgery 66:1093–1101</w:t>
      </w:r>
    </w:p>
    <w:p w14:paraId="6403B69D" w14:textId="77777777" w:rsidR="00234F9A" w:rsidRPr="00234F9A" w:rsidRDefault="00234F9A" w:rsidP="00234F9A">
      <w:pPr>
        <w:autoSpaceDE w:val="0"/>
        <w:autoSpaceDN w:val="0"/>
        <w:adjustRightInd w:val="0"/>
        <w:spacing w:before="100" w:after="100"/>
        <w:ind w:left="640" w:hanging="640"/>
        <w:rPr>
          <w:rFonts w:ascii="Times New Roman" w:hAnsi="Times New Roman" w:cs="Times New Roman"/>
          <w:noProof/>
          <w:kern w:val="0"/>
        </w:rPr>
      </w:pPr>
      <w:r w:rsidRPr="00234F9A">
        <w:rPr>
          <w:rFonts w:ascii="Times New Roman" w:hAnsi="Times New Roman" w:cs="Times New Roman"/>
          <w:noProof/>
          <w:kern w:val="0"/>
        </w:rPr>
        <w:t xml:space="preserve">5. </w:t>
      </w:r>
      <w:r w:rsidRPr="00234F9A">
        <w:rPr>
          <w:rFonts w:ascii="Times New Roman" w:hAnsi="Times New Roman" w:cs="Times New Roman"/>
          <w:noProof/>
          <w:kern w:val="0"/>
        </w:rPr>
        <w:tab/>
        <w:t>Research Committee on the Pathology and Treatment of Spontaneous Occlusion of the Circle of Willis, Health Labour Sciences Research Grant for Research on Measures for Infractable Diseases (2012) Guidelines for diagnosis and treatment of moyamoya disease (spontaneous occlusion of the circle of Willis). Neurol medico-chirurgica 52:245–266</w:t>
      </w:r>
    </w:p>
    <w:p w14:paraId="7D819845" w14:textId="77777777" w:rsidR="00234F9A" w:rsidRPr="00234F9A" w:rsidRDefault="00234F9A" w:rsidP="00234F9A">
      <w:pPr>
        <w:autoSpaceDE w:val="0"/>
        <w:autoSpaceDN w:val="0"/>
        <w:adjustRightInd w:val="0"/>
        <w:spacing w:before="100" w:after="100"/>
        <w:ind w:left="640" w:hanging="640"/>
        <w:rPr>
          <w:rFonts w:ascii="Times New Roman" w:hAnsi="Times New Roman" w:cs="Times New Roman"/>
          <w:noProof/>
          <w:kern w:val="0"/>
        </w:rPr>
      </w:pPr>
      <w:r w:rsidRPr="00234F9A">
        <w:rPr>
          <w:rFonts w:ascii="Times New Roman" w:hAnsi="Times New Roman" w:cs="Times New Roman"/>
          <w:noProof/>
          <w:kern w:val="0"/>
        </w:rPr>
        <w:t xml:space="preserve">6. </w:t>
      </w:r>
      <w:r w:rsidRPr="00234F9A">
        <w:rPr>
          <w:rFonts w:ascii="Times New Roman" w:hAnsi="Times New Roman" w:cs="Times New Roman"/>
          <w:noProof/>
          <w:kern w:val="0"/>
        </w:rPr>
        <w:tab/>
        <w:t xml:space="preserve">Uchino H, Kim JH, Fujima N, Kazumata K, Ito M, Nakayama N, Kuroda S, Houkin K (2017) Synergistic interactions between direct and indirect bypasses in combined procedures: The significance of indirect bypasses in moyamoya disease. </w:t>
      </w:r>
      <w:r w:rsidRPr="00234F9A">
        <w:rPr>
          <w:rFonts w:ascii="Times New Roman" w:hAnsi="Times New Roman" w:cs="Times New Roman"/>
          <w:noProof/>
          <w:kern w:val="0"/>
        </w:rPr>
        <w:lastRenderedPageBreak/>
        <w:t>Neurosurgery 80:201–209</w:t>
      </w:r>
    </w:p>
    <w:p w14:paraId="6FBB9D34" w14:textId="77777777" w:rsidR="00234F9A" w:rsidRPr="00234F9A" w:rsidRDefault="00234F9A" w:rsidP="00234F9A">
      <w:pPr>
        <w:autoSpaceDE w:val="0"/>
        <w:autoSpaceDN w:val="0"/>
        <w:adjustRightInd w:val="0"/>
        <w:spacing w:before="100" w:after="100"/>
        <w:ind w:left="640" w:hanging="640"/>
        <w:rPr>
          <w:rFonts w:ascii="Times New Roman" w:hAnsi="Times New Roman" w:cs="Times New Roman"/>
          <w:noProof/>
        </w:rPr>
      </w:pPr>
      <w:r w:rsidRPr="00234F9A">
        <w:rPr>
          <w:rFonts w:ascii="Times New Roman" w:hAnsi="Times New Roman" w:cs="Times New Roman"/>
          <w:noProof/>
          <w:kern w:val="0"/>
        </w:rPr>
        <w:t xml:space="preserve">7. </w:t>
      </w:r>
      <w:r w:rsidRPr="00234F9A">
        <w:rPr>
          <w:rFonts w:ascii="Times New Roman" w:hAnsi="Times New Roman" w:cs="Times New Roman"/>
          <w:noProof/>
          <w:kern w:val="0"/>
        </w:rPr>
        <w:tab/>
        <w:t>Uchino H, Yamamoto S, Kashiwazaki D, Akioka N, Kuwayama N, Noguchi K, Kuroda S (2021) Using postoperative remodeling of donor arteries on MR angiography to predict the development of surgical collaterals in moyamoya disease. J Neurosurg 134:1–9</w:t>
      </w:r>
    </w:p>
    <w:p w14:paraId="750F31D6" w14:textId="0B8AC3C3" w:rsidR="00234F9A" w:rsidRPr="00234F9A" w:rsidRDefault="00234F9A" w:rsidP="00234F9A">
      <w:pPr>
        <w:pStyle w:val="Web"/>
        <w:jc w:val="both"/>
        <w:rPr>
          <w:rFonts w:ascii="Times New Roman" w:hAnsi="Times New Roman" w:cs="Times New Roman" w:hint="eastAsia"/>
        </w:rPr>
      </w:pPr>
      <w:r>
        <w:rPr>
          <w:rFonts w:ascii="Times New Roman" w:hAnsi="Times New Roman" w:cs="Times New Roman"/>
        </w:rPr>
        <w:fldChar w:fldCharType="end"/>
      </w:r>
    </w:p>
    <w:p w14:paraId="3BBACF1F" w14:textId="04571C76" w:rsidR="006E67EC" w:rsidRPr="006E67EC" w:rsidRDefault="006E67EC">
      <w:pPr>
        <w:widowControl/>
        <w:jc w:val="left"/>
        <w:rPr>
          <w:rFonts w:ascii="Times New Roman" w:hAnsi="Times New Roman" w:cs="Times New Roman"/>
        </w:rPr>
      </w:pPr>
      <w:r w:rsidRPr="006E67EC">
        <w:rPr>
          <w:rFonts w:ascii="Times New Roman" w:hAnsi="Times New Roman" w:cs="Times New Roman"/>
        </w:rPr>
        <w:br w:type="page"/>
      </w:r>
    </w:p>
    <w:p w14:paraId="1CEB958A" w14:textId="473D0B8B" w:rsidR="007A41D3" w:rsidRPr="006E67EC" w:rsidRDefault="006E67EC">
      <w:pPr>
        <w:rPr>
          <w:rFonts w:ascii="Times New Roman" w:hAnsi="Times New Roman" w:cs="Times New Roman"/>
        </w:rPr>
      </w:pPr>
      <w:r w:rsidRPr="006E67EC">
        <w:rPr>
          <w:rFonts w:ascii="Times New Roman" w:hAnsi="Times New Roman" w:cs="Times New Roman"/>
        </w:rPr>
        <w:lastRenderedPageBreak/>
        <w:t>Legends for supplementary figures</w:t>
      </w:r>
    </w:p>
    <w:p w14:paraId="0BF0A1CD" w14:textId="650E1493" w:rsidR="006E67EC" w:rsidRPr="006E67EC" w:rsidRDefault="006E67EC">
      <w:pPr>
        <w:rPr>
          <w:rFonts w:ascii="Times New Roman" w:hAnsi="Times New Roman" w:cs="Times New Roman"/>
        </w:rPr>
      </w:pPr>
    </w:p>
    <w:p w14:paraId="75825AD6" w14:textId="6604B475" w:rsidR="006E67EC" w:rsidRPr="006E67EC" w:rsidRDefault="006E67EC" w:rsidP="006E67EC">
      <w:pPr>
        <w:pStyle w:val="Web"/>
        <w:jc w:val="both"/>
        <w:rPr>
          <w:rFonts w:ascii="Times New Roman" w:hAnsi="Times New Roman" w:cs="Times New Roman"/>
        </w:rPr>
      </w:pPr>
      <w:r w:rsidRPr="006E67EC">
        <w:rPr>
          <w:rFonts w:ascii="Times New Roman" w:hAnsi="Times New Roman" w:cs="Times New Roman"/>
        </w:rPr>
        <w:t xml:space="preserve">Supplementary figure </w:t>
      </w:r>
      <w:r w:rsidR="00234F9A">
        <w:rPr>
          <w:rFonts w:ascii="Times New Roman" w:hAnsi="Times New Roman" w:cs="Times New Roman"/>
        </w:rPr>
        <w:t>1</w:t>
      </w:r>
      <w:r>
        <w:rPr>
          <w:rFonts w:ascii="Times New Roman" w:hAnsi="Times New Roman" w:cs="Times New Roman"/>
        </w:rPr>
        <w:t xml:space="preserve">: </w:t>
      </w:r>
      <w:r w:rsidRPr="006E67EC">
        <w:rPr>
          <w:rFonts w:ascii="Times New Roman" w:hAnsi="Times New Roman" w:cs="Times New Roman"/>
        </w:rPr>
        <w:t>The independent factors correlated with excellent development of indirect surgical collaterals after combined bypass in adult MMD.</w:t>
      </w:r>
    </w:p>
    <w:p w14:paraId="59095B2D" w14:textId="2153D637" w:rsidR="006E67EC" w:rsidRDefault="006E67EC" w:rsidP="006E67EC">
      <w:pPr>
        <w:pStyle w:val="Web"/>
        <w:jc w:val="both"/>
        <w:rPr>
          <w:rFonts w:ascii="Times New Roman" w:hAnsi="Times New Roman" w:cs="Times New Roman"/>
        </w:rPr>
      </w:pPr>
      <w:r w:rsidRPr="00D47203">
        <w:rPr>
          <w:rFonts w:ascii="Times New Roman" w:hAnsi="Times New Roman" w:cs="Times New Roman"/>
          <w:b/>
          <w:bCs/>
        </w:rPr>
        <w:t xml:space="preserve">(A-C) </w:t>
      </w:r>
      <w:r w:rsidRPr="00D47203">
        <w:rPr>
          <w:rFonts w:ascii="Times New Roman" w:hAnsi="Times New Roman" w:cs="Times New Roman"/>
        </w:rPr>
        <w:t xml:space="preserve">Stacked bars indicate significant positive correlations of excellent indirect bypass development with the </w:t>
      </w:r>
      <w:r w:rsidRPr="00D47203">
        <w:rPr>
          <w:rFonts w:ascii="Times New Roman" w:hAnsi="Times New Roman" w:cs="Times New Roman"/>
          <w:i/>
          <w:iCs/>
        </w:rPr>
        <w:t>RNF213</w:t>
      </w:r>
      <w:r w:rsidRPr="00D47203">
        <w:rPr>
          <w:rFonts w:ascii="Times New Roman" w:hAnsi="Times New Roman" w:cs="Times New Roman"/>
        </w:rPr>
        <w:t xml:space="preserve"> founder mutation (adjusted odds ratio [OR], 4.0) </w:t>
      </w:r>
      <w:r w:rsidRPr="00D47203">
        <w:rPr>
          <w:rFonts w:ascii="Times New Roman" w:hAnsi="Times New Roman" w:cs="Times New Roman"/>
          <w:b/>
          <w:bCs/>
        </w:rPr>
        <w:t>(A)</w:t>
      </w:r>
      <w:r w:rsidRPr="00D47203">
        <w:rPr>
          <w:rFonts w:ascii="Times New Roman" w:hAnsi="Times New Roman" w:cs="Times New Roman"/>
        </w:rPr>
        <w:t xml:space="preserve">, advanced MR angiographical grade (adjusted OR, 13 in stage 3; 9.5 in stage 4) </w:t>
      </w:r>
      <w:r w:rsidRPr="00D47203">
        <w:rPr>
          <w:rFonts w:ascii="Times New Roman" w:hAnsi="Times New Roman" w:cs="Times New Roman"/>
          <w:b/>
          <w:bCs/>
        </w:rPr>
        <w:t>(B)</w:t>
      </w:r>
      <w:r w:rsidRPr="00D47203">
        <w:rPr>
          <w:rFonts w:ascii="Times New Roman" w:hAnsi="Times New Roman" w:cs="Times New Roman"/>
        </w:rPr>
        <w:t>, and preoperative caliber of the middle meningeal artery (MMA, adjusted OR, 6.8)</w:t>
      </w:r>
      <w:r w:rsidRPr="00D47203">
        <w:rPr>
          <w:rFonts w:ascii="Times New Roman" w:hAnsi="Times New Roman" w:cs="Times New Roman"/>
          <w:b/>
          <w:bCs/>
        </w:rPr>
        <w:t xml:space="preserve"> (C)</w:t>
      </w:r>
      <w:r w:rsidRPr="00D47203">
        <w:rPr>
          <w:rFonts w:ascii="Times New Roman" w:hAnsi="Times New Roman" w:cs="Times New Roman"/>
        </w:rPr>
        <w:t>.</w:t>
      </w:r>
      <w:r w:rsidRPr="00D47203">
        <w:rPr>
          <w:rFonts w:ascii="Times New Roman" w:hAnsi="Times New Roman" w:cs="Times New Roman"/>
          <w:b/>
          <w:bCs/>
        </w:rPr>
        <w:t xml:space="preserve"> (D) </w:t>
      </w:r>
      <w:r w:rsidRPr="00D47203">
        <w:rPr>
          <w:rFonts w:ascii="Times New Roman" w:hAnsi="Times New Roman" w:cs="Times New Roman"/>
        </w:rPr>
        <w:t xml:space="preserve">Significant negative correlations were noted between excellent indirect bypass development and excellent direct bypass development (adjusted OR, 0.17). *P &lt;0.05, *P &lt;0.001, multivariate logistic regression analysis. </w:t>
      </w:r>
    </w:p>
    <w:p w14:paraId="13D2F9DD" w14:textId="77777777" w:rsidR="006E67EC" w:rsidRPr="006E67EC" w:rsidRDefault="006E67EC" w:rsidP="006E67EC">
      <w:pPr>
        <w:rPr>
          <w:rFonts w:ascii="Times New Roman" w:hAnsi="Times New Roman" w:cs="Times New Roman"/>
        </w:rPr>
      </w:pPr>
    </w:p>
    <w:p w14:paraId="1E9C9B83" w14:textId="568FAC47" w:rsidR="006E67EC" w:rsidRPr="00D47203" w:rsidRDefault="006E67EC" w:rsidP="006E67EC">
      <w:pPr>
        <w:pStyle w:val="Web"/>
        <w:jc w:val="both"/>
        <w:rPr>
          <w:rFonts w:ascii="Times New Roman" w:hAnsi="Times New Roman" w:cs="Times New Roman"/>
          <w:b/>
          <w:bCs/>
        </w:rPr>
      </w:pPr>
      <w:r w:rsidRPr="006E67EC">
        <w:rPr>
          <w:rFonts w:ascii="Times New Roman" w:hAnsi="Times New Roman" w:cs="Times New Roman"/>
        </w:rPr>
        <w:t xml:space="preserve">Supplementary figure </w:t>
      </w:r>
      <w:r w:rsidR="00234F9A">
        <w:rPr>
          <w:rFonts w:ascii="Times New Roman" w:hAnsi="Times New Roman" w:cs="Times New Roman"/>
        </w:rPr>
        <w:t>2</w:t>
      </w:r>
      <w:r>
        <w:rPr>
          <w:rFonts w:ascii="Times New Roman" w:hAnsi="Times New Roman" w:cs="Times New Roman"/>
        </w:rPr>
        <w:t xml:space="preserve">: </w:t>
      </w:r>
      <w:r w:rsidRPr="006E67EC">
        <w:rPr>
          <w:rFonts w:ascii="Times New Roman" w:hAnsi="Times New Roman" w:cs="Times New Roman"/>
        </w:rPr>
        <w:t>The independent factors correlated with the excellent development of direct surgical collaterals after combined bypass in adult MMD.</w:t>
      </w:r>
    </w:p>
    <w:p w14:paraId="7906B885" w14:textId="77777777" w:rsidR="006E67EC" w:rsidRPr="00D47203" w:rsidRDefault="006E67EC" w:rsidP="006E67EC">
      <w:pPr>
        <w:pStyle w:val="Web"/>
        <w:jc w:val="both"/>
        <w:rPr>
          <w:rFonts w:ascii="Times New Roman" w:hAnsi="Times New Roman" w:cs="Times New Roman"/>
        </w:rPr>
      </w:pPr>
      <w:r w:rsidRPr="00D47203">
        <w:rPr>
          <w:rFonts w:ascii="Times New Roman" w:hAnsi="Times New Roman" w:cs="Times New Roman"/>
        </w:rPr>
        <w:t xml:space="preserve">Stacked bars indicate significant negative correlations between excellent direct bypass development and the comorbid condition of dyslipidemia (adjusted OR, 0.27) </w:t>
      </w:r>
      <w:r w:rsidRPr="00D47203">
        <w:rPr>
          <w:rFonts w:ascii="Times New Roman" w:hAnsi="Times New Roman" w:cs="Times New Roman"/>
          <w:b/>
          <w:bCs/>
        </w:rPr>
        <w:t xml:space="preserve">(A) </w:t>
      </w:r>
      <w:r w:rsidRPr="00D47203">
        <w:rPr>
          <w:rFonts w:ascii="Times New Roman" w:hAnsi="Times New Roman" w:cs="Times New Roman"/>
        </w:rPr>
        <w:t xml:space="preserve">and excellent indirect bypass development (adjusted OR, 0.23) </w:t>
      </w:r>
      <w:r w:rsidRPr="00D47203">
        <w:rPr>
          <w:rFonts w:ascii="Times New Roman" w:hAnsi="Times New Roman" w:cs="Times New Roman"/>
          <w:b/>
          <w:bCs/>
        </w:rPr>
        <w:t>(B)</w:t>
      </w:r>
      <w:r w:rsidRPr="00D47203">
        <w:rPr>
          <w:rFonts w:ascii="Times New Roman" w:hAnsi="Times New Roman" w:cs="Times New Roman"/>
        </w:rPr>
        <w:t>. *P &lt;0.05, multivariate logistic regression analysis.</w:t>
      </w:r>
    </w:p>
    <w:p w14:paraId="5416B1CA" w14:textId="77777777" w:rsidR="006E67EC" w:rsidRPr="006E67EC" w:rsidRDefault="006E67EC">
      <w:pPr>
        <w:rPr>
          <w:rFonts w:ascii="Times New Roman" w:hAnsi="Times New Roman" w:cs="Times New Roman"/>
        </w:rPr>
      </w:pPr>
    </w:p>
    <w:sectPr w:rsidR="006E67EC" w:rsidRPr="006E67EC" w:rsidSect="00AC630B">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1D3"/>
    <w:rsid w:val="00092FF9"/>
    <w:rsid w:val="00234F9A"/>
    <w:rsid w:val="00507C73"/>
    <w:rsid w:val="00546230"/>
    <w:rsid w:val="005E19F3"/>
    <w:rsid w:val="006E67EC"/>
    <w:rsid w:val="006F7EAA"/>
    <w:rsid w:val="007A41D3"/>
    <w:rsid w:val="00AC630B"/>
    <w:rsid w:val="00DC66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F43FBE1"/>
  <w14:defaultImageDpi w14:val="32767"/>
  <w15:chartTrackingRefBased/>
  <w15:docId w15:val="{6EA34AE7-DF82-CF4A-8B36-891159513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7A41D3"/>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3">
    <w:name w:val="Hyperlink"/>
    <w:basedOn w:val="a0"/>
    <w:uiPriority w:val="99"/>
    <w:unhideWhenUsed/>
    <w:rsid w:val="00234F9A"/>
    <w:rPr>
      <w:color w:val="0563C1" w:themeColor="hyperlink"/>
      <w:u w:val="single"/>
    </w:rPr>
  </w:style>
  <w:style w:type="character" w:styleId="a4">
    <w:name w:val="Unresolved Mention"/>
    <w:basedOn w:val="a0"/>
    <w:uiPriority w:val="99"/>
    <w:rsid w:val="00234F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605D8-3DE2-AF48-AE97-82ABB2B54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6</Pages>
  <Words>5651</Words>
  <Characters>32217</Characters>
  <Application>Microsoft Office Word</Application>
  <DocSecurity>0</DocSecurity>
  <Lines>268</Lines>
  <Paragraphs>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伊東 雅基</dc:creator>
  <cp:keywords/>
  <dc:description/>
  <cp:lastModifiedBy>伊東 雅基</cp:lastModifiedBy>
  <cp:revision>5</cp:revision>
  <dcterms:created xsi:type="dcterms:W3CDTF">2021-07-30T15:19:00Z</dcterms:created>
  <dcterms:modified xsi:type="dcterms:W3CDTF">2021-08-02T13:28:00Z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http://www.zotero.org/styles/neurosurgical-review</vt:lpwstr>
  </property>
  <property fmtid="{D5CDD505-2E9C-101B-9397-08002B2CF9AE}" pid="4" name="Mendeley Unique User Id_1">
    <vt:lpwstr>1e4009ce-cb9f-329c-94da-ef27ac84a1fa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http://www.zotero.org/styles/journal-of-neurosurgery</vt:lpwstr>
  </property>
  <property fmtid="{D5CDD505-2E9C-101B-9397-08002B2CF9AE}" pid="14" name="Mendeley Recent Style Name 4_1">
    <vt:lpwstr>Journal of Neurosurgery</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http://www.zotero.org/styles/neurosurgical-review</vt:lpwstr>
  </property>
  <property fmtid="{D5CDD505-2E9C-101B-9397-08002B2CF9AE}" pid="18" name="Mendeley Recent Style Name 6_1">
    <vt:lpwstr>Neurosurgical Review</vt:lpwstr>
  </property>
  <property fmtid="{D5CDD505-2E9C-101B-9397-08002B2CF9AE}" pid="19" name="Mendeley Recent Style Id 7_1">
    <vt:lpwstr>http://www.zotero.org/styles/plos-one</vt:lpwstr>
  </property>
  <property fmtid="{D5CDD505-2E9C-101B-9397-08002B2CF9AE}" pid="20" name="Mendeley Recent Style Name 7_1">
    <vt:lpwstr>PLOS ONE</vt:lpwstr>
  </property>
  <property fmtid="{D5CDD505-2E9C-101B-9397-08002B2CF9AE}" pid="21" name="Mendeley Recent Style Id 8_1">
    <vt:lpwstr>http://www.zotero.org/styles/pnas</vt:lpwstr>
  </property>
  <property fmtid="{D5CDD505-2E9C-101B-9397-08002B2CF9AE}" pid="22" name="Mendeley Recent Style Name 8_1">
    <vt:lpwstr>Proceedings of the National Academy of Sciences of the United States of America</vt:lpwstr>
  </property>
  <property fmtid="{D5CDD505-2E9C-101B-9397-08002B2CF9AE}" pid="23" name="Mendeley Recent Style Id 9_1">
    <vt:lpwstr>http://www.zotero.org/styles/springer-basic-brackets-no-et-al-alphabetical</vt:lpwstr>
  </property>
  <property fmtid="{D5CDD505-2E9C-101B-9397-08002B2CF9AE}" pid="24" name="Mendeley Recent Style Name 9_1">
    <vt:lpwstr>Springer - Basic (numeric, brackets, no "et al.", alphabetical)</vt:lpwstr>
  </property>
</Properties>
</file>