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206E94" w14:textId="77777777" w:rsidR="006D123D" w:rsidRDefault="006D123D" w:rsidP="006D123D">
      <w:pPr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4FE4D3D2" wp14:editId="189EFFA6">
            <wp:extent cx="5975350" cy="5302241"/>
            <wp:effectExtent l="0" t="0" r="6350" b="0"/>
            <wp:docPr id="1865060766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5966" cy="531166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33EE987" w14:textId="77777777" w:rsidR="006D123D" w:rsidRDefault="006D123D" w:rsidP="006D123D">
      <w:pPr>
        <w:rPr>
          <w:rFonts w:ascii="Arial" w:hAnsi="Arial" w:cs="Arial"/>
          <w:color w:val="000000" w:themeColor="text1"/>
          <w:sz w:val="18"/>
          <w:szCs w:val="18"/>
        </w:rPr>
      </w:pPr>
      <w:r w:rsidRPr="002F18F6">
        <w:rPr>
          <w:rFonts w:ascii="Arial" w:hAnsi="Arial" w:cs="Arial"/>
          <w:b/>
          <w:bCs/>
          <w:color w:val="000000" w:themeColor="text1"/>
          <w:sz w:val="18"/>
          <w:szCs w:val="18"/>
        </w:rPr>
        <w:t>Extended Data Fig. 1.</w:t>
      </w:r>
      <w:r>
        <w:rPr>
          <w:rFonts w:ascii="Arial" w:hAnsi="Arial" w:cs="Arial"/>
          <w:b/>
          <w:bCs/>
          <w:color w:val="000000" w:themeColor="text1"/>
          <w:sz w:val="18"/>
          <w:szCs w:val="18"/>
        </w:rPr>
        <w:t xml:space="preserve"> </w:t>
      </w:r>
      <w:r w:rsidRPr="0031265C">
        <w:rPr>
          <w:rFonts w:ascii="Arial" w:hAnsi="Arial" w:cs="Arial"/>
          <w:color w:val="000000" w:themeColor="text1"/>
          <w:sz w:val="18"/>
          <w:szCs w:val="18"/>
        </w:rPr>
        <w:t xml:space="preserve">UMAP analysis of metabolic profiles </w:t>
      </w:r>
      <w:r>
        <w:rPr>
          <w:rFonts w:ascii="Arial" w:hAnsi="Arial" w:cs="Arial"/>
          <w:color w:val="000000" w:themeColor="text1"/>
          <w:sz w:val="18"/>
          <w:szCs w:val="18"/>
        </w:rPr>
        <w:t>labeled for</w:t>
      </w:r>
      <w:r w:rsidRPr="0031265C">
        <w:rPr>
          <w:rFonts w:ascii="Arial" w:hAnsi="Arial" w:cs="Arial"/>
          <w:color w:val="000000" w:themeColor="text1"/>
          <w:sz w:val="18"/>
          <w:szCs w:val="18"/>
        </w:rPr>
        <w:t xml:space="preserve"> </w:t>
      </w:r>
      <w:r w:rsidRPr="00875797">
        <w:rPr>
          <w:rFonts w:ascii="Arial" w:hAnsi="Arial" w:cs="Arial"/>
          <w:b/>
          <w:bCs/>
          <w:color w:val="000000" w:themeColor="text1"/>
          <w:sz w:val="18"/>
          <w:szCs w:val="18"/>
        </w:rPr>
        <w:t>(a)</w:t>
      </w:r>
      <w:r w:rsidRPr="0031265C">
        <w:rPr>
          <w:rFonts w:ascii="Arial" w:hAnsi="Arial" w:cs="Arial"/>
          <w:color w:val="000000" w:themeColor="text1"/>
          <w:sz w:val="18"/>
          <w:szCs w:val="18"/>
        </w:rPr>
        <w:t xml:space="preserve"> multiple organs, </w:t>
      </w:r>
      <w:r w:rsidRPr="00875797">
        <w:rPr>
          <w:rFonts w:ascii="Arial" w:hAnsi="Arial" w:cs="Arial"/>
          <w:b/>
          <w:bCs/>
          <w:color w:val="000000" w:themeColor="text1"/>
          <w:sz w:val="18"/>
          <w:szCs w:val="18"/>
        </w:rPr>
        <w:t>(b)</w:t>
      </w:r>
      <w:r w:rsidRPr="0031265C">
        <w:rPr>
          <w:rFonts w:ascii="Arial" w:hAnsi="Arial" w:cs="Arial"/>
          <w:color w:val="000000" w:themeColor="text1"/>
          <w:sz w:val="18"/>
          <w:szCs w:val="18"/>
        </w:rPr>
        <w:t xml:space="preserve"> sexes, and </w:t>
      </w:r>
      <w:r w:rsidRPr="00875797">
        <w:rPr>
          <w:rFonts w:ascii="Arial" w:hAnsi="Arial" w:cs="Arial"/>
          <w:b/>
          <w:bCs/>
          <w:color w:val="000000" w:themeColor="text1"/>
          <w:sz w:val="18"/>
          <w:szCs w:val="18"/>
        </w:rPr>
        <w:t>(c)</w:t>
      </w:r>
      <w:r w:rsidRPr="0031265C">
        <w:rPr>
          <w:rFonts w:ascii="Arial" w:hAnsi="Arial" w:cs="Arial"/>
          <w:color w:val="000000" w:themeColor="text1"/>
          <w:sz w:val="18"/>
          <w:szCs w:val="18"/>
        </w:rPr>
        <w:t xml:space="preserve"> age</w:t>
      </w:r>
      <w:r>
        <w:rPr>
          <w:rFonts w:ascii="Arial" w:hAnsi="Arial" w:cs="Arial"/>
          <w:color w:val="000000" w:themeColor="text1"/>
          <w:sz w:val="18"/>
          <w:szCs w:val="18"/>
        </w:rPr>
        <w:t xml:space="preserve"> groups</w:t>
      </w:r>
      <w:r w:rsidRPr="0031265C">
        <w:rPr>
          <w:rFonts w:ascii="Arial" w:hAnsi="Arial" w:cs="Arial"/>
          <w:color w:val="000000" w:themeColor="text1"/>
          <w:sz w:val="18"/>
          <w:szCs w:val="18"/>
        </w:rPr>
        <w:t xml:space="preserve">. </w:t>
      </w:r>
      <w:r>
        <w:rPr>
          <w:rFonts w:ascii="Arial" w:hAnsi="Arial" w:cs="Arial"/>
          <w:color w:val="000000" w:themeColor="text1"/>
          <w:sz w:val="18"/>
          <w:szCs w:val="18"/>
        </w:rPr>
        <w:t xml:space="preserve">Only metabolites detected in &gt; 70% of samples were included. </w:t>
      </w:r>
      <w:r w:rsidRPr="00875797">
        <w:rPr>
          <w:rFonts w:ascii="Arial" w:hAnsi="Arial" w:cs="Arial"/>
          <w:b/>
          <w:bCs/>
          <w:color w:val="000000" w:themeColor="text1"/>
          <w:sz w:val="18"/>
          <w:szCs w:val="18"/>
        </w:rPr>
        <w:t>(d)</w:t>
      </w:r>
      <w:r>
        <w:rPr>
          <w:rFonts w:ascii="Arial" w:hAnsi="Arial" w:cs="Arial"/>
          <w:color w:val="000000" w:themeColor="text1"/>
          <w:sz w:val="18"/>
          <w:szCs w:val="18"/>
        </w:rPr>
        <w:t xml:space="preserve"> </w:t>
      </w:r>
      <w:r w:rsidRPr="0031265C">
        <w:rPr>
          <w:rFonts w:ascii="Arial" w:hAnsi="Arial" w:cs="Arial"/>
          <w:color w:val="000000" w:themeColor="text1"/>
          <w:sz w:val="18"/>
          <w:szCs w:val="18"/>
        </w:rPr>
        <w:t>Sex-dependent aging effects across tissues and metabolite classes</w:t>
      </w:r>
      <w:r>
        <w:rPr>
          <w:rFonts w:ascii="Arial" w:hAnsi="Arial" w:cs="Arial"/>
          <w:color w:val="000000" w:themeColor="text1"/>
          <w:sz w:val="18"/>
          <w:szCs w:val="18"/>
        </w:rPr>
        <w:t>.</w:t>
      </w:r>
      <w:r w:rsidRPr="0031265C">
        <w:rPr>
          <w:rFonts w:ascii="Arial" w:hAnsi="Arial" w:cs="Arial"/>
          <w:color w:val="000000" w:themeColor="text1"/>
          <w:sz w:val="18"/>
          <w:szCs w:val="18"/>
        </w:rPr>
        <w:t xml:space="preserve"> </w:t>
      </w:r>
      <w:r w:rsidRPr="00864E43">
        <w:rPr>
          <w:rFonts w:ascii="Arial" w:hAnsi="Arial" w:cs="Arial"/>
          <w:i/>
          <w:iCs/>
          <w:color w:val="000000" w:themeColor="text1"/>
          <w:sz w:val="18"/>
          <w:szCs w:val="18"/>
        </w:rPr>
        <w:t>Upper panel</w:t>
      </w:r>
      <w:r>
        <w:rPr>
          <w:rFonts w:ascii="Arial" w:hAnsi="Arial" w:cs="Arial"/>
          <w:color w:val="000000" w:themeColor="text1"/>
          <w:sz w:val="18"/>
          <w:szCs w:val="18"/>
        </w:rPr>
        <w:t xml:space="preserve">: </w:t>
      </w:r>
      <w:r w:rsidRPr="0031265C">
        <w:rPr>
          <w:rFonts w:ascii="Arial" w:hAnsi="Arial" w:cs="Arial"/>
          <w:color w:val="000000" w:themeColor="text1"/>
          <w:sz w:val="18"/>
          <w:szCs w:val="18"/>
        </w:rPr>
        <w:t xml:space="preserve">Percentage of significantly age-related metabolites showing sex-dependent effects, determined by two-way ANOVA (age × sex interaction, FDR &lt; 0.05). </w:t>
      </w:r>
      <w:r w:rsidRPr="00864E43">
        <w:rPr>
          <w:rFonts w:ascii="Arial" w:hAnsi="Arial" w:cs="Arial"/>
          <w:i/>
          <w:iCs/>
          <w:color w:val="000000" w:themeColor="text1"/>
          <w:sz w:val="18"/>
          <w:szCs w:val="18"/>
        </w:rPr>
        <w:t>Lower panel:</w:t>
      </w:r>
      <w:r w:rsidRPr="0031265C">
        <w:rPr>
          <w:rFonts w:ascii="Arial" w:hAnsi="Arial" w:cs="Arial"/>
          <w:color w:val="000000" w:themeColor="text1"/>
          <w:sz w:val="18"/>
          <w:szCs w:val="18"/>
        </w:rPr>
        <w:t xml:space="preserve"> Chemical class composition of these sex-dependent aging metabolites across tissues.</w:t>
      </w:r>
    </w:p>
    <w:p w14:paraId="3F9197A4" w14:textId="77777777" w:rsidR="006D123D" w:rsidRDefault="006D123D" w:rsidP="006D123D">
      <w:pPr>
        <w:rPr>
          <w:rFonts w:ascii="Arial" w:hAnsi="Arial" w:cs="Arial"/>
          <w:b/>
          <w:bCs/>
          <w:color w:val="000000" w:themeColor="text1"/>
          <w:sz w:val="18"/>
          <w:szCs w:val="18"/>
          <w:u w:val="single"/>
        </w:rPr>
        <w:sectPr w:rsidR="006D123D" w:rsidSect="006D123D">
          <w:pgSz w:w="12240" w:h="15840"/>
          <w:pgMar w:top="1440" w:right="1440" w:bottom="1440" w:left="1440" w:header="720" w:footer="720" w:gutter="0"/>
          <w:lnNumType w:countBy="1" w:restart="continuous"/>
          <w:cols w:space="720"/>
          <w:docGrid w:linePitch="360"/>
        </w:sectPr>
      </w:pPr>
    </w:p>
    <w:p w14:paraId="4F733FE0" w14:textId="77777777" w:rsidR="006D123D" w:rsidRDefault="006D123D" w:rsidP="006D123D">
      <w:pPr>
        <w:rPr>
          <w:rFonts w:ascii="Arial" w:hAnsi="Arial" w:cs="Arial"/>
          <w:b/>
          <w:bCs/>
          <w:color w:val="000000" w:themeColor="text1"/>
          <w:sz w:val="18"/>
          <w:szCs w:val="18"/>
          <w:u w:val="single"/>
        </w:rPr>
      </w:pPr>
      <w:r>
        <w:rPr>
          <w:rFonts w:ascii="Arial" w:hAnsi="Arial" w:cs="Arial"/>
          <w:b/>
          <w:bCs/>
          <w:noProof/>
          <w:color w:val="000000" w:themeColor="text1"/>
          <w:sz w:val="18"/>
          <w:szCs w:val="18"/>
          <w:u w:val="single"/>
        </w:rPr>
        <w:lastRenderedPageBreak/>
        <w:drawing>
          <wp:inline distT="0" distB="0" distL="0" distR="0" wp14:anchorId="26C24D69" wp14:editId="07208147">
            <wp:extent cx="5949950" cy="1849219"/>
            <wp:effectExtent l="0" t="0" r="0" b="0"/>
            <wp:docPr id="66283339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5080" cy="185392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366514A" w14:textId="77777777" w:rsidR="006D123D" w:rsidRPr="00F042BC" w:rsidRDefault="006D123D" w:rsidP="006D123D">
      <w:pPr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2F18F6">
        <w:rPr>
          <w:rFonts w:ascii="Arial" w:hAnsi="Arial" w:cs="Arial"/>
          <w:b/>
          <w:bCs/>
          <w:color w:val="000000" w:themeColor="text1"/>
          <w:sz w:val="18"/>
          <w:szCs w:val="18"/>
        </w:rPr>
        <w:t xml:space="preserve">Extended Data Fig. </w:t>
      </w:r>
      <w:r>
        <w:rPr>
          <w:rFonts w:ascii="Arial" w:hAnsi="Arial" w:cs="Arial"/>
          <w:b/>
          <w:bCs/>
          <w:color w:val="000000" w:themeColor="text1"/>
          <w:sz w:val="18"/>
          <w:szCs w:val="18"/>
        </w:rPr>
        <w:t xml:space="preserve">2. </w:t>
      </w:r>
      <w:r w:rsidRPr="00875797">
        <w:rPr>
          <w:rFonts w:ascii="Arial" w:hAnsi="Arial" w:cs="Arial"/>
          <w:b/>
          <w:bCs/>
          <w:color w:val="000000" w:themeColor="text1"/>
          <w:sz w:val="18"/>
          <w:szCs w:val="18"/>
        </w:rPr>
        <w:t>(a)</w:t>
      </w:r>
      <w:r w:rsidRPr="00F01D3E">
        <w:rPr>
          <w:rFonts w:ascii="Arial" w:hAnsi="Arial" w:cs="Arial"/>
          <w:color w:val="000000" w:themeColor="text1"/>
          <w:sz w:val="18"/>
          <w:szCs w:val="18"/>
        </w:rPr>
        <w:t xml:space="preserve"> </w:t>
      </w:r>
      <w:r>
        <w:rPr>
          <w:rFonts w:ascii="Arial" w:hAnsi="Arial" w:cs="Arial"/>
          <w:color w:val="000000" w:themeColor="text1"/>
          <w:sz w:val="18"/>
          <w:szCs w:val="18"/>
        </w:rPr>
        <w:t xml:space="preserve">Downregulated linoleate-rich mature cardiolipin (CL) species in heart for young (black) and old (red) mice (n = 16 per age, sex-balanced). </w:t>
      </w:r>
      <w:r w:rsidRPr="00875797">
        <w:rPr>
          <w:rFonts w:ascii="Arial" w:hAnsi="Arial" w:cs="Arial"/>
          <w:b/>
          <w:bCs/>
          <w:color w:val="000000" w:themeColor="text1"/>
          <w:sz w:val="18"/>
          <w:szCs w:val="18"/>
        </w:rPr>
        <w:t>(b)</w:t>
      </w:r>
      <w:r>
        <w:rPr>
          <w:rFonts w:ascii="Arial" w:hAnsi="Arial" w:cs="Arial"/>
          <w:color w:val="000000" w:themeColor="text1"/>
          <w:sz w:val="18"/>
          <w:szCs w:val="18"/>
        </w:rPr>
        <w:t xml:space="preserve"> Schematic of mitochondrial ultrastructure in organ exhibiting CL depletion (e.g., BAT).  </w:t>
      </w:r>
    </w:p>
    <w:p w14:paraId="57494059" w14:textId="77777777" w:rsidR="006D123D" w:rsidRDefault="006D123D" w:rsidP="006D123D">
      <w:pPr>
        <w:rPr>
          <w:rFonts w:ascii="Arial" w:hAnsi="Arial" w:cs="Arial"/>
          <w:color w:val="000000" w:themeColor="text1"/>
          <w:sz w:val="18"/>
          <w:szCs w:val="18"/>
        </w:rPr>
      </w:pPr>
    </w:p>
    <w:p w14:paraId="30368693" w14:textId="77777777" w:rsidR="006D123D" w:rsidRDefault="006D123D" w:rsidP="006D123D">
      <w:pPr>
        <w:rPr>
          <w:rFonts w:ascii="Arial" w:hAnsi="Arial" w:cs="Arial"/>
          <w:color w:val="000000" w:themeColor="text1"/>
          <w:sz w:val="18"/>
          <w:szCs w:val="18"/>
        </w:rPr>
        <w:sectPr w:rsidR="006D123D" w:rsidSect="006D123D">
          <w:pgSz w:w="12240" w:h="15840"/>
          <w:pgMar w:top="1440" w:right="1440" w:bottom="1440" w:left="1440" w:header="720" w:footer="720" w:gutter="0"/>
          <w:lnNumType w:countBy="1" w:restart="continuous"/>
          <w:cols w:space="720"/>
          <w:docGrid w:linePitch="360"/>
        </w:sectPr>
      </w:pPr>
    </w:p>
    <w:p w14:paraId="36D592FD" w14:textId="77777777" w:rsidR="006D123D" w:rsidRDefault="006D123D" w:rsidP="006D123D">
      <w:pPr>
        <w:rPr>
          <w:rFonts w:ascii="Arial" w:hAnsi="Arial" w:cs="Arial"/>
          <w:color w:val="000000" w:themeColor="text1"/>
          <w:sz w:val="18"/>
          <w:szCs w:val="18"/>
        </w:rPr>
      </w:pPr>
      <w:r>
        <w:rPr>
          <w:rFonts w:ascii="Arial" w:hAnsi="Arial" w:cs="Arial"/>
          <w:noProof/>
          <w:color w:val="000000" w:themeColor="text1"/>
          <w:sz w:val="18"/>
          <w:szCs w:val="18"/>
        </w:rPr>
        <w:lastRenderedPageBreak/>
        <w:drawing>
          <wp:inline distT="0" distB="0" distL="0" distR="0" wp14:anchorId="050C22E4" wp14:editId="3DA32ABE">
            <wp:extent cx="5908431" cy="3261917"/>
            <wp:effectExtent l="0" t="0" r="0" b="0"/>
            <wp:docPr id="1573398979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3687" cy="326481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A74C8BB" w14:textId="77777777" w:rsidR="006D123D" w:rsidRPr="004E0B57" w:rsidRDefault="006D123D" w:rsidP="006D123D">
      <w:pPr>
        <w:rPr>
          <w:rFonts w:ascii="Arial" w:hAnsi="Arial" w:cs="Arial"/>
          <w:bCs/>
          <w:color w:val="000000" w:themeColor="text1"/>
          <w:sz w:val="18"/>
          <w:szCs w:val="18"/>
        </w:rPr>
      </w:pPr>
      <w:r w:rsidRPr="002F18F6">
        <w:rPr>
          <w:rFonts w:ascii="Arial" w:hAnsi="Arial" w:cs="Arial"/>
          <w:b/>
          <w:bCs/>
          <w:color w:val="000000" w:themeColor="text1"/>
          <w:sz w:val="18"/>
          <w:szCs w:val="18"/>
        </w:rPr>
        <w:t xml:space="preserve">Extended Data Fig. </w:t>
      </w:r>
      <w:r>
        <w:rPr>
          <w:rFonts w:ascii="Arial" w:hAnsi="Arial" w:cs="Arial"/>
          <w:b/>
          <w:bCs/>
          <w:color w:val="000000" w:themeColor="text1"/>
          <w:sz w:val="18"/>
          <w:szCs w:val="18"/>
        </w:rPr>
        <w:t>3</w:t>
      </w:r>
      <w:r w:rsidRPr="002F18F6">
        <w:rPr>
          <w:rFonts w:ascii="Arial" w:hAnsi="Arial" w:cs="Arial"/>
          <w:b/>
          <w:bCs/>
          <w:color w:val="000000" w:themeColor="text1"/>
          <w:sz w:val="18"/>
          <w:szCs w:val="18"/>
        </w:rPr>
        <w:t>.</w:t>
      </w:r>
      <w:r>
        <w:rPr>
          <w:rFonts w:ascii="Arial" w:hAnsi="Arial" w:cs="Arial"/>
          <w:b/>
          <w:bCs/>
          <w:color w:val="000000" w:themeColor="text1"/>
          <w:sz w:val="18"/>
          <w:szCs w:val="18"/>
        </w:rPr>
        <w:t xml:space="preserve"> </w:t>
      </w:r>
      <w:r w:rsidRPr="007F0FBF">
        <w:rPr>
          <w:rFonts w:ascii="Arial" w:hAnsi="Arial" w:cs="Arial"/>
          <w:bCs/>
          <w:color w:val="000000" w:themeColor="text1"/>
          <w:sz w:val="18"/>
          <w:szCs w:val="18"/>
        </w:rPr>
        <w:t>Heat map of log</w:t>
      </w:r>
      <w:r w:rsidRPr="007F0FBF">
        <w:rPr>
          <w:rFonts w:ascii="Arial" w:hAnsi="Arial" w:cs="Arial"/>
          <w:bCs/>
          <w:color w:val="000000" w:themeColor="text1"/>
          <w:sz w:val="18"/>
          <w:szCs w:val="18"/>
          <w:vertAlign w:val="subscript"/>
        </w:rPr>
        <w:t>2</w:t>
      </w:r>
      <w:r w:rsidRPr="007F0FBF">
        <w:rPr>
          <w:rFonts w:ascii="Arial" w:hAnsi="Arial" w:cs="Arial"/>
          <w:bCs/>
          <w:color w:val="000000" w:themeColor="text1"/>
          <w:sz w:val="18"/>
          <w:szCs w:val="18"/>
        </w:rPr>
        <w:t xml:space="preserve">-fold changes (FC) between old and young mice for </w:t>
      </w:r>
      <w:r>
        <w:rPr>
          <w:rFonts w:ascii="Arial" w:hAnsi="Arial" w:cs="Arial"/>
          <w:color w:val="000000" w:themeColor="text1"/>
          <w:sz w:val="18"/>
          <w:szCs w:val="18"/>
        </w:rPr>
        <w:t>p</w:t>
      </w:r>
      <w:r w:rsidRPr="00E82DA8">
        <w:rPr>
          <w:rFonts w:ascii="Arial" w:hAnsi="Arial" w:cs="Arial"/>
          <w:color w:val="000000" w:themeColor="text1"/>
          <w:sz w:val="18"/>
          <w:szCs w:val="18"/>
        </w:rPr>
        <w:t>hosphatidylglycerols (PGs)</w:t>
      </w:r>
      <w:r>
        <w:rPr>
          <w:rFonts w:ascii="Arial" w:hAnsi="Arial" w:cs="Arial"/>
          <w:color w:val="000000" w:themeColor="text1"/>
          <w:sz w:val="18"/>
          <w:szCs w:val="18"/>
        </w:rPr>
        <w:t xml:space="preserve"> s</w:t>
      </w:r>
      <w:r w:rsidRPr="00E82DA8">
        <w:rPr>
          <w:rFonts w:ascii="Arial" w:hAnsi="Arial" w:cs="Arial"/>
          <w:color w:val="000000" w:themeColor="text1"/>
          <w:sz w:val="18"/>
          <w:szCs w:val="18"/>
        </w:rPr>
        <w:t xml:space="preserve">tratified by </w:t>
      </w:r>
      <w:r>
        <w:rPr>
          <w:rFonts w:ascii="Arial" w:hAnsi="Arial" w:cs="Arial"/>
          <w:color w:val="000000" w:themeColor="text1"/>
          <w:sz w:val="18"/>
          <w:szCs w:val="18"/>
        </w:rPr>
        <w:t>the n</w:t>
      </w:r>
      <w:r w:rsidRPr="00E82DA8">
        <w:rPr>
          <w:rFonts w:ascii="Arial" w:hAnsi="Arial" w:cs="Arial"/>
          <w:color w:val="000000" w:themeColor="text1"/>
          <w:sz w:val="18"/>
          <w:szCs w:val="18"/>
        </w:rPr>
        <w:t xml:space="preserve">umber of </w:t>
      </w:r>
      <w:r>
        <w:rPr>
          <w:rFonts w:ascii="Arial" w:hAnsi="Arial" w:cs="Arial"/>
          <w:color w:val="000000" w:themeColor="text1"/>
          <w:sz w:val="18"/>
          <w:szCs w:val="18"/>
        </w:rPr>
        <w:t>d</w:t>
      </w:r>
      <w:r w:rsidRPr="00E82DA8">
        <w:rPr>
          <w:rFonts w:ascii="Arial" w:hAnsi="Arial" w:cs="Arial"/>
          <w:color w:val="000000" w:themeColor="text1"/>
          <w:sz w:val="18"/>
          <w:szCs w:val="18"/>
        </w:rPr>
        <w:t xml:space="preserve">ouble </w:t>
      </w:r>
      <w:r>
        <w:rPr>
          <w:rFonts w:ascii="Arial" w:hAnsi="Arial" w:cs="Arial"/>
          <w:color w:val="000000" w:themeColor="text1"/>
          <w:sz w:val="18"/>
          <w:szCs w:val="18"/>
        </w:rPr>
        <w:t>b</w:t>
      </w:r>
      <w:r w:rsidRPr="00E82DA8">
        <w:rPr>
          <w:rFonts w:ascii="Arial" w:hAnsi="Arial" w:cs="Arial"/>
          <w:color w:val="000000" w:themeColor="text1"/>
          <w:sz w:val="18"/>
          <w:szCs w:val="18"/>
        </w:rPr>
        <w:t>onds</w:t>
      </w:r>
      <w:r>
        <w:rPr>
          <w:rFonts w:ascii="Arial" w:hAnsi="Arial" w:cs="Arial"/>
          <w:color w:val="000000" w:themeColor="text1"/>
          <w:sz w:val="18"/>
          <w:szCs w:val="18"/>
        </w:rPr>
        <w:t xml:space="preserve"> (DB). </w:t>
      </w:r>
      <w:r w:rsidRPr="007F0FBF">
        <w:rPr>
          <w:rFonts w:ascii="Arial" w:hAnsi="Arial" w:cs="Arial"/>
          <w:b/>
          <w:bCs/>
          <w:color w:val="000000" w:themeColor="text1"/>
          <w:sz w:val="18"/>
          <w:szCs w:val="18"/>
        </w:rPr>
        <w:t>×</w:t>
      </w:r>
      <w:r w:rsidRPr="007F0FBF">
        <w:rPr>
          <w:rFonts w:ascii="Arial" w:hAnsi="Arial" w:cs="Arial"/>
          <w:bCs/>
          <w:color w:val="000000" w:themeColor="text1"/>
          <w:sz w:val="18"/>
          <w:szCs w:val="18"/>
        </w:rPr>
        <w:t xml:space="preserve"> denotes not detected.</w:t>
      </w:r>
      <w:r w:rsidRPr="004E0B57">
        <w:rPr>
          <w:rFonts w:ascii="Arial" w:hAnsi="Arial" w:cs="Arial"/>
          <w:bCs/>
          <w:color w:val="000000" w:themeColor="text1"/>
          <w:sz w:val="18"/>
          <w:szCs w:val="18"/>
        </w:rPr>
        <w:t xml:space="preserve"> </w:t>
      </w:r>
      <w:r>
        <w:rPr>
          <w:rFonts w:ascii="Arial" w:hAnsi="Arial" w:cs="Arial"/>
          <w:bCs/>
          <w:color w:val="000000" w:themeColor="text1"/>
          <w:sz w:val="18"/>
          <w:szCs w:val="18"/>
        </w:rPr>
        <w:t>C</w:t>
      </w:r>
      <w:r w:rsidRPr="008C7912">
        <w:rPr>
          <w:rFonts w:ascii="Arial" w:hAnsi="Arial" w:cs="Arial"/>
          <w:bCs/>
          <w:color w:val="000000" w:themeColor="text1"/>
          <w:sz w:val="18"/>
          <w:szCs w:val="18"/>
        </w:rPr>
        <w:t>olor scale (−2 to +2; blue, decrease; red, increase; white, not significant).</w:t>
      </w:r>
    </w:p>
    <w:p w14:paraId="2D457917" w14:textId="77777777" w:rsidR="006D123D" w:rsidRDefault="006D123D" w:rsidP="006D123D">
      <w:pPr>
        <w:rPr>
          <w:rFonts w:ascii="Arial" w:hAnsi="Arial" w:cs="Arial"/>
          <w:b/>
          <w:bCs/>
          <w:color w:val="000000" w:themeColor="text1"/>
          <w:sz w:val="18"/>
          <w:szCs w:val="18"/>
          <w:u w:val="single"/>
        </w:rPr>
      </w:pPr>
    </w:p>
    <w:p w14:paraId="5D4321F3" w14:textId="77777777" w:rsidR="006D123D" w:rsidRDefault="006D123D" w:rsidP="006D123D">
      <w:pPr>
        <w:rPr>
          <w:rFonts w:ascii="Arial" w:hAnsi="Arial" w:cs="Arial"/>
          <w:b/>
          <w:bCs/>
          <w:color w:val="000000" w:themeColor="text1"/>
          <w:sz w:val="18"/>
          <w:szCs w:val="18"/>
          <w:u w:val="single"/>
        </w:rPr>
      </w:pPr>
    </w:p>
    <w:p w14:paraId="737A42C3" w14:textId="77777777" w:rsidR="006D123D" w:rsidRDefault="006D123D" w:rsidP="006D123D">
      <w:pPr>
        <w:rPr>
          <w:rFonts w:ascii="Arial" w:hAnsi="Arial" w:cs="Arial"/>
          <w:b/>
          <w:bCs/>
          <w:color w:val="000000" w:themeColor="text1"/>
          <w:sz w:val="18"/>
          <w:szCs w:val="18"/>
          <w:u w:val="single"/>
        </w:rPr>
      </w:pPr>
    </w:p>
    <w:p w14:paraId="34602ABA" w14:textId="77777777" w:rsidR="006D123D" w:rsidRDefault="006D123D" w:rsidP="006D123D">
      <w:pPr>
        <w:rPr>
          <w:rFonts w:ascii="Arial" w:hAnsi="Arial" w:cs="Arial"/>
          <w:b/>
          <w:bCs/>
          <w:color w:val="000000" w:themeColor="text1"/>
          <w:sz w:val="18"/>
          <w:szCs w:val="18"/>
          <w:u w:val="single"/>
        </w:rPr>
        <w:sectPr w:rsidR="006D123D" w:rsidSect="006D123D">
          <w:pgSz w:w="12240" w:h="15840"/>
          <w:pgMar w:top="1440" w:right="1440" w:bottom="1440" w:left="1440" w:header="720" w:footer="720" w:gutter="0"/>
          <w:lnNumType w:countBy="1" w:restart="continuous"/>
          <w:cols w:space="720"/>
          <w:docGrid w:linePitch="360"/>
        </w:sectPr>
      </w:pPr>
    </w:p>
    <w:p w14:paraId="6853ED05" w14:textId="77777777" w:rsidR="006D123D" w:rsidRDefault="006D123D" w:rsidP="006D123D">
      <w:pPr>
        <w:rPr>
          <w:rFonts w:ascii="Arial" w:hAnsi="Arial" w:cs="Arial"/>
          <w:b/>
          <w:bCs/>
          <w:color w:val="000000" w:themeColor="text1"/>
          <w:sz w:val="18"/>
          <w:szCs w:val="18"/>
          <w:u w:val="single"/>
        </w:rPr>
      </w:pPr>
      <w:r>
        <w:rPr>
          <w:rFonts w:ascii="Arial" w:hAnsi="Arial" w:cs="Arial"/>
          <w:b/>
          <w:bCs/>
          <w:noProof/>
          <w:color w:val="000000" w:themeColor="text1"/>
          <w:sz w:val="18"/>
          <w:szCs w:val="18"/>
          <w:u w:val="single"/>
        </w:rPr>
        <w:lastRenderedPageBreak/>
        <w:drawing>
          <wp:inline distT="0" distB="0" distL="0" distR="0" wp14:anchorId="37AB916B" wp14:editId="4BF679E8">
            <wp:extent cx="5939624" cy="1562309"/>
            <wp:effectExtent l="0" t="0" r="0" b="0"/>
            <wp:docPr id="1588572961" name="Picture 7" descr="Red lights on a black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8572961" name="Picture 7" descr="Red lights on a black background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1955" cy="156818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6B8D5A5" w14:textId="77777777" w:rsidR="006D123D" w:rsidRDefault="006D123D" w:rsidP="006D123D">
      <w:pPr>
        <w:jc w:val="both"/>
        <w:rPr>
          <w:rFonts w:ascii="Arial" w:hAnsi="Arial" w:cs="Arial"/>
          <w:bCs/>
          <w:color w:val="000000" w:themeColor="text1"/>
          <w:sz w:val="18"/>
          <w:szCs w:val="18"/>
        </w:rPr>
      </w:pPr>
      <w:r w:rsidRPr="0072317F">
        <w:rPr>
          <w:rFonts w:ascii="Arial" w:hAnsi="Arial" w:cs="Arial"/>
          <w:b/>
          <w:bCs/>
          <w:color w:val="000000" w:themeColor="text1"/>
          <w:sz w:val="18"/>
          <w:szCs w:val="18"/>
        </w:rPr>
        <w:t>Extended Data Fig. 4.</w:t>
      </w:r>
      <w:r w:rsidRPr="0072317F">
        <w:rPr>
          <w:rFonts w:ascii="Arial" w:hAnsi="Arial" w:cs="Arial"/>
          <w:color w:val="000000" w:themeColor="text1"/>
          <w:sz w:val="18"/>
          <w:szCs w:val="18"/>
        </w:rPr>
        <w:t xml:space="preserve"> </w:t>
      </w:r>
      <w:r w:rsidRPr="00875797">
        <w:rPr>
          <w:rFonts w:ascii="Arial" w:hAnsi="Arial" w:cs="Arial"/>
          <w:b/>
          <w:color w:val="000000" w:themeColor="text1"/>
          <w:sz w:val="18"/>
          <w:szCs w:val="18"/>
        </w:rPr>
        <w:t>(a)</w:t>
      </w:r>
      <w:r w:rsidRPr="0072317F">
        <w:rPr>
          <w:rFonts w:ascii="Arial" w:hAnsi="Arial" w:cs="Arial"/>
          <w:bCs/>
          <w:color w:val="000000" w:themeColor="text1"/>
          <w:sz w:val="18"/>
          <w:szCs w:val="18"/>
        </w:rPr>
        <w:t xml:space="preserve"> TG species remodeling quadricep muscle. Bubble plots position individual TG species by total acyl carbons (x-axis) and number of double bonds (y-axis). Bubble color denotes log</w:t>
      </w:r>
      <w:r w:rsidRPr="0072317F">
        <w:rPr>
          <w:rFonts w:ascii="Cambria Math" w:hAnsi="Cambria Math" w:cs="Cambria Math"/>
          <w:bCs/>
          <w:color w:val="000000" w:themeColor="text1"/>
          <w:sz w:val="18"/>
          <w:szCs w:val="18"/>
        </w:rPr>
        <w:t xml:space="preserve">₂ </w:t>
      </w:r>
      <w:r w:rsidRPr="0072317F">
        <w:rPr>
          <w:rFonts w:ascii="Arial" w:hAnsi="Arial" w:cs="Arial"/>
          <w:bCs/>
          <w:color w:val="000000" w:themeColor="text1"/>
          <w:sz w:val="18"/>
          <w:szCs w:val="18"/>
        </w:rPr>
        <w:t>fold change (old vs. young); bubble size denotes −log</w:t>
      </w:r>
      <w:r w:rsidRPr="0072317F">
        <w:rPr>
          <w:rFonts w:ascii="Cambria Math" w:hAnsi="Cambria Math" w:cs="Cambria Math"/>
          <w:bCs/>
          <w:color w:val="000000" w:themeColor="text1"/>
          <w:sz w:val="18"/>
          <w:szCs w:val="18"/>
        </w:rPr>
        <w:t>₁₀</w:t>
      </w:r>
      <w:r w:rsidRPr="0072317F">
        <w:rPr>
          <w:rFonts w:ascii="Arial" w:hAnsi="Arial" w:cs="Arial"/>
          <w:bCs/>
          <w:color w:val="000000" w:themeColor="text1"/>
          <w:sz w:val="18"/>
          <w:szCs w:val="18"/>
        </w:rPr>
        <w:t>(</w:t>
      </w:r>
      <w:r w:rsidRPr="0072317F">
        <w:rPr>
          <w:rFonts w:ascii="Arial" w:hAnsi="Arial" w:cs="Arial"/>
          <w:bCs/>
          <w:i/>
          <w:iCs/>
          <w:color w:val="000000" w:themeColor="text1"/>
          <w:sz w:val="18"/>
          <w:szCs w:val="18"/>
        </w:rPr>
        <w:t>p</w:t>
      </w:r>
      <w:r w:rsidRPr="0072317F">
        <w:rPr>
          <w:rFonts w:ascii="Arial" w:hAnsi="Arial" w:cs="Arial"/>
          <w:bCs/>
          <w:color w:val="000000" w:themeColor="text1"/>
          <w:sz w:val="18"/>
          <w:szCs w:val="18"/>
        </w:rPr>
        <w:t xml:space="preserve">). Diverging color scale: blue, decrease; red, increase; white, not significant). </w:t>
      </w:r>
      <w:r w:rsidRPr="00875797">
        <w:rPr>
          <w:rFonts w:ascii="Arial" w:hAnsi="Arial" w:cs="Arial"/>
          <w:b/>
          <w:color w:val="000000" w:themeColor="text1"/>
          <w:sz w:val="18"/>
          <w:szCs w:val="18"/>
        </w:rPr>
        <w:t>(b)</w:t>
      </w:r>
      <w:r w:rsidRPr="0072317F">
        <w:rPr>
          <w:rFonts w:ascii="Arial" w:hAnsi="Arial" w:cs="Arial"/>
          <w:bCs/>
          <w:color w:val="000000" w:themeColor="text1"/>
          <w:sz w:val="18"/>
          <w:szCs w:val="18"/>
        </w:rPr>
        <w:t xml:space="preserve"> Peak heights of selected long-chain fatty acids (LCFA) in quadriceps and brown fat (BAT) for young (black) and old (red) mice (n=16 per age, sex-balanced). Dots represent individual animals, horizontal bars, medians. Statistics: two-sided Mann–Whitney U tests; FDR-adjusted q values reported.</w:t>
      </w:r>
    </w:p>
    <w:p w14:paraId="2BE90C4F" w14:textId="77777777" w:rsidR="006D123D" w:rsidRDefault="006D123D" w:rsidP="006D123D">
      <w:pPr>
        <w:rPr>
          <w:rFonts w:ascii="Arial" w:hAnsi="Arial" w:cs="Arial"/>
          <w:bCs/>
          <w:color w:val="000000" w:themeColor="text1"/>
          <w:sz w:val="18"/>
          <w:szCs w:val="18"/>
        </w:rPr>
      </w:pPr>
    </w:p>
    <w:p w14:paraId="268A05CC" w14:textId="77777777" w:rsidR="006D123D" w:rsidRDefault="006D123D" w:rsidP="006D123D">
      <w:pPr>
        <w:rPr>
          <w:rFonts w:ascii="Arial" w:hAnsi="Arial" w:cs="Arial"/>
          <w:bCs/>
          <w:color w:val="000000" w:themeColor="text1"/>
          <w:sz w:val="18"/>
          <w:szCs w:val="18"/>
        </w:rPr>
      </w:pPr>
    </w:p>
    <w:p w14:paraId="180D2772" w14:textId="77777777" w:rsidR="006D123D" w:rsidRDefault="006D123D" w:rsidP="006D123D">
      <w:pPr>
        <w:rPr>
          <w:rFonts w:ascii="Arial" w:hAnsi="Arial" w:cs="Arial"/>
          <w:bCs/>
          <w:color w:val="000000" w:themeColor="text1"/>
          <w:sz w:val="18"/>
          <w:szCs w:val="18"/>
        </w:rPr>
      </w:pPr>
    </w:p>
    <w:p w14:paraId="4BAF0D11" w14:textId="77777777" w:rsidR="006D123D" w:rsidRDefault="006D123D" w:rsidP="006D123D">
      <w:pPr>
        <w:rPr>
          <w:rFonts w:ascii="Arial" w:hAnsi="Arial" w:cs="Arial"/>
          <w:b/>
          <w:bCs/>
          <w:color w:val="000000" w:themeColor="text1"/>
          <w:sz w:val="18"/>
          <w:szCs w:val="18"/>
          <w:u w:val="single"/>
        </w:rPr>
        <w:sectPr w:rsidR="006D123D" w:rsidSect="006D123D">
          <w:pgSz w:w="12240" w:h="15840"/>
          <w:pgMar w:top="1440" w:right="1440" w:bottom="1440" w:left="1440" w:header="720" w:footer="720" w:gutter="0"/>
          <w:lnNumType w:countBy="1" w:restart="continuous"/>
          <w:cols w:space="720"/>
          <w:docGrid w:linePitch="360"/>
        </w:sectPr>
      </w:pPr>
    </w:p>
    <w:p w14:paraId="1595180D" w14:textId="77777777" w:rsidR="006D123D" w:rsidRDefault="006D123D" w:rsidP="006D123D">
      <w:pPr>
        <w:rPr>
          <w:rFonts w:ascii="Arial" w:hAnsi="Arial" w:cs="Arial"/>
          <w:b/>
          <w:bCs/>
          <w:color w:val="000000" w:themeColor="text1"/>
          <w:sz w:val="18"/>
          <w:szCs w:val="18"/>
          <w:u w:val="single"/>
        </w:rPr>
      </w:pPr>
      <w:r>
        <w:rPr>
          <w:rFonts w:ascii="Arial" w:hAnsi="Arial" w:cs="Arial"/>
          <w:b/>
          <w:bCs/>
          <w:noProof/>
          <w:color w:val="000000" w:themeColor="text1"/>
          <w:sz w:val="18"/>
          <w:szCs w:val="18"/>
          <w:u w:val="single"/>
        </w:rPr>
        <w:lastRenderedPageBreak/>
        <w:drawing>
          <wp:inline distT="0" distB="0" distL="0" distR="0" wp14:anchorId="49AF906C" wp14:editId="6F446296">
            <wp:extent cx="5998683" cy="7464287"/>
            <wp:effectExtent l="0" t="0" r="2540" b="0"/>
            <wp:docPr id="201534838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3557" cy="747035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3C85A28" w14:textId="77777777" w:rsidR="006D123D" w:rsidRDefault="006D123D" w:rsidP="006D123D">
      <w:pPr>
        <w:rPr>
          <w:rFonts w:ascii="Arial" w:hAnsi="Arial" w:cs="Arial"/>
          <w:bCs/>
          <w:color w:val="000000" w:themeColor="text1"/>
          <w:sz w:val="18"/>
          <w:szCs w:val="18"/>
        </w:rPr>
      </w:pPr>
      <w:r w:rsidRPr="002F18F6">
        <w:rPr>
          <w:rFonts w:ascii="Arial" w:hAnsi="Arial" w:cs="Arial"/>
          <w:b/>
          <w:bCs/>
          <w:color w:val="000000" w:themeColor="text1"/>
          <w:sz w:val="18"/>
          <w:szCs w:val="18"/>
        </w:rPr>
        <w:t xml:space="preserve">Extended Data Fig. </w:t>
      </w:r>
      <w:r>
        <w:rPr>
          <w:rFonts w:ascii="Arial" w:hAnsi="Arial" w:cs="Arial"/>
          <w:b/>
          <w:bCs/>
          <w:color w:val="000000" w:themeColor="text1"/>
          <w:sz w:val="18"/>
          <w:szCs w:val="18"/>
        </w:rPr>
        <w:t>5</w:t>
      </w:r>
      <w:r w:rsidRPr="002F18F6">
        <w:rPr>
          <w:rFonts w:ascii="Arial" w:hAnsi="Arial" w:cs="Arial"/>
          <w:b/>
          <w:bCs/>
          <w:color w:val="000000" w:themeColor="text1"/>
          <w:sz w:val="18"/>
          <w:szCs w:val="18"/>
        </w:rPr>
        <w:t>.</w:t>
      </w:r>
      <w:r>
        <w:rPr>
          <w:rFonts w:ascii="Arial" w:hAnsi="Arial" w:cs="Arial"/>
          <w:b/>
          <w:bCs/>
          <w:color w:val="000000" w:themeColor="text1"/>
          <w:sz w:val="18"/>
          <w:szCs w:val="18"/>
        </w:rPr>
        <w:t xml:space="preserve"> </w:t>
      </w:r>
      <w:r w:rsidRPr="00875797">
        <w:rPr>
          <w:rFonts w:ascii="Arial" w:hAnsi="Arial" w:cs="Arial"/>
          <w:b/>
          <w:bCs/>
          <w:color w:val="000000" w:themeColor="text1"/>
          <w:sz w:val="18"/>
          <w:szCs w:val="18"/>
        </w:rPr>
        <w:t>(a)</w:t>
      </w:r>
      <w:r w:rsidRPr="00356515">
        <w:rPr>
          <w:rFonts w:ascii="Arial" w:hAnsi="Arial" w:cs="Arial"/>
          <w:color w:val="000000" w:themeColor="text1"/>
          <w:sz w:val="18"/>
          <w:szCs w:val="18"/>
        </w:rPr>
        <w:t xml:space="preserve"> Heat</w:t>
      </w:r>
      <w:r w:rsidRPr="007F0FBF">
        <w:rPr>
          <w:rFonts w:ascii="Arial" w:hAnsi="Arial" w:cs="Arial"/>
          <w:bCs/>
          <w:color w:val="000000" w:themeColor="text1"/>
          <w:sz w:val="18"/>
          <w:szCs w:val="18"/>
        </w:rPr>
        <w:t xml:space="preserve"> map of log</w:t>
      </w:r>
      <w:r w:rsidRPr="007F0FBF">
        <w:rPr>
          <w:rFonts w:ascii="Arial" w:hAnsi="Arial" w:cs="Arial"/>
          <w:bCs/>
          <w:color w:val="000000" w:themeColor="text1"/>
          <w:sz w:val="18"/>
          <w:szCs w:val="18"/>
          <w:vertAlign w:val="subscript"/>
        </w:rPr>
        <w:t>2</w:t>
      </w:r>
      <w:r w:rsidRPr="007F0FBF">
        <w:rPr>
          <w:rFonts w:ascii="Arial" w:hAnsi="Arial" w:cs="Arial"/>
          <w:bCs/>
          <w:color w:val="000000" w:themeColor="text1"/>
          <w:sz w:val="18"/>
          <w:szCs w:val="18"/>
        </w:rPr>
        <w:t xml:space="preserve">-fold changes (FC) between old and young mice for </w:t>
      </w:r>
      <w:r>
        <w:rPr>
          <w:rFonts w:ascii="Arial" w:hAnsi="Arial" w:cs="Arial"/>
          <w:bCs/>
          <w:color w:val="000000" w:themeColor="text1"/>
          <w:sz w:val="18"/>
          <w:szCs w:val="18"/>
        </w:rPr>
        <w:t xml:space="preserve">saturated and unsaturated fatty acids in tissues. </w:t>
      </w:r>
      <w:r w:rsidRPr="00875797">
        <w:rPr>
          <w:rFonts w:ascii="Arial" w:hAnsi="Arial" w:cs="Arial"/>
          <w:b/>
          <w:color w:val="000000" w:themeColor="text1"/>
          <w:sz w:val="18"/>
          <w:szCs w:val="18"/>
        </w:rPr>
        <w:t>(b)</w:t>
      </w:r>
      <w:r>
        <w:rPr>
          <w:rFonts w:ascii="Arial" w:hAnsi="Arial" w:cs="Arial"/>
          <w:bCs/>
          <w:color w:val="000000" w:themeColor="text1"/>
          <w:sz w:val="18"/>
          <w:szCs w:val="18"/>
        </w:rPr>
        <w:t xml:space="preserve"> </w:t>
      </w:r>
      <w:r w:rsidRPr="00356515">
        <w:rPr>
          <w:rFonts w:ascii="Arial" w:hAnsi="Arial" w:cs="Arial"/>
          <w:color w:val="000000" w:themeColor="text1"/>
          <w:sz w:val="18"/>
          <w:szCs w:val="18"/>
        </w:rPr>
        <w:t>Heat</w:t>
      </w:r>
      <w:r w:rsidRPr="007F0FBF">
        <w:rPr>
          <w:rFonts w:ascii="Arial" w:hAnsi="Arial" w:cs="Arial"/>
          <w:bCs/>
          <w:color w:val="000000" w:themeColor="text1"/>
          <w:sz w:val="18"/>
          <w:szCs w:val="18"/>
        </w:rPr>
        <w:t xml:space="preserve"> map of log</w:t>
      </w:r>
      <w:r w:rsidRPr="007F0FBF">
        <w:rPr>
          <w:rFonts w:ascii="Arial" w:hAnsi="Arial" w:cs="Arial"/>
          <w:bCs/>
          <w:color w:val="000000" w:themeColor="text1"/>
          <w:sz w:val="18"/>
          <w:szCs w:val="18"/>
          <w:vertAlign w:val="subscript"/>
        </w:rPr>
        <w:t>2</w:t>
      </w:r>
      <w:r w:rsidRPr="007F0FBF">
        <w:rPr>
          <w:rFonts w:ascii="Arial" w:hAnsi="Arial" w:cs="Arial"/>
          <w:bCs/>
          <w:color w:val="000000" w:themeColor="text1"/>
          <w:sz w:val="18"/>
          <w:szCs w:val="18"/>
        </w:rPr>
        <w:t xml:space="preserve">-fold changes (FC) between old and young mice for </w:t>
      </w:r>
      <w:r>
        <w:rPr>
          <w:rFonts w:ascii="Arial" w:hAnsi="Arial" w:cs="Arial"/>
          <w:bCs/>
          <w:color w:val="000000" w:themeColor="text1"/>
          <w:sz w:val="18"/>
          <w:szCs w:val="18"/>
        </w:rPr>
        <w:t xml:space="preserve">different </w:t>
      </w:r>
      <w:r>
        <w:rPr>
          <w:rFonts w:ascii="Arial" w:hAnsi="Arial" w:cs="Arial"/>
          <w:bCs/>
          <w:color w:val="000000" w:themeColor="text1"/>
          <w:sz w:val="18"/>
          <w:szCs w:val="18"/>
        </w:rPr>
        <w:lastRenderedPageBreak/>
        <w:t xml:space="preserve">chain length of acyl carnitines. </w:t>
      </w:r>
      <w:r w:rsidRPr="007F0FBF">
        <w:rPr>
          <w:rFonts w:ascii="Arial" w:hAnsi="Arial" w:cs="Arial"/>
          <w:b/>
          <w:bCs/>
          <w:color w:val="000000" w:themeColor="text1"/>
          <w:sz w:val="18"/>
          <w:szCs w:val="18"/>
        </w:rPr>
        <w:t>×</w:t>
      </w:r>
      <w:r w:rsidRPr="007F0FBF">
        <w:rPr>
          <w:rFonts w:ascii="Arial" w:hAnsi="Arial" w:cs="Arial"/>
          <w:bCs/>
          <w:color w:val="000000" w:themeColor="text1"/>
          <w:sz w:val="18"/>
          <w:szCs w:val="18"/>
        </w:rPr>
        <w:t xml:space="preserve"> denotes not detected.</w:t>
      </w:r>
      <w:r w:rsidRPr="004E0B57">
        <w:rPr>
          <w:rFonts w:ascii="Arial" w:hAnsi="Arial" w:cs="Arial"/>
          <w:bCs/>
          <w:color w:val="000000" w:themeColor="text1"/>
          <w:sz w:val="18"/>
          <w:szCs w:val="18"/>
        </w:rPr>
        <w:t xml:space="preserve"> </w:t>
      </w:r>
      <w:r>
        <w:rPr>
          <w:rFonts w:ascii="Arial" w:hAnsi="Arial" w:cs="Arial"/>
          <w:bCs/>
          <w:color w:val="000000" w:themeColor="text1"/>
          <w:sz w:val="18"/>
          <w:szCs w:val="18"/>
        </w:rPr>
        <w:t>C</w:t>
      </w:r>
      <w:r w:rsidRPr="008C7912">
        <w:rPr>
          <w:rFonts w:ascii="Arial" w:hAnsi="Arial" w:cs="Arial"/>
          <w:bCs/>
          <w:color w:val="000000" w:themeColor="text1"/>
          <w:sz w:val="18"/>
          <w:szCs w:val="18"/>
        </w:rPr>
        <w:t>olor scale (−2 to +2; blue, decrease; red, increase; white, not significant).</w:t>
      </w:r>
    </w:p>
    <w:p w14:paraId="08376330" w14:textId="77777777" w:rsidR="006D123D" w:rsidRPr="00BF27C5" w:rsidRDefault="006D123D" w:rsidP="006D123D">
      <w:pPr>
        <w:rPr>
          <w:rFonts w:ascii="Arial" w:hAnsi="Arial" w:cs="Arial"/>
          <w:bCs/>
          <w:color w:val="000000" w:themeColor="text1"/>
          <w:sz w:val="18"/>
          <w:szCs w:val="18"/>
        </w:rPr>
      </w:pPr>
    </w:p>
    <w:p w14:paraId="45690287" w14:textId="77777777" w:rsidR="00865217" w:rsidRDefault="00865217"/>
    <w:sectPr w:rsidR="00865217" w:rsidSect="006D123D"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123D"/>
    <w:rsid w:val="002E281E"/>
    <w:rsid w:val="003201BB"/>
    <w:rsid w:val="006D123D"/>
    <w:rsid w:val="007A7D10"/>
    <w:rsid w:val="00865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70F662"/>
  <w15:chartTrackingRefBased/>
  <w15:docId w15:val="{E8BF70DD-4B36-424F-B1BE-318E8C26E1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D123D"/>
    <w:pPr>
      <w:spacing w:after="0" w:line="480" w:lineRule="auto"/>
      <w:contextualSpacing/>
    </w:pPr>
    <w:rPr>
      <w:rFonts w:ascii="Times New Roman" w:eastAsiaTheme="minorEastAsia" w:hAnsi="Times New Roman"/>
      <w:szCs w:val="22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6D123D"/>
    <w:pPr>
      <w:keepNext/>
      <w:keepLines/>
      <w:spacing w:before="360" w:after="80" w:line="278" w:lineRule="auto"/>
      <w:contextualSpacing w:val="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D123D"/>
    <w:pPr>
      <w:keepNext/>
      <w:keepLines/>
      <w:spacing w:before="160" w:after="80" w:line="278" w:lineRule="auto"/>
      <w:contextualSpacing w:val="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D123D"/>
    <w:pPr>
      <w:keepNext/>
      <w:keepLines/>
      <w:spacing w:before="160" w:after="80" w:line="278" w:lineRule="auto"/>
      <w:contextualSpacing w:val="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D123D"/>
    <w:pPr>
      <w:keepNext/>
      <w:keepLines/>
      <w:spacing w:before="80" w:after="40" w:line="278" w:lineRule="auto"/>
      <w:contextualSpacing w:val="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Cs w:val="24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D123D"/>
    <w:pPr>
      <w:keepNext/>
      <w:keepLines/>
      <w:spacing w:before="80" w:after="40" w:line="278" w:lineRule="auto"/>
      <w:contextualSpacing w:val="0"/>
      <w:outlineLvl w:val="4"/>
    </w:pPr>
    <w:rPr>
      <w:rFonts w:asciiTheme="minorHAnsi" w:eastAsiaTheme="majorEastAsia" w:hAnsiTheme="minorHAnsi" w:cstheme="majorBidi"/>
      <w:color w:val="0F4761" w:themeColor="accent1" w:themeShade="BF"/>
      <w:szCs w:val="24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D123D"/>
    <w:pPr>
      <w:keepNext/>
      <w:keepLines/>
      <w:spacing w:before="40" w:line="278" w:lineRule="auto"/>
      <w:contextualSpacing w:val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Cs w:val="24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D123D"/>
    <w:pPr>
      <w:keepNext/>
      <w:keepLines/>
      <w:spacing w:before="40" w:line="278" w:lineRule="auto"/>
      <w:contextualSpacing w:val="0"/>
      <w:outlineLvl w:val="6"/>
    </w:pPr>
    <w:rPr>
      <w:rFonts w:asciiTheme="minorHAnsi" w:eastAsiaTheme="majorEastAsia" w:hAnsiTheme="minorHAnsi" w:cstheme="majorBidi"/>
      <w:color w:val="595959" w:themeColor="text1" w:themeTint="A6"/>
      <w:szCs w:val="24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D123D"/>
    <w:pPr>
      <w:keepNext/>
      <w:keepLines/>
      <w:spacing w:line="278" w:lineRule="auto"/>
      <w:contextualSpacing w:val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Cs w:val="24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D123D"/>
    <w:pPr>
      <w:keepNext/>
      <w:keepLines/>
      <w:spacing w:line="278" w:lineRule="auto"/>
      <w:contextualSpacing w:val="0"/>
      <w:outlineLvl w:val="8"/>
    </w:pPr>
    <w:rPr>
      <w:rFonts w:asciiTheme="minorHAnsi" w:eastAsiaTheme="majorEastAsia" w:hAnsiTheme="minorHAnsi" w:cstheme="majorBidi"/>
      <w:color w:val="272727" w:themeColor="text1" w:themeTint="D8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D123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D123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D123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D123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D123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D123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D123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D123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D123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D123D"/>
    <w:pPr>
      <w:spacing w:after="80" w:line="240" w:lineRule="auto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6D123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D123D"/>
    <w:pPr>
      <w:numPr>
        <w:ilvl w:val="1"/>
      </w:numPr>
      <w:spacing w:after="160" w:line="278" w:lineRule="auto"/>
      <w:contextualSpacing w:val="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6D123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D123D"/>
    <w:pPr>
      <w:spacing w:before="160" w:after="160" w:line="278" w:lineRule="auto"/>
      <w:contextualSpacing w:val="0"/>
      <w:jc w:val="center"/>
    </w:pPr>
    <w:rPr>
      <w:rFonts w:asciiTheme="minorHAnsi" w:eastAsiaTheme="minorHAnsi" w:hAnsiTheme="minorHAnsi"/>
      <w:i/>
      <w:iCs/>
      <w:color w:val="404040" w:themeColor="text1" w:themeTint="BF"/>
      <w:szCs w:val="24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6D123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D123D"/>
    <w:pPr>
      <w:spacing w:after="160" w:line="278" w:lineRule="auto"/>
      <w:ind w:left="720"/>
    </w:pPr>
    <w:rPr>
      <w:rFonts w:asciiTheme="minorHAnsi" w:eastAsiaTheme="minorHAnsi" w:hAnsiTheme="minorHAnsi"/>
      <w:szCs w:val="24"/>
      <w:lang w:eastAsia="en-US"/>
    </w:rPr>
  </w:style>
  <w:style w:type="character" w:styleId="IntenseEmphasis">
    <w:name w:val="Intense Emphasis"/>
    <w:basedOn w:val="DefaultParagraphFont"/>
    <w:uiPriority w:val="21"/>
    <w:qFormat/>
    <w:rsid w:val="006D123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D123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contextualSpacing w:val="0"/>
      <w:jc w:val="center"/>
    </w:pPr>
    <w:rPr>
      <w:rFonts w:asciiTheme="minorHAnsi" w:eastAsiaTheme="minorHAnsi" w:hAnsiTheme="minorHAnsi"/>
      <w:i/>
      <w:iCs/>
      <w:color w:val="0F4761" w:themeColor="accent1" w:themeShade="BF"/>
      <w:szCs w:val="24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D123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D123D"/>
    <w:rPr>
      <w:b/>
      <w:bCs/>
      <w:smallCaps/>
      <w:color w:val="0F4761" w:themeColor="accent1" w:themeShade="BF"/>
      <w:spacing w:val="5"/>
    </w:rPr>
  </w:style>
  <w:style w:type="character" w:styleId="LineNumber">
    <w:name w:val="line number"/>
    <w:basedOn w:val="DefaultParagraphFont"/>
    <w:uiPriority w:val="99"/>
    <w:semiHidden/>
    <w:unhideWhenUsed/>
    <w:rsid w:val="006D12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284</Words>
  <Characters>1774</Characters>
  <Application>Microsoft Office Word</Application>
  <DocSecurity>0</DocSecurity>
  <Lines>27</Lines>
  <Paragraphs>4</Paragraphs>
  <ScaleCrop>false</ScaleCrop>
  <Company>Springer Nature</Company>
  <LinksUpToDate>false</LinksUpToDate>
  <CharactersWithSpaces>2054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2025-10-29T07:40:00Z</dcterms:created>
  <dcterms:modified xsi:type="dcterms:W3CDTF">2025-10-29T07:40:00Z</dcterms:modified>
</cp:coreProperties>
</file>