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4FE2F3" w14:textId="77777777" w:rsidR="0064110E" w:rsidRPr="00C373CC" w:rsidRDefault="0064110E" w:rsidP="0064110E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373CC">
        <w:rPr>
          <w:rFonts w:ascii="Times New Roman" w:eastAsia="Times New Roman" w:hAnsi="Times New Roman" w:cs="Times New Roman"/>
          <w:b/>
          <w:sz w:val="28"/>
          <w:szCs w:val="28"/>
        </w:rPr>
        <w:t>Supplementary Figures</w:t>
      </w:r>
    </w:p>
    <w:p w14:paraId="4CC23EB9" w14:textId="77777777" w:rsidR="0064110E" w:rsidRPr="00C373CC" w:rsidRDefault="0064110E" w:rsidP="0064110E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373CC"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inline distT="114300" distB="114300" distL="114300" distR="114300" wp14:anchorId="2037ED4C" wp14:editId="3E3F3A61">
            <wp:extent cx="5731200" cy="3416300"/>
            <wp:effectExtent l="0" t="0" r="0" b="0"/>
            <wp:docPr id="4" name="image5.png" descr="A collage of graphs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5.png" descr="A collage of graphs&#10;&#10;AI-generated content may be incorrect.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416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2ED0CC2" w14:textId="77777777" w:rsidR="0064110E" w:rsidRPr="00C373CC" w:rsidRDefault="0064110E" w:rsidP="0064110E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C373CC">
        <w:rPr>
          <w:rFonts w:ascii="Times New Roman" w:eastAsia="Times New Roman" w:hAnsi="Times New Roman" w:cs="Times New Roman"/>
          <w:b/>
          <w:i/>
          <w:sz w:val="24"/>
          <w:szCs w:val="24"/>
        </w:rPr>
        <w:t>Supplementary Figure 1:</w:t>
      </w:r>
      <w:r w:rsidRPr="00C373CC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C373CC">
        <w:rPr>
          <w:rFonts w:ascii="Times New Roman" w:eastAsia="Times New Roman" w:hAnsi="Times New Roman" w:cs="Times New Roman"/>
          <w:b/>
          <w:i/>
          <w:sz w:val="24"/>
          <w:szCs w:val="24"/>
        </w:rPr>
        <w:t>Metabolites causally associated with ALS are confirmed with MR in an independent dataset.</w:t>
      </w:r>
      <w:r w:rsidRPr="00C373CC">
        <w:rPr>
          <w:rFonts w:ascii="Times New Roman" w:eastAsia="Times New Roman" w:hAnsi="Times New Roman" w:cs="Times New Roman"/>
          <w:i/>
          <w:sz w:val="24"/>
          <w:szCs w:val="24"/>
        </w:rPr>
        <w:t xml:space="preserve"> Scatter plots demonstrate a significant association of circulating serum/plasma metabolite concentrations with ALS risk via the inverse-variance weighted test for </w:t>
      </w:r>
      <w:proofErr w:type="spellStart"/>
      <w:r w:rsidRPr="00C373CC">
        <w:rPr>
          <w:rFonts w:ascii="Times New Roman" w:eastAsia="Times New Roman" w:hAnsi="Times New Roman" w:cs="Times New Roman"/>
          <w:i/>
          <w:sz w:val="24"/>
          <w:szCs w:val="24"/>
        </w:rPr>
        <w:t>acetylcarnitine</w:t>
      </w:r>
      <w:proofErr w:type="spellEnd"/>
      <w:r w:rsidRPr="00C373CC">
        <w:rPr>
          <w:rFonts w:ascii="Times New Roman" w:eastAsia="Times New Roman" w:hAnsi="Times New Roman" w:cs="Times New Roman"/>
          <w:i/>
          <w:sz w:val="24"/>
          <w:szCs w:val="24"/>
        </w:rPr>
        <w:t xml:space="preserve"> (</w:t>
      </w:r>
      <w:r w:rsidRPr="00C373CC">
        <w:rPr>
          <w:rFonts w:ascii="Times New Roman" w:eastAsia="Times New Roman" w:hAnsi="Times New Roman" w:cs="Times New Roman"/>
          <w:b/>
          <w:i/>
          <w:sz w:val="24"/>
          <w:szCs w:val="24"/>
        </w:rPr>
        <w:t>A, B</w:t>
      </w:r>
      <w:r w:rsidRPr="00C373CC">
        <w:rPr>
          <w:rFonts w:ascii="Times New Roman" w:eastAsia="Times New Roman" w:hAnsi="Times New Roman" w:cs="Times New Roman"/>
          <w:i/>
          <w:sz w:val="24"/>
          <w:szCs w:val="24"/>
        </w:rPr>
        <w:t xml:space="preserve">, and </w:t>
      </w:r>
      <w:r w:rsidRPr="00C373CC">
        <w:rPr>
          <w:rFonts w:ascii="Times New Roman" w:eastAsia="Times New Roman" w:hAnsi="Times New Roman" w:cs="Times New Roman"/>
          <w:b/>
          <w:i/>
          <w:sz w:val="24"/>
          <w:szCs w:val="24"/>
        </w:rPr>
        <w:t>C</w:t>
      </w:r>
      <w:r w:rsidRPr="00C373CC">
        <w:rPr>
          <w:rFonts w:ascii="Times New Roman" w:eastAsia="Times New Roman" w:hAnsi="Times New Roman" w:cs="Times New Roman"/>
          <w:i/>
          <w:sz w:val="24"/>
          <w:szCs w:val="24"/>
        </w:rPr>
        <w:t xml:space="preserve"> represent three different tests), </w:t>
      </w:r>
      <w:proofErr w:type="spellStart"/>
      <w:r w:rsidRPr="00C373CC">
        <w:rPr>
          <w:rFonts w:ascii="Times New Roman" w:eastAsia="Times New Roman" w:hAnsi="Times New Roman" w:cs="Times New Roman"/>
          <w:i/>
          <w:sz w:val="24"/>
          <w:szCs w:val="24"/>
        </w:rPr>
        <w:t>isobutyrylcarnitine</w:t>
      </w:r>
      <w:proofErr w:type="spellEnd"/>
      <w:r w:rsidRPr="00C373CC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C373CC">
        <w:rPr>
          <w:rFonts w:ascii="Times New Roman" w:eastAsia="Times New Roman" w:hAnsi="Times New Roman" w:cs="Times New Roman"/>
          <w:b/>
          <w:i/>
          <w:sz w:val="24"/>
          <w:szCs w:val="24"/>
        </w:rPr>
        <w:t>(D)</w:t>
      </w:r>
      <w:r w:rsidRPr="00C373CC">
        <w:rPr>
          <w:rFonts w:ascii="Times New Roman" w:eastAsia="Times New Roman" w:hAnsi="Times New Roman" w:cs="Times New Roman"/>
          <w:i/>
          <w:sz w:val="24"/>
          <w:szCs w:val="24"/>
        </w:rPr>
        <w:t>, and DSGEGDFXAEGGGVR (</w:t>
      </w:r>
      <w:r w:rsidRPr="00C373CC">
        <w:rPr>
          <w:rFonts w:ascii="Times New Roman" w:eastAsia="Times New Roman" w:hAnsi="Times New Roman" w:cs="Times New Roman"/>
          <w:b/>
          <w:i/>
          <w:sz w:val="24"/>
          <w:szCs w:val="24"/>
        </w:rPr>
        <w:t>E</w:t>
      </w:r>
      <w:r w:rsidRPr="00C373CC">
        <w:rPr>
          <w:rFonts w:ascii="Times New Roman" w:eastAsia="Times New Roman" w:hAnsi="Times New Roman" w:cs="Times New Roman"/>
          <w:i/>
          <w:sz w:val="24"/>
          <w:szCs w:val="24"/>
        </w:rPr>
        <w:t>). Each point represents the effect size (β) and standard errors for each SNP–outcome relationship.</w:t>
      </w:r>
    </w:p>
    <w:p w14:paraId="6B0F483D" w14:textId="77777777" w:rsidR="0064110E" w:rsidRPr="00C373CC" w:rsidRDefault="0064110E" w:rsidP="0064110E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44533D3A" w14:textId="77777777" w:rsidR="0064110E" w:rsidRPr="00C373CC" w:rsidRDefault="0064110E" w:rsidP="0064110E">
      <w:pPr>
        <w:spacing w:before="240" w:after="24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CC"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114300" distB="114300" distL="114300" distR="114300" wp14:anchorId="70E59919" wp14:editId="1AAF7F32">
            <wp:extent cx="5731200" cy="3822700"/>
            <wp:effectExtent l="0" t="0" r="0" b="0"/>
            <wp:docPr id="8" name="image7.png" descr="A graph of a female and a female age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7.png" descr="A graph of a female and a female age&#10;&#10;AI-generated content may be incorrect.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822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860B7A8" w14:textId="77777777" w:rsidR="0064110E" w:rsidRPr="00C373CC" w:rsidRDefault="0064110E" w:rsidP="0064110E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C373CC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Supplementary Figure 2: Sex-stratified Cox regression for the association of circulating carnitine concentration on age of ALS symptom onset. </w:t>
      </w:r>
      <w:r w:rsidRPr="00C373CC">
        <w:rPr>
          <w:rFonts w:ascii="Times New Roman" w:eastAsia="Times New Roman" w:hAnsi="Times New Roman" w:cs="Times New Roman"/>
          <w:i/>
          <w:sz w:val="24"/>
          <w:szCs w:val="24"/>
        </w:rPr>
        <w:t>(</w:t>
      </w:r>
      <w:r w:rsidRPr="00C373CC">
        <w:rPr>
          <w:rFonts w:ascii="Times New Roman" w:eastAsia="Times New Roman" w:hAnsi="Times New Roman" w:cs="Times New Roman"/>
          <w:b/>
          <w:i/>
          <w:sz w:val="24"/>
          <w:szCs w:val="24"/>
        </w:rPr>
        <w:t>A</w:t>
      </w:r>
      <w:r w:rsidRPr="00C373CC">
        <w:rPr>
          <w:rFonts w:ascii="Times New Roman" w:eastAsia="Times New Roman" w:hAnsi="Times New Roman" w:cs="Times New Roman"/>
          <w:i/>
          <w:sz w:val="24"/>
          <w:szCs w:val="24"/>
        </w:rPr>
        <w:t>) Hazard ratios in males for carnitines with P &lt; 0.05. (</w:t>
      </w:r>
      <w:r w:rsidRPr="00C373CC">
        <w:rPr>
          <w:rFonts w:ascii="Times New Roman" w:eastAsia="Times New Roman" w:hAnsi="Times New Roman" w:cs="Times New Roman"/>
          <w:b/>
          <w:i/>
          <w:sz w:val="24"/>
          <w:szCs w:val="24"/>
        </w:rPr>
        <w:t>B</w:t>
      </w:r>
      <w:r w:rsidRPr="00C373CC">
        <w:rPr>
          <w:rFonts w:ascii="Times New Roman" w:eastAsia="Times New Roman" w:hAnsi="Times New Roman" w:cs="Times New Roman"/>
          <w:i/>
          <w:sz w:val="24"/>
          <w:szCs w:val="24"/>
        </w:rPr>
        <w:t>) Hazard ratios in females for carnitines with P &lt; 0.05. Hazard ratios are plotted on a log scale. *P &lt; 0.05; *P &lt; 0.01; †FDR &lt; 0.05.</w:t>
      </w:r>
    </w:p>
    <w:p w14:paraId="41727CDA" w14:textId="77777777" w:rsidR="0064110E" w:rsidRPr="00C373CC" w:rsidRDefault="0064110E" w:rsidP="0064110E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602C8259" w14:textId="77777777" w:rsidR="0064110E" w:rsidRPr="00C373CC" w:rsidRDefault="0064110E" w:rsidP="0064110E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2691714B" w14:textId="77777777" w:rsidR="0064110E" w:rsidRPr="00C373CC" w:rsidRDefault="0064110E" w:rsidP="0064110E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4B3FF5F" w14:textId="77777777" w:rsidR="0064110E" w:rsidRPr="00C373CC" w:rsidRDefault="0064110E" w:rsidP="0064110E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7858B108" w14:textId="77777777" w:rsidR="0064110E" w:rsidRPr="00C373CC" w:rsidRDefault="0064110E" w:rsidP="0064110E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7D8C71B8" w14:textId="77777777" w:rsidR="0064110E" w:rsidRPr="00C373CC" w:rsidRDefault="0064110E" w:rsidP="0064110E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0FF39CC1" w14:textId="77777777" w:rsidR="0064110E" w:rsidRPr="00C373CC" w:rsidRDefault="0064110E" w:rsidP="0064110E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0FD143CD" w14:textId="77777777" w:rsidR="0064110E" w:rsidRPr="00C373CC" w:rsidRDefault="0064110E" w:rsidP="0064110E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6A22BEFA" w14:textId="77777777" w:rsidR="0064110E" w:rsidRPr="00C373CC" w:rsidRDefault="0064110E" w:rsidP="0064110E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52055CCD" w14:textId="77777777" w:rsidR="0064110E" w:rsidRPr="00C373CC" w:rsidRDefault="0064110E" w:rsidP="0064110E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32C61876" w14:textId="77777777" w:rsidR="0064110E" w:rsidRPr="00C373CC" w:rsidRDefault="0064110E" w:rsidP="0064110E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C373CC">
        <w:rPr>
          <w:rFonts w:ascii="Times New Roman" w:eastAsia="Times New Roman" w:hAnsi="Times New Roman" w:cs="Times New Roman"/>
          <w:b/>
          <w:noProof/>
          <w:sz w:val="20"/>
          <w:szCs w:val="20"/>
        </w:rPr>
        <w:lastRenderedPageBreak/>
        <w:drawing>
          <wp:inline distT="114300" distB="114300" distL="114300" distR="114300" wp14:anchorId="393A2C45" wp14:editId="59AF607A">
            <wp:extent cx="5731200" cy="4343400"/>
            <wp:effectExtent l="0" t="0" r="0" b="0"/>
            <wp:docPr id="1" name="image3.png" descr="A chart of different controls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3.png" descr="A chart of different controls&#10;&#10;AI-generated content may be incorrect.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343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4A54799" w14:textId="77777777" w:rsidR="0064110E" w:rsidRPr="00C373CC" w:rsidRDefault="0064110E" w:rsidP="0064110E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C373CC">
        <w:rPr>
          <w:rFonts w:ascii="Times New Roman" w:eastAsia="Times New Roman" w:hAnsi="Times New Roman" w:cs="Times New Roman"/>
          <w:b/>
          <w:i/>
          <w:sz w:val="24"/>
          <w:szCs w:val="24"/>
        </w:rPr>
        <w:t>Supplementary Figure 3:</w:t>
      </w:r>
      <w:r w:rsidRPr="00C373C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C373CC">
        <w:rPr>
          <w:rFonts w:ascii="Times New Roman" w:eastAsia="Times New Roman" w:hAnsi="Times New Roman" w:cs="Times New Roman"/>
          <w:b/>
          <w:i/>
          <w:sz w:val="24"/>
          <w:szCs w:val="24"/>
        </w:rPr>
        <w:t>Sex-stratified Pearson correlations between circulating carnitine concentration and age of ALS symptom onset.</w:t>
      </w:r>
      <w:r w:rsidRPr="00C373CC">
        <w:rPr>
          <w:rFonts w:ascii="Times New Roman" w:eastAsia="Times New Roman" w:hAnsi="Times New Roman" w:cs="Times New Roman"/>
          <w:i/>
          <w:sz w:val="24"/>
          <w:szCs w:val="24"/>
        </w:rPr>
        <w:t xml:space="preserve"> Data for females in purple and males in blue.  Shown are data for </w:t>
      </w:r>
      <w:proofErr w:type="spellStart"/>
      <w:r w:rsidRPr="00C373CC">
        <w:rPr>
          <w:rFonts w:ascii="Times New Roman" w:eastAsia="Times New Roman" w:hAnsi="Times New Roman" w:cs="Times New Roman"/>
          <w:i/>
          <w:sz w:val="24"/>
          <w:szCs w:val="24"/>
        </w:rPr>
        <w:t>acetylcarnitine</w:t>
      </w:r>
      <w:proofErr w:type="spellEnd"/>
      <w:r w:rsidRPr="00C373CC">
        <w:rPr>
          <w:rFonts w:ascii="Times New Roman" w:eastAsia="Times New Roman" w:hAnsi="Times New Roman" w:cs="Times New Roman"/>
          <w:i/>
          <w:sz w:val="24"/>
          <w:szCs w:val="24"/>
        </w:rPr>
        <w:t xml:space="preserve"> (top panels) and </w:t>
      </w:r>
      <w:proofErr w:type="spellStart"/>
      <w:r w:rsidRPr="00C373CC">
        <w:rPr>
          <w:rFonts w:ascii="Times New Roman" w:eastAsia="Times New Roman" w:hAnsi="Times New Roman" w:cs="Times New Roman"/>
          <w:i/>
          <w:sz w:val="24"/>
          <w:szCs w:val="24"/>
        </w:rPr>
        <w:t>adipoylcarnitine</w:t>
      </w:r>
      <w:proofErr w:type="spellEnd"/>
      <w:r w:rsidRPr="00C373CC">
        <w:rPr>
          <w:rFonts w:ascii="Times New Roman" w:eastAsia="Times New Roman" w:hAnsi="Times New Roman" w:cs="Times New Roman"/>
          <w:i/>
          <w:sz w:val="24"/>
          <w:szCs w:val="24"/>
        </w:rPr>
        <w:t xml:space="preserve"> (middle panels</w:t>
      </w:r>
      <w:proofErr w:type="gramStart"/>
      <w:r w:rsidRPr="00C373CC">
        <w:rPr>
          <w:rFonts w:ascii="Times New Roman" w:eastAsia="Times New Roman" w:hAnsi="Times New Roman" w:cs="Times New Roman"/>
          <w:i/>
          <w:sz w:val="24"/>
          <w:szCs w:val="24"/>
        </w:rPr>
        <w:t>), and</w:t>
      </w:r>
      <w:proofErr w:type="gramEnd"/>
      <w:r w:rsidRPr="00C373CC">
        <w:rPr>
          <w:rFonts w:ascii="Times New Roman" w:eastAsia="Times New Roman" w:hAnsi="Times New Roman" w:cs="Times New Roman"/>
          <w:i/>
          <w:sz w:val="24"/>
          <w:szCs w:val="24"/>
        </w:rPr>
        <w:t xml:space="preserve"> also shown is the mean expression value of all measured carnitine metabolites (bottom panels). Additional carnitines with a significant male-only correlation (data not shown): </w:t>
      </w:r>
      <w:proofErr w:type="spellStart"/>
      <w:r w:rsidRPr="00C373CC">
        <w:rPr>
          <w:rFonts w:ascii="Times New Roman" w:eastAsia="Times New Roman" w:hAnsi="Times New Roman" w:cs="Times New Roman"/>
          <w:i/>
          <w:sz w:val="24"/>
          <w:szCs w:val="24"/>
        </w:rPr>
        <w:t>docosapentaenoylcarnitine</w:t>
      </w:r>
      <w:proofErr w:type="spellEnd"/>
      <w:r w:rsidRPr="00C373CC">
        <w:rPr>
          <w:rFonts w:ascii="Times New Roman" w:eastAsia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C373CC">
        <w:rPr>
          <w:rFonts w:ascii="Times New Roman" w:eastAsia="Times New Roman" w:hAnsi="Times New Roman" w:cs="Times New Roman"/>
          <w:i/>
          <w:sz w:val="24"/>
          <w:szCs w:val="24"/>
        </w:rPr>
        <w:t>eicosenoylcarnitine</w:t>
      </w:r>
      <w:proofErr w:type="spellEnd"/>
      <w:r w:rsidRPr="00C373CC">
        <w:rPr>
          <w:rFonts w:ascii="Times New Roman" w:eastAsia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C373CC">
        <w:rPr>
          <w:rFonts w:ascii="Times New Roman" w:eastAsia="Times New Roman" w:hAnsi="Times New Roman" w:cs="Times New Roman"/>
          <w:i/>
          <w:sz w:val="24"/>
          <w:szCs w:val="24"/>
        </w:rPr>
        <w:t>laurylcarnitine</w:t>
      </w:r>
      <w:proofErr w:type="spellEnd"/>
      <w:r w:rsidRPr="00C373CC">
        <w:rPr>
          <w:rFonts w:ascii="Times New Roman" w:eastAsia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C373CC">
        <w:rPr>
          <w:rFonts w:ascii="Times New Roman" w:eastAsia="Times New Roman" w:hAnsi="Times New Roman" w:cs="Times New Roman"/>
          <w:i/>
          <w:sz w:val="24"/>
          <w:szCs w:val="24"/>
        </w:rPr>
        <w:t>linolenoylcarnitine</w:t>
      </w:r>
      <w:proofErr w:type="spellEnd"/>
      <w:r w:rsidRPr="00C373CC">
        <w:rPr>
          <w:rFonts w:ascii="Times New Roman" w:eastAsia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C373CC">
        <w:rPr>
          <w:rFonts w:ascii="Times New Roman" w:eastAsia="Times New Roman" w:hAnsi="Times New Roman" w:cs="Times New Roman"/>
          <w:i/>
          <w:sz w:val="24"/>
          <w:szCs w:val="24"/>
        </w:rPr>
        <w:t>myristoleoylcarnitine</w:t>
      </w:r>
      <w:proofErr w:type="spellEnd"/>
      <w:r w:rsidRPr="00C373CC">
        <w:rPr>
          <w:rFonts w:ascii="Times New Roman" w:eastAsia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C373CC">
        <w:rPr>
          <w:rFonts w:ascii="Times New Roman" w:eastAsia="Times New Roman" w:hAnsi="Times New Roman" w:cs="Times New Roman"/>
          <w:i/>
          <w:sz w:val="24"/>
          <w:szCs w:val="24"/>
        </w:rPr>
        <w:t>myristoylcarnitine</w:t>
      </w:r>
      <w:proofErr w:type="spellEnd"/>
      <w:r w:rsidRPr="00C373CC">
        <w:rPr>
          <w:rFonts w:ascii="Times New Roman" w:eastAsia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C373CC">
        <w:rPr>
          <w:rFonts w:ascii="Times New Roman" w:eastAsia="Times New Roman" w:hAnsi="Times New Roman" w:cs="Times New Roman"/>
          <w:i/>
          <w:sz w:val="24"/>
          <w:szCs w:val="24"/>
        </w:rPr>
        <w:t>octadecanedioylcarnitine</w:t>
      </w:r>
      <w:proofErr w:type="spellEnd"/>
      <w:r w:rsidRPr="00C373CC">
        <w:rPr>
          <w:rFonts w:ascii="Times New Roman" w:eastAsia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C373CC">
        <w:rPr>
          <w:rFonts w:ascii="Times New Roman" w:eastAsia="Times New Roman" w:hAnsi="Times New Roman" w:cs="Times New Roman"/>
          <w:i/>
          <w:sz w:val="24"/>
          <w:szCs w:val="24"/>
        </w:rPr>
        <w:t>octadecenedioylcarnitine</w:t>
      </w:r>
      <w:proofErr w:type="spellEnd"/>
      <w:r w:rsidRPr="00C373CC">
        <w:rPr>
          <w:rFonts w:ascii="Times New Roman" w:eastAsia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C373CC">
        <w:rPr>
          <w:rFonts w:ascii="Times New Roman" w:eastAsia="Times New Roman" w:hAnsi="Times New Roman" w:cs="Times New Roman"/>
          <w:i/>
          <w:sz w:val="24"/>
          <w:szCs w:val="24"/>
        </w:rPr>
        <w:t>pimeloylcarnitine</w:t>
      </w:r>
      <w:proofErr w:type="spellEnd"/>
      <w:r w:rsidRPr="00C373CC">
        <w:rPr>
          <w:rFonts w:ascii="Times New Roman" w:eastAsia="Times New Roman" w:hAnsi="Times New Roman" w:cs="Times New Roman"/>
          <w:i/>
          <w:sz w:val="24"/>
          <w:szCs w:val="24"/>
        </w:rPr>
        <w:t>, 3-</w:t>
      </w:r>
      <w:proofErr w:type="gramStart"/>
      <w:r w:rsidRPr="00C373CC">
        <w:rPr>
          <w:rFonts w:ascii="Times New Roman" w:eastAsia="Times New Roman" w:hAnsi="Times New Roman" w:cs="Times New Roman"/>
          <w:i/>
          <w:sz w:val="24"/>
          <w:szCs w:val="24"/>
        </w:rPr>
        <w:t>methyladipoylcarnitine ,</w:t>
      </w:r>
      <w:proofErr w:type="gramEnd"/>
      <w:r w:rsidRPr="00C373CC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373CC">
        <w:rPr>
          <w:rFonts w:ascii="Times New Roman" w:eastAsia="Times New Roman" w:hAnsi="Times New Roman" w:cs="Times New Roman"/>
          <w:i/>
          <w:sz w:val="24"/>
          <w:szCs w:val="24"/>
        </w:rPr>
        <w:t>suberoylcarnitine</w:t>
      </w:r>
      <w:proofErr w:type="spellEnd"/>
      <w:r w:rsidRPr="00C373CC">
        <w:rPr>
          <w:rFonts w:ascii="Times New Roman" w:eastAsia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C373CC">
        <w:rPr>
          <w:rFonts w:ascii="Times New Roman" w:eastAsia="Times New Roman" w:hAnsi="Times New Roman" w:cs="Times New Roman"/>
          <w:i/>
          <w:sz w:val="24"/>
          <w:szCs w:val="24"/>
        </w:rPr>
        <w:t>undecenoylcarnitine</w:t>
      </w:r>
      <w:proofErr w:type="spellEnd"/>
      <w:r w:rsidRPr="00C373CC">
        <w:rPr>
          <w:rFonts w:ascii="Times New Roman" w:eastAsia="Times New Roman" w:hAnsi="Times New Roman" w:cs="Times New Roman"/>
          <w:i/>
          <w:sz w:val="24"/>
          <w:szCs w:val="24"/>
        </w:rPr>
        <w:t>, 3-hydroxybutyrylcarnitine, 3-hydroxydecanoylcarnitine, 3-hydroxyhexanoylcarnitine, 3-hydroxyoctanoylcarnitine, and 5-dodecenoylcarnitine.</w:t>
      </w:r>
    </w:p>
    <w:p w14:paraId="03B8A588" w14:textId="77777777" w:rsidR="0064110E" w:rsidRPr="00C373CC" w:rsidRDefault="0064110E" w:rsidP="0064110E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DB30A14" w14:textId="77777777" w:rsidR="0064110E" w:rsidRPr="00C373CC" w:rsidRDefault="0064110E" w:rsidP="0064110E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38967988" w14:textId="77777777" w:rsidR="0064110E" w:rsidRPr="00C373CC" w:rsidRDefault="0064110E" w:rsidP="0064110E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FC12F31" w14:textId="77777777" w:rsidR="0064110E" w:rsidRDefault="0064110E" w:rsidP="0064110E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373CC">
        <w:rPr>
          <w:rFonts w:ascii="Times New Roman" w:eastAsia="Times New Roman" w:hAnsi="Times New Roman" w:cs="Times New Roman"/>
          <w:b/>
          <w:noProof/>
          <w:sz w:val="20"/>
          <w:szCs w:val="20"/>
        </w:rPr>
        <w:lastRenderedPageBreak/>
        <w:drawing>
          <wp:inline distT="114300" distB="114300" distL="114300" distR="114300" wp14:anchorId="191B2F80" wp14:editId="47D129D9">
            <wp:extent cx="5731200" cy="3733800"/>
            <wp:effectExtent l="0" t="0" r="0" b="0"/>
            <wp:docPr id="5" name="image4.png" descr="A comparison of a graph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 descr="A comparison of a graph&#10;&#10;AI-generated content may be incorrect.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733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C373CC">
        <w:rPr>
          <w:rFonts w:ascii="Times New Roman" w:eastAsia="Times New Roman" w:hAnsi="Times New Roman" w:cs="Times New Roman"/>
          <w:b/>
          <w:sz w:val="20"/>
          <w:szCs w:val="20"/>
        </w:rPr>
        <w:br/>
      </w:r>
      <w:r w:rsidRPr="00C373CC">
        <w:rPr>
          <w:rFonts w:ascii="Times New Roman" w:eastAsia="Times New Roman" w:hAnsi="Times New Roman" w:cs="Times New Roman"/>
          <w:b/>
          <w:sz w:val="20"/>
          <w:szCs w:val="20"/>
        </w:rPr>
        <w:br/>
      </w:r>
    </w:p>
    <w:p w14:paraId="313C745F" w14:textId="77777777" w:rsidR="0064110E" w:rsidRPr="00C373CC" w:rsidRDefault="0064110E" w:rsidP="0064110E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373CC">
        <w:rPr>
          <w:rFonts w:ascii="Times New Roman" w:eastAsia="Times New Roman" w:hAnsi="Times New Roman" w:cs="Times New Roman"/>
          <w:b/>
          <w:sz w:val="24"/>
          <w:szCs w:val="24"/>
        </w:rPr>
        <w:t>Supplementary Figure 4:</w:t>
      </w:r>
      <w:r w:rsidRPr="00C373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373CC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Sex-specific two-sample MR to determine whether there is a causal relationship between circulating concentration of </w:t>
      </w:r>
      <w:proofErr w:type="spellStart"/>
      <w:r w:rsidRPr="00C373CC">
        <w:rPr>
          <w:rFonts w:ascii="Times New Roman" w:eastAsia="Times New Roman" w:hAnsi="Times New Roman" w:cs="Times New Roman"/>
          <w:b/>
          <w:i/>
          <w:sz w:val="24"/>
          <w:szCs w:val="24"/>
        </w:rPr>
        <w:t>acetylcarnitine</w:t>
      </w:r>
      <w:proofErr w:type="spellEnd"/>
      <w:r w:rsidRPr="00C373CC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and risk of ALS</w:t>
      </w:r>
      <w:r w:rsidRPr="00C373CC">
        <w:rPr>
          <w:rFonts w:ascii="Times New Roman" w:eastAsia="Times New Roman" w:hAnsi="Times New Roman" w:cs="Times New Roman"/>
          <w:sz w:val="24"/>
          <w:szCs w:val="24"/>
        </w:rPr>
        <w:t>. Scatter plots for (</w:t>
      </w:r>
      <w:r w:rsidRPr="00C373CC"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r w:rsidRPr="00C373CC">
        <w:rPr>
          <w:rFonts w:ascii="Times New Roman" w:eastAsia="Times New Roman" w:hAnsi="Times New Roman" w:cs="Times New Roman"/>
          <w:sz w:val="24"/>
          <w:szCs w:val="24"/>
        </w:rPr>
        <w:t>) males and (</w:t>
      </w:r>
      <w:r w:rsidRPr="00C373CC">
        <w:rPr>
          <w:rFonts w:ascii="Times New Roman" w:eastAsia="Times New Roman" w:hAnsi="Times New Roman" w:cs="Times New Roman"/>
          <w:b/>
          <w:sz w:val="24"/>
          <w:szCs w:val="24"/>
        </w:rPr>
        <w:t>B</w:t>
      </w:r>
      <w:r w:rsidRPr="00C373CC">
        <w:rPr>
          <w:rFonts w:ascii="Times New Roman" w:eastAsia="Times New Roman" w:hAnsi="Times New Roman" w:cs="Times New Roman"/>
          <w:sz w:val="24"/>
          <w:szCs w:val="24"/>
        </w:rPr>
        <w:t xml:space="preserve">) females. </w:t>
      </w:r>
      <w:r w:rsidRPr="00C373CC">
        <w:rPr>
          <w:rFonts w:ascii="Times New Roman" w:eastAsia="Times New Roman" w:hAnsi="Times New Roman" w:cs="Times New Roman"/>
          <w:i/>
          <w:sz w:val="24"/>
          <w:szCs w:val="24"/>
        </w:rPr>
        <w:t>Each point represents the effect size (β) and standard errors for each SNP–outcome relationship.</w:t>
      </w:r>
      <w:r w:rsidRPr="00C373CC">
        <w:rPr>
          <w:rFonts w:ascii="Times New Roman" w:hAnsi="Times New Roman" w:cs="Times New Roman"/>
        </w:rPr>
        <w:br w:type="page"/>
      </w:r>
    </w:p>
    <w:p w14:paraId="774926DE" w14:textId="77777777" w:rsidR="0064110E" w:rsidRPr="00C373CC" w:rsidRDefault="0064110E" w:rsidP="0064110E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73CC">
        <w:rPr>
          <w:rFonts w:ascii="Times New Roman" w:eastAsia="Times New Roman" w:hAnsi="Times New Roman" w:cs="Times New Roman"/>
          <w:b/>
          <w:i/>
          <w:sz w:val="24"/>
          <w:szCs w:val="24"/>
        </w:rPr>
        <w:lastRenderedPageBreak/>
        <w:t xml:space="preserve">Supplementary Table 1: Metabolome-wide two-sample Mendelian randomization (MR) screen for circulating metabolites causally linked to ALS risk. </w:t>
      </w:r>
      <w:r w:rsidRPr="00C373CC">
        <w:rPr>
          <w:rFonts w:ascii="Times New Roman" w:eastAsia="Times New Roman" w:hAnsi="Times New Roman" w:cs="Times New Roman"/>
          <w:i/>
          <w:sz w:val="24"/>
          <w:szCs w:val="24"/>
        </w:rPr>
        <w:t>N = number of genetic instruments; SE = standard error; Q = Cochran’s Q-test; LOO = Leave-one-out test.</w:t>
      </w:r>
    </w:p>
    <w:p w14:paraId="4C6501FE" w14:textId="77777777" w:rsidR="0064110E" w:rsidRPr="00C373CC" w:rsidRDefault="0064110E" w:rsidP="0064110E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373CC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Supplementary Table 2: Comparison of directly measured concentration of carnitines in plasma from ALS patients and controls. </w:t>
      </w:r>
    </w:p>
    <w:p w14:paraId="5A0A441D" w14:textId="77777777" w:rsidR="0064110E" w:rsidRPr="00C373CC" w:rsidRDefault="0064110E" w:rsidP="0064110E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373CC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Supplementary Table 3: Comparison of directly measured concentration of selected simple carbohydrates in plasma from ALS patients and controls. </w:t>
      </w:r>
    </w:p>
    <w:p w14:paraId="56E3FA61" w14:textId="77777777" w:rsidR="0064110E" w:rsidRPr="00C373CC" w:rsidRDefault="0064110E" w:rsidP="0064110E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C373CC">
        <w:rPr>
          <w:rFonts w:ascii="Times New Roman" w:eastAsia="Times New Roman" w:hAnsi="Times New Roman" w:cs="Times New Roman"/>
          <w:b/>
          <w:i/>
          <w:sz w:val="24"/>
          <w:szCs w:val="24"/>
        </w:rPr>
        <w:t>Supplementary Table 4: Cox regression for the relationship between plasma concentration of selected simple carbohydrates and ALS survival time.</w:t>
      </w:r>
    </w:p>
    <w:p w14:paraId="03094005" w14:textId="77777777" w:rsidR="0064110E" w:rsidRPr="00C373CC" w:rsidRDefault="0064110E" w:rsidP="0064110E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C373CC">
        <w:rPr>
          <w:rFonts w:ascii="Times New Roman" w:eastAsia="Times New Roman" w:hAnsi="Times New Roman" w:cs="Times New Roman"/>
          <w:b/>
          <w:i/>
          <w:sz w:val="24"/>
          <w:szCs w:val="24"/>
        </w:rPr>
        <w:t>Supplementary Table 5: Cox regression for the relationship between plasma concentration of selected simple carbohydrates and ALS age of onset.</w:t>
      </w:r>
    </w:p>
    <w:p w14:paraId="14E9BF0F" w14:textId="77777777" w:rsidR="0064110E" w:rsidRPr="00C373CC" w:rsidRDefault="0064110E" w:rsidP="0064110E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373CC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Supplementary Table 6: NADH production by mouse cortical neurons with and without an ALS-associated C9orf72 G4C2-repeat expansion in different energy substrates. </w:t>
      </w:r>
      <w:r w:rsidRPr="00C373CC">
        <w:rPr>
          <w:rFonts w:ascii="Times New Roman" w:eastAsia="Times New Roman" w:hAnsi="Times New Roman" w:cs="Times New Roman"/>
          <w:i/>
          <w:sz w:val="24"/>
          <w:szCs w:val="24"/>
        </w:rPr>
        <w:t xml:space="preserve">P-value for repeated measures ANOVA shown for each energy substrate. </w:t>
      </w:r>
    </w:p>
    <w:p w14:paraId="6653619D" w14:textId="77777777" w:rsidR="0064110E" w:rsidRPr="00C373CC" w:rsidRDefault="0064110E" w:rsidP="0064110E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373CC">
        <w:rPr>
          <w:rFonts w:ascii="Times New Roman" w:eastAsia="Times New Roman" w:hAnsi="Times New Roman" w:cs="Times New Roman"/>
          <w:b/>
          <w:i/>
          <w:sz w:val="24"/>
          <w:szCs w:val="24"/>
        </w:rPr>
        <w:t>Supplementary Data 1: Raw data for measurements of NADH production by mouse cortical neurons with and without an ALS-associated C9orf72 G4C2-repeat expansion in different energy substrates. (</w:t>
      </w:r>
      <w:r w:rsidRPr="00C373CC">
        <w:rPr>
          <w:rFonts w:ascii="Times New Roman" w:eastAsia="Times New Roman" w:hAnsi="Times New Roman" w:cs="Times New Roman"/>
          <w:i/>
          <w:sz w:val="24"/>
          <w:szCs w:val="24"/>
        </w:rPr>
        <w:t xml:space="preserve">relates to </w:t>
      </w:r>
      <w:r w:rsidRPr="00C373CC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Figure 5 </w:t>
      </w:r>
      <w:r w:rsidRPr="00C373CC">
        <w:rPr>
          <w:rFonts w:ascii="Times New Roman" w:eastAsia="Times New Roman" w:hAnsi="Times New Roman" w:cs="Times New Roman"/>
          <w:i/>
          <w:sz w:val="24"/>
          <w:szCs w:val="24"/>
        </w:rPr>
        <w:t xml:space="preserve">and </w:t>
      </w:r>
      <w:r w:rsidRPr="00C373CC">
        <w:rPr>
          <w:rFonts w:ascii="Times New Roman" w:eastAsia="Times New Roman" w:hAnsi="Times New Roman" w:cs="Times New Roman"/>
          <w:b/>
          <w:i/>
          <w:sz w:val="24"/>
          <w:szCs w:val="24"/>
        </w:rPr>
        <w:t>Supplementary Table 6)</w:t>
      </w:r>
      <w:r w:rsidRPr="00C373C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27D4B999" w14:textId="77777777" w:rsidR="0064110E" w:rsidRPr="00C373CC" w:rsidRDefault="0064110E" w:rsidP="0064110E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6E0FC33" w14:textId="77777777" w:rsidR="0064110E" w:rsidRPr="00C373CC" w:rsidRDefault="0064110E" w:rsidP="0064110E">
      <w:pPr>
        <w:spacing w:before="240" w:after="24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BCD3596" w14:textId="77777777" w:rsidR="00A91650" w:rsidRDefault="00A91650"/>
    <w:sectPr w:rsidR="00A916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110E"/>
    <w:rsid w:val="000E2EDD"/>
    <w:rsid w:val="00543AEC"/>
    <w:rsid w:val="0064110E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EE6E88"/>
  <w15:chartTrackingRefBased/>
  <w15:docId w15:val="{8C1B0A4E-8B2D-4AB1-B9D3-565D76065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110E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4110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4110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4110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4110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4110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4110E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4110E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4110E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4110E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11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411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411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4110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4110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411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411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411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411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411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411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4110E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411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4110E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411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4110E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4110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11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110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4110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426</Words>
  <Characters>2858</Characters>
  <Application>Microsoft Office Word</Application>
  <DocSecurity>0</DocSecurity>
  <Lines>64</Lines>
  <Paragraphs>12</Paragraphs>
  <ScaleCrop>false</ScaleCrop>
  <Company/>
  <LinksUpToDate>false</LinksUpToDate>
  <CharactersWithSpaces>3277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2</cp:revision>
  <dcterms:created xsi:type="dcterms:W3CDTF">2025-10-23T21:10:00Z</dcterms:created>
  <dcterms:modified xsi:type="dcterms:W3CDTF">2025-10-23T21:10:00Z</dcterms:modified>
</cp:coreProperties>
</file>