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33F84" w14:textId="77777777" w:rsidR="007A0B57" w:rsidRDefault="007A0B57" w:rsidP="007A0B57">
      <w:pPr>
        <w:spacing w:after="120" w:line="360" w:lineRule="auto"/>
        <w:rPr>
          <w:rFonts w:ascii="Arial" w:hAnsi="Arial" w:cs="Arial"/>
          <w:bCs/>
          <w:iCs/>
        </w:rPr>
      </w:pPr>
    </w:p>
    <w:p w14:paraId="6A28AA67" w14:textId="77777777" w:rsidR="007A0B57" w:rsidRDefault="007A0B57" w:rsidP="007A0B57">
      <w:pPr>
        <w:spacing w:after="120" w:line="36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</w:rPr>
        <w:drawing>
          <wp:inline distT="0" distB="0" distL="0" distR="0" wp14:anchorId="011C6265" wp14:editId="38F77BEF">
            <wp:extent cx="5943600" cy="3475123"/>
            <wp:effectExtent l="0" t="0" r="0" b="0"/>
            <wp:docPr id="10274158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51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2D1226">
        <w:rPr>
          <w:rFonts w:ascii="Arial" w:hAnsi="Arial" w:cs="Arial"/>
          <w:bCs/>
          <w:iCs/>
        </w:rPr>
        <w:t xml:space="preserve">Supplementary </w:t>
      </w:r>
      <w:r>
        <w:rPr>
          <w:rFonts w:ascii="Arial" w:hAnsi="Arial" w:cs="Arial"/>
          <w:bCs/>
          <w:iCs/>
        </w:rPr>
        <w:t>Figure</w:t>
      </w:r>
      <w:r w:rsidRPr="002D1226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1</w:t>
      </w:r>
      <w:r w:rsidRPr="002D1226">
        <w:rPr>
          <w:rFonts w:ascii="Arial" w:hAnsi="Arial" w:cs="Arial"/>
          <w:bCs/>
          <w:iCs/>
        </w:rPr>
        <w:t xml:space="preserve">. </w:t>
      </w:r>
      <w:r>
        <w:rPr>
          <w:rFonts w:ascii="Arial" w:hAnsi="Arial" w:cs="Arial"/>
          <w:bCs/>
          <w:iCs/>
        </w:rPr>
        <w:t>Bleomycin</w:t>
      </w:r>
      <w:r w:rsidRPr="002D1226">
        <w:rPr>
          <w:rFonts w:ascii="Arial" w:hAnsi="Arial" w:cs="Arial"/>
          <w:bCs/>
          <w:iCs/>
        </w:rPr>
        <w:t>-induced</w:t>
      </w:r>
      <w:r w:rsidRPr="00605DCB">
        <w:rPr>
          <w:rFonts w:ascii="Arial" w:hAnsi="Arial" w:cs="Arial"/>
          <w:bCs/>
          <w:iCs/>
        </w:rPr>
        <w:t xml:space="preserve"> ARDS in mice with </w:t>
      </w:r>
      <w:r>
        <w:rPr>
          <w:rFonts w:ascii="Arial" w:hAnsi="Arial" w:cs="Arial"/>
          <w:bCs/>
          <w:iCs/>
        </w:rPr>
        <w:t xml:space="preserve">myeloid </w:t>
      </w:r>
      <w:r w:rsidRPr="00605DCB">
        <w:rPr>
          <w:rFonts w:ascii="Arial" w:hAnsi="Arial" w:cs="Arial"/>
          <w:bCs/>
          <w:iCs/>
        </w:rPr>
        <w:t>specific NUDT21 knockout.</w:t>
      </w:r>
      <w:r>
        <w:rPr>
          <w:rFonts w:ascii="Arial" w:hAnsi="Arial" w:cs="Arial"/>
          <w:bCs/>
          <w:iCs/>
        </w:rPr>
        <w:t xml:space="preserve"> </w:t>
      </w:r>
      <w:r w:rsidRPr="00605DCB">
        <w:rPr>
          <w:rFonts w:ascii="Arial" w:hAnsi="Arial" w:cs="Arial"/>
          <w:bCs/>
          <w:iCs/>
        </w:rPr>
        <w:t>Nudt21</w:t>
      </w:r>
      <w:r w:rsidRPr="003D74E5">
        <w:rPr>
          <w:rFonts w:ascii="Arial" w:hAnsi="Arial" w:cs="Arial"/>
          <w:bCs/>
          <w:iCs/>
          <w:vertAlign w:val="superscript"/>
        </w:rPr>
        <w:t xml:space="preserve">f/f </w:t>
      </w:r>
      <w:r>
        <w:rPr>
          <w:rFonts w:ascii="Arial" w:hAnsi="Arial" w:cs="Arial"/>
          <w:bCs/>
          <w:iCs/>
        </w:rPr>
        <w:t>LysmCre</w:t>
      </w:r>
      <w:r w:rsidRPr="00605DCB">
        <w:rPr>
          <w:rFonts w:ascii="Arial" w:hAnsi="Arial" w:cs="Arial"/>
          <w:bCs/>
          <w:iCs/>
        </w:rPr>
        <w:t xml:space="preserve"> and their age- and gender-matched control</w:t>
      </w:r>
      <w:r>
        <w:rPr>
          <w:rFonts w:ascii="Arial" w:hAnsi="Arial" w:cs="Arial"/>
          <w:bCs/>
          <w:iCs/>
        </w:rPr>
        <w:t xml:space="preserve"> LysmCre</w:t>
      </w:r>
      <w:r w:rsidRPr="00605DCB">
        <w:rPr>
          <w:rFonts w:ascii="Arial" w:hAnsi="Arial" w:cs="Arial"/>
          <w:bCs/>
          <w:iCs/>
        </w:rPr>
        <w:t xml:space="preserve"> mice were</w:t>
      </w:r>
      <w:r>
        <w:rPr>
          <w:rFonts w:ascii="Arial" w:hAnsi="Arial" w:cs="Arial"/>
          <w:bCs/>
          <w:iCs/>
        </w:rPr>
        <w:t xml:space="preserve"> </w:t>
      </w:r>
      <w:r w:rsidRPr="00605DCB">
        <w:rPr>
          <w:rFonts w:ascii="Arial" w:hAnsi="Arial" w:cs="Arial"/>
          <w:bCs/>
          <w:iCs/>
        </w:rPr>
        <w:t xml:space="preserve">injected with 2.5 </w:t>
      </w:r>
      <w:r>
        <w:rPr>
          <w:rFonts w:ascii="Arial" w:hAnsi="Arial" w:cs="Arial"/>
          <w:bCs/>
          <w:iCs/>
        </w:rPr>
        <w:t>U</w:t>
      </w:r>
      <w:r w:rsidRPr="00605DCB">
        <w:rPr>
          <w:rFonts w:ascii="Arial" w:hAnsi="Arial" w:cs="Arial"/>
          <w:bCs/>
          <w:iCs/>
        </w:rPr>
        <w:t xml:space="preserve">/kg </w:t>
      </w:r>
      <w:r>
        <w:rPr>
          <w:rFonts w:ascii="Arial" w:hAnsi="Arial" w:cs="Arial"/>
          <w:bCs/>
          <w:iCs/>
        </w:rPr>
        <w:t>bleomycin</w:t>
      </w:r>
      <w:r w:rsidRPr="00605DCB">
        <w:rPr>
          <w:rFonts w:ascii="Arial" w:hAnsi="Arial" w:cs="Arial"/>
          <w:bCs/>
          <w:iCs/>
        </w:rPr>
        <w:t xml:space="preserve"> via OPA to induce ARDS. The lungs were analyzed</w:t>
      </w:r>
      <w:r>
        <w:rPr>
          <w:rFonts w:ascii="Arial" w:hAnsi="Arial" w:cs="Arial"/>
          <w:bCs/>
          <w:iCs/>
        </w:rPr>
        <w:t xml:space="preserve"> one day after</w:t>
      </w:r>
      <w:r w:rsidRPr="00605DCB">
        <w:rPr>
          <w:rFonts w:ascii="Arial" w:hAnsi="Arial" w:cs="Arial"/>
          <w:bCs/>
          <w:iCs/>
        </w:rPr>
        <w:t>.</w:t>
      </w:r>
      <w:r>
        <w:rPr>
          <w:rFonts w:ascii="Arial" w:hAnsi="Arial" w:cs="Arial"/>
          <w:bCs/>
          <w:iCs/>
        </w:rPr>
        <w:t xml:space="preserve"> (A) Treatment timeline.</w:t>
      </w:r>
      <w:r w:rsidRPr="00605DCB">
        <w:rPr>
          <w:rFonts w:ascii="Arial" w:hAnsi="Arial" w:cs="Arial"/>
          <w:bCs/>
          <w:iCs/>
        </w:rPr>
        <w:t xml:space="preserve"> (</w:t>
      </w:r>
      <w:r>
        <w:rPr>
          <w:rFonts w:ascii="Arial" w:hAnsi="Arial" w:cs="Arial"/>
          <w:bCs/>
          <w:iCs/>
        </w:rPr>
        <w:t>B</w:t>
      </w:r>
      <w:r w:rsidRPr="00605DCB">
        <w:rPr>
          <w:rFonts w:ascii="Arial" w:hAnsi="Arial" w:cs="Arial"/>
          <w:bCs/>
          <w:iCs/>
        </w:rPr>
        <w:t>)The immune cell number</w:t>
      </w:r>
      <w:r>
        <w:rPr>
          <w:rFonts w:ascii="Arial" w:hAnsi="Arial" w:cs="Arial"/>
          <w:bCs/>
          <w:iCs/>
        </w:rPr>
        <w:t>s</w:t>
      </w:r>
      <w:r w:rsidRPr="00605DCB">
        <w:rPr>
          <w:rFonts w:ascii="Arial" w:hAnsi="Arial" w:cs="Arial"/>
          <w:bCs/>
          <w:iCs/>
        </w:rPr>
        <w:t xml:space="preserve"> in the BAL. (C</w:t>
      </w:r>
      <w:r>
        <w:rPr>
          <w:rFonts w:ascii="Arial" w:hAnsi="Arial" w:cs="Arial"/>
          <w:bCs/>
          <w:iCs/>
        </w:rPr>
        <w:t xml:space="preserve"> and D</w:t>
      </w:r>
      <w:r w:rsidRPr="00605DCB">
        <w:rPr>
          <w:rFonts w:ascii="Arial" w:hAnsi="Arial" w:cs="Arial"/>
          <w:bCs/>
          <w:iCs/>
        </w:rPr>
        <w:t>) The cytokine</w:t>
      </w:r>
      <w:r>
        <w:rPr>
          <w:rFonts w:ascii="Arial" w:hAnsi="Arial" w:cs="Arial"/>
          <w:bCs/>
          <w:iCs/>
        </w:rPr>
        <w:t xml:space="preserve"> transcript</w:t>
      </w:r>
      <w:r w:rsidRPr="00605DCB">
        <w:rPr>
          <w:rFonts w:ascii="Arial" w:hAnsi="Arial" w:cs="Arial"/>
          <w:bCs/>
          <w:iCs/>
        </w:rPr>
        <w:t xml:space="preserve"> levels in </w:t>
      </w:r>
      <w:r>
        <w:rPr>
          <w:rFonts w:ascii="Arial" w:hAnsi="Arial" w:cs="Arial"/>
          <w:bCs/>
          <w:iCs/>
        </w:rPr>
        <w:t xml:space="preserve">(C) </w:t>
      </w:r>
      <w:r w:rsidRPr="00605DCB">
        <w:rPr>
          <w:rFonts w:ascii="Arial" w:hAnsi="Arial" w:cs="Arial"/>
          <w:bCs/>
          <w:iCs/>
        </w:rPr>
        <w:t>the</w:t>
      </w:r>
      <w:r>
        <w:rPr>
          <w:rFonts w:ascii="Arial" w:hAnsi="Arial" w:cs="Arial"/>
          <w:bCs/>
          <w:iCs/>
        </w:rPr>
        <w:t xml:space="preserve"> whole lung and (D)</w:t>
      </w:r>
      <w:r w:rsidRPr="00605DCB">
        <w:rPr>
          <w:rFonts w:ascii="Arial" w:hAnsi="Arial" w:cs="Arial"/>
          <w:bCs/>
          <w:iCs/>
        </w:rPr>
        <w:t xml:space="preserve"> BAL cells were determined using RT-qPCR. (</w:t>
      </w:r>
      <w:r>
        <w:rPr>
          <w:rFonts w:ascii="Arial" w:hAnsi="Arial" w:cs="Arial"/>
          <w:bCs/>
          <w:iCs/>
        </w:rPr>
        <w:t>E</w:t>
      </w:r>
      <w:r w:rsidRPr="00605DCB">
        <w:rPr>
          <w:rFonts w:ascii="Arial" w:hAnsi="Arial" w:cs="Arial"/>
          <w:bCs/>
          <w:iCs/>
        </w:rPr>
        <w:t xml:space="preserve">) </w:t>
      </w:r>
      <w:r>
        <w:rPr>
          <w:rFonts w:ascii="Arial" w:hAnsi="Arial" w:cs="Arial"/>
          <w:bCs/>
          <w:iCs/>
        </w:rPr>
        <w:t xml:space="preserve">Representative </w:t>
      </w:r>
      <w:r w:rsidRPr="00605DCB">
        <w:rPr>
          <w:rFonts w:ascii="Arial" w:hAnsi="Arial" w:cs="Arial"/>
          <w:bCs/>
          <w:iCs/>
        </w:rPr>
        <w:t xml:space="preserve">H&amp;E </w:t>
      </w:r>
      <w:r>
        <w:rPr>
          <w:rFonts w:ascii="Arial" w:hAnsi="Arial" w:cs="Arial"/>
          <w:bCs/>
          <w:iCs/>
        </w:rPr>
        <w:t>stained</w:t>
      </w:r>
      <w:r w:rsidRPr="00605DCB">
        <w:rPr>
          <w:rFonts w:ascii="Arial" w:hAnsi="Arial" w:cs="Arial"/>
          <w:bCs/>
          <w:iCs/>
        </w:rPr>
        <w:t xml:space="preserve"> lungs. (</w:t>
      </w:r>
      <w:r>
        <w:rPr>
          <w:rFonts w:ascii="Arial" w:hAnsi="Arial" w:cs="Arial"/>
          <w:bCs/>
          <w:iCs/>
        </w:rPr>
        <w:t>F</w:t>
      </w:r>
      <w:r w:rsidRPr="00605DCB">
        <w:rPr>
          <w:rFonts w:ascii="Arial" w:hAnsi="Arial" w:cs="Arial"/>
          <w:bCs/>
          <w:iCs/>
        </w:rPr>
        <w:t>) The lung injury scores were blindly determined. Scale bar =</w:t>
      </w:r>
      <w:r>
        <w:rPr>
          <w:rFonts w:ascii="Arial" w:hAnsi="Arial" w:cs="Arial"/>
          <w:bCs/>
          <w:iCs/>
        </w:rPr>
        <w:t>50</w:t>
      </w:r>
      <w:r w:rsidRPr="00605DCB">
        <w:rPr>
          <w:rFonts w:ascii="Arial" w:hAnsi="Arial" w:cs="Arial"/>
          <w:bCs/>
          <w:iCs/>
        </w:rPr>
        <w:t>0 μm.</w:t>
      </w:r>
      <w:r>
        <w:rPr>
          <w:rFonts w:ascii="Arial" w:hAnsi="Arial" w:cs="Arial"/>
          <w:bCs/>
          <w:iCs/>
        </w:rPr>
        <w:t xml:space="preserve"> N≥9. * P&lt;0.05, ** P&lt;0.01 and *** P&lt;0.001 </w:t>
      </w:r>
      <w:r w:rsidRPr="004D5F8A">
        <w:rPr>
          <w:rFonts w:ascii="Arial" w:hAnsi="Arial" w:cs="Arial"/>
          <w:bCs/>
          <w:iCs/>
          <w:color w:val="000000"/>
        </w:rPr>
        <w:t>based on a two-tailed student t-test</w:t>
      </w:r>
      <w:r>
        <w:rPr>
          <w:rFonts w:ascii="Arial" w:hAnsi="Arial" w:cs="Arial"/>
          <w:bCs/>
          <w:iCs/>
          <w:color w:val="000000"/>
        </w:rPr>
        <w:t xml:space="preserve">. </w:t>
      </w:r>
    </w:p>
    <w:p w14:paraId="351E3093" w14:textId="77777777" w:rsidR="007A0B57" w:rsidRDefault="007A0B57" w:rsidP="007A0B57">
      <w:pPr>
        <w:spacing w:after="120" w:line="360" w:lineRule="auto"/>
        <w:rPr>
          <w:rFonts w:ascii="Arial" w:hAnsi="Arial" w:cs="Arial"/>
          <w:bCs/>
          <w:iCs/>
        </w:rPr>
      </w:pPr>
    </w:p>
    <w:p w14:paraId="623A343E" w14:textId="77777777" w:rsidR="007A0B57" w:rsidRDefault="007A0B57" w:rsidP="007A0B57">
      <w:pPr>
        <w:spacing w:after="120" w:line="36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</w:rPr>
        <w:lastRenderedPageBreak/>
        <w:drawing>
          <wp:inline distT="0" distB="0" distL="0" distR="0" wp14:anchorId="095A3EFE" wp14:editId="662F59EF">
            <wp:extent cx="5943600" cy="3550412"/>
            <wp:effectExtent l="0" t="0" r="0" b="0"/>
            <wp:docPr id="132939585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504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F31B3E" w14:textId="77777777" w:rsidR="007A0B57" w:rsidRDefault="007A0B57" w:rsidP="007A0B57">
      <w:pPr>
        <w:spacing w:after="120" w:line="360" w:lineRule="auto"/>
        <w:rPr>
          <w:rFonts w:ascii="Arial" w:hAnsi="Arial" w:cs="Arial"/>
          <w:bCs/>
          <w:iCs/>
        </w:rPr>
      </w:pPr>
      <w:r w:rsidRPr="002D1226">
        <w:rPr>
          <w:rFonts w:ascii="Arial" w:hAnsi="Arial" w:cs="Arial"/>
          <w:bCs/>
          <w:iCs/>
        </w:rPr>
        <w:t xml:space="preserve">Supplementary </w:t>
      </w:r>
      <w:r>
        <w:rPr>
          <w:rFonts w:ascii="Arial" w:hAnsi="Arial" w:cs="Arial"/>
          <w:bCs/>
          <w:iCs/>
        </w:rPr>
        <w:t>Figure</w:t>
      </w:r>
      <w:r w:rsidRPr="002D1226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2</w:t>
      </w:r>
      <w:r w:rsidRPr="002D1226">
        <w:rPr>
          <w:rFonts w:ascii="Arial" w:hAnsi="Arial" w:cs="Arial"/>
          <w:bCs/>
          <w:iCs/>
        </w:rPr>
        <w:t>. LPS-induced</w:t>
      </w:r>
      <w:r w:rsidRPr="00605DCB">
        <w:rPr>
          <w:rFonts w:ascii="Arial" w:hAnsi="Arial" w:cs="Arial"/>
          <w:bCs/>
          <w:iCs/>
        </w:rPr>
        <w:t xml:space="preserve"> ARDS in mice with epithelial specific NUDT21 knockout. Nudt21f/f SPCCreER and their age- and gender-matched control</w:t>
      </w:r>
      <w:r>
        <w:rPr>
          <w:rFonts w:ascii="Arial" w:hAnsi="Arial" w:cs="Arial"/>
          <w:bCs/>
          <w:iCs/>
        </w:rPr>
        <w:t xml:space="preserve"> </w:t>
      </w:r>
      <w:r w:rsidRPr="00605DCB">
        <w:rPr>
          <w:rFonts w:ascii="Arial" w:hAnsi="Arial" w:cs="Arial"/>
          <w:bCs/>
          <w:iCs/>
        </w:rPr>
        <w:t xml:space="preserve">SPCCreER mice were </w:t>
      </w:r>
      <w:r>
        <w:rPr>
          <w:rFonts w:ascii="Arial" w:hAnsi="Arial" w:cs="Arial"/>
          <w:bCs/>
          <w:iCs/>
        </w:rPr>
        <w:t xml:space="preserve">i.p. injected with tamoxifen (37.5 mg/kg daily) for 3 days. One week after the first tamoxifen injection, mice were </w:t>
      </w:r>
      <w:r w:rsidRPr="00605DCB">
        <w:rPr>
          <w:rFonts w:ascii="Arial" w:hAnsi="Arial" w:cs="Arial"/>
          <w:bCs/>
          <w:iCs/>
        </w:rPr>
        <w:t>injected with 2.5 mg/kg LPS via OPA to induce ARDS. The lungs were analyzed</w:t>
      </w:r>
      <w:r>
        <w:rPr>
          <w:rFonts w:ascii="Arial" w:hAnsi="Arial" w:cs="Arial"/>
          <w:bCs/>
          <w:iCs/>
        </w:rPr>
        <w:t xml:space="preserve"> on</w:t>
      </w:r>
      <w:r w:rsidRPr="00605DCB">
        <w:rPr>
          <w:rFonts w:ascii="Arial" w:hAnsi="Arial" w:cs="Arial"/>
          <w:bCs/>
          <w:iCs/>
        </w:rPr>
        <w:t xml:space="preserve"> day 3</w:t>
      </w:r>
      <w:r>
        <w:rPr>
          <w:rFonts w:ascii="Arial" w:hAnsi="Arial" w:cs="Arial"/>
          <w:bCs/>
          <w:iCs/>
        </w:rPr>
        <w:t xml:space="preserve"> after LPS</w:t>
      </w:r>
      <w:r w:rsidRPr="00605DCB">
        <w:rPr>
          <w:rFonts w:ascii="Arial" w:hAnsi="Arial" w:cs="Arial"/>
          <w:bCs/>
          <w:iCs/>
        </w:rPr>
        <w:t xml:space="preserve">. NUDT21 protein levels were examined in </w:t>
      </w:r>
      <w:r>
        <w:rPr>
          <w:rFonts w:ascii="Arial" w:hAnsi="Arial" w:cs="Arial"/>
          <w:bCs/>
          <w:iCs/>
        </w:rPr>
        <w:t>(A)</w:t>
      </w:r>
      <w:r w:rsidRPr="00605DCB">
        <w:rPr>
          <w:rFonts w:ascii="Arial" w:hAnsi="Arial" w:cs="Arial"/>
          <w:bCs/>
          <w:iCs/>
        </w:rPr>
        <w:t xml:space="preserve"> primary isolated alveolar epithelial cells from mice without LPS injection. (</w:t>
      </w:r>
      <w:r>
        <w:rPr>
          <w:rFonts w:ascii="Arial" w:hAnsi="Arial" w:cs="Arial"/>
          <w:bCs/>
          <w:iCs/>
        </w:rPr>
        <w:t>B</w:t>
      </w:r>
      <w:r w:rsidRPr="00605DCB">
        <w:rPr>
          <w:rFonts w:ascii="Arial" w:hAnsi="Arial" w:cs="Arial"/>
          <w:bCs/>
          <w:iCs/>
        </w:rPr>
        <w:t>)The immune cell number in the BAL. (C) The cytokine levels in the BAL cells were determined using RT-qPCR. (D)</w:t>
      </w:r>
      <w:r>
        <w:rPr>
          <w:rFonts w:ascii="Arial" w:hAnsi="Arial" w:cs="Arial"/>
          <w:bCs/>
          <w:iCs/>
        </w:rPr>
        <w:t xml:space="preserve"> The protein levels of IL6 and TNFA in the BAL fluid were measured using ELISA. (E)</w:t>
      </w:r>
      <w:r w:rsidRPr="00605DCB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 xml:space="preserve">Representative </w:t>
      </w:r>
      <w:r w:rsidRPr="00605DCB">
        <w:rPr>
          <w:rFonts w:ascii="Arial" w:hAnsi="Arial" w:cs="Arial"/>
          <w:bCs/>
          <w:iCs/>
        </w:rPr>
        <w:t xml:space="preserve">H&amp;E </w:t>
      </w:r>
      <w:r>
        <w:rPr>
          <w:rFonts w:ascii="Arial" w:hAnsi="Arial" w:cs="Arial"/>
          <w:bCs/>
          <w:iCs/>
        </w:rPr>
        <w:t>stained</w:t>
      </w:r>
      <w:r w:rsidRPr="00605DCB">
        <w:rPr>
          <w:rFonts w:ascii="Arial" w:hAnsi="Arial" w:cs="Arial"/>
          <w:bCs/>
          <w:iCs/>
        </w:rPr>
        <w:t xml:space="preserve"> lungs. (</w:t>
      </w:r>
      <w:r>
        <w:rPr>
          <w:rFonts w:ascii="Arial" w:hAnsi="Arial" w:cs="Arial"/>
          <w:bCs/>
          <w:iCs/>
        </w:rPr>
        <w:t>F</w:t>
      </w:r>
      <w:r w:rsidRPr="00605DCB">
        <w:rPr>
          <w:rFonts w:ascii="Arial" w:hAnsi="Arial" w:cs="Arial"/>
          <w:bCs/>
          <w:iCs/>
        </w:rPr>
        <w:t>) The lung injury scores were blindly determined. Scale bar =</w:t>
      </w:r>
      <w:r>
        <w:rPr>
          <w:rFonts w:ascii="Arial" w:hAnsi="Arial" w:cs="Arial"/>
          <w:bCs/>
          <w:iCs/>
        </w:rPr>
        <w:t>10</w:t>
      </w:r>
      <w:r w:rsidRPr="00605DCB">
        <w:rPr>
          <w:rFonts w:ascii="Arial" w:hAnsi="Arial" w:cs="Arial"/>
          <w:bCs/>
          <w:iCs/>
        </w:rPr>
        <w:t>00 μm.</w:t>
      </w:r>
    </w:p>
    <w:p w14:paraId="226908DE" w14:textId="77777777" w:rsidR="007A0B57" w:rsidRDefault="007A0B57" w:rsidP="007A0B57">
      <w:pPr>
        <w:spacing w:after="120" w:line="360" w:lineRule="auto"/>
        <w:rPr>
          <w:rFonts w:ascii="Arial" w:hAnsi="Arial" w:cs="Arial"/>
          <w:bCs/>
          <w:iCs/>
        </w:rPr>
      </w:pPr>
    </w:p>
    <w:p w14:paraId="3286037E" w14:textId="77777777" w:rsidR="007A0B57" w:rsidRDefault="007A0B57" w:rsidP="007A0B57">
      <w:pPr>
        <w:spacing w:after="120" w:line="36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  <w:noProof/>
        </w:rPr>
        <w:lastRenderedPageBreak/>
        <w:drawing>
          <wp:inline distT="0" distB="0" distL="0" distR="0" wp14:anchorId="419A007D" wp14:editId="4C118D02">
            <wp:extent cx="4620895" cy="2066925"/>
            <wp:effectExtent l="0" t="0" r="0" b="0"/>
            <wp:docPr id="12005582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40C041" w14:textId="77777777" w:rsidR="007A0B57" w:rsidRPr="00991797" w:rsidRDefault="007A0B57" w:rsidP="007A0B57">
      <w:pPr>
        <w:pStyle w:val="BodyText"/>
        <w:spacing w:line="360" w:lineRule="auto"/>
        <w:rPr>
          <w:rFonts w:ascii="Arial" w:hAnsi="Arial" w:cs="Arial"/>
          <w:bCs/>
          <w:iCs/>
          <w:sz w:val="22"/>
          <w:szCs w:val="22"/>
        </w:rPr>
      </w:pPr>
      <w:r w:rsidRPr="00991797">
        <w:rPr>
          <w:rFonts w:ascii="Arial" w:hAnsi="Arial" w:cs="Arial"/>
          <w:bCs/>
          <w:iCs/>
          <w:sz w:val="22"/>
          <w:szCs w:val="22"/>
        </w:rPr>
        <w:t xml:space="preserve">Supplementary </w:t>
      </w:r>
      <w:r>
        <w:rPr>
          <w:rFonts w:ascii="Arial" w:hAnsi="Arial" w:cs="Arial"/>
          <w:bCs/>
          <w:iCs/>
          <w:sz w:val="22"/>
          <w:szCs w:val="22"/>
        </w:rPr>
        <w:t>Figure</w:t>
      </w:r>
      <w:r w:rsidRPr="00991797">
        <w:rPr>
          <w:rFonts w:ascii="Arial" w:hAnsi="Arial" w:cs="Arial"/>
          <w:bCs/>
          <w:iCs/>
          <w:sz w:val="22"/>
          <w:szCs w:val="22"/>
        </w:rPr>
        <w:t xml:space="preserve"> </w:t>
      </w:r>
      <w:r>
        <w:rPr>
          <w:rFonts w:ascii="Arial" w:hAnsi="Arial" w:cs="Arial"/>
          <w:bCs/>
          <w:iCs/>
          <w:sz w:val="22"/>
          <w:szCs w:val="22"/>
        </w:rPr>
        <w:t>3</w:t>
      </w:r>
      <w:r w:rsidRPr="00991797">
        <w:rPr>
          <w:rFonts w:ascii="Arial" w:hAnsi="Arial" w:cs="Arial"/>
          <w:bCs/>
          <w:iCs/>
          <w:color w:val="000000"/>
          <w:sz w:val="22"/>
          <w:szCs w:val="22"/>
        </w:rPr>
        <w:t xml:space="preserve">. </w:t>
      </w:r>
      <w:r w:rsidRPr="00991797">
        <w:rPr>
          <w:rFonts w:ascii="Arial" w:hAnsi="Arial" w:cs="Arial"/>
          <w:bCs/>
          <w:iCs/>
          <w:sz w:val="22"/>
          <w:szCs w:val="22"/>
        </w:rPr>
        <w:t xml:space="preserve">NUDT21 </w:t>
      </w:r>
      <w:r>
        <w:rPr>
          <w:rFonts w:ascii="Arial" w:hAnsi="Arial" w:cs="Arial"/>
          <w:bCs/>
          <w:iCs/>
          <w:sz w:val="22"/>
          <w:szCs w:val="22"/>
        </w:rPr>
        <w:t>restoration</w:t>
      </w:r>
      <w:r w:rsidRPr="00991797">
        <w:rPr>
          <w:rFonts w:ascii="Arial" w:hAnsi="Arial" w:cs="Arial"/>
          <w:bCs/>
          <w:iCs/>
          <w:sz w:val="22"/>
          <w:szCs w:val="22"/>
        </w:rPr>
        <w:t xml:space="preserve"> in bone marrow attenuates lung injury</w:t>
      </w:r>
      <w:r>
        <w:rPr>
          <w:rFonts w:ascii="Arial" w:hAnsi="Arial" w:cs="Arial"/>
          <w:bCs/>
          <w:iCs/>
          <w:sz w:val="22"/>
          <w:szCs w:val="22"/>
        </w:rPr>
        <w:t xml:space="preserve"> in KO mice</w:t>
      </w:r>
      <w:r w:rsidRPr="00991797">
        <w:rPr>
          <w:rFonts w:ascii="Arial" w:hAnsi="Arial" w:cs="Arial"/>
          <w:bCs/>
          <w:iCs/>
          <w:sz w:val="22"/>
          <w:szCs w:val="22"/>
        </w:rPr>
        <w:t>. Bone marrow from CD45.1-bearing mice was transplanted into lethally irradiated Nudt21</w:t>
      </w:r>
      <w:r w:rsidRPr="00991797">
        <w:rPr>
          <w:rFonts w:ascii="Arial" w:hAnsi="Arial" w:cs="Arial"/>
          <w:bCs/>
          <w:iCs/>
          <w:sz w:val="22"/>
          <w:szCs w:val="22"/>
          <w:vertAlign w:val="superscript"/>
        </w:rPr>
        <w:t>f/f</w:t>
      </w:r>
      <w:r w:rsidRPr="00991797">
        <w:rPr>
          <w:rFonts w:ascii="Arial" w:hAnsi="Arial" w:cs="Arial"/>
          <w:bCs/>
          <w:iCs/>
          <w:sz w:val="22"/>
          <w:szCs w:val="22"/>
        </w:rPr>
        <w:t xml:space="preserve"> LysmCre and control mice recipients. Bleomycin (2.5U/kg) was injected via OPA 12 weeks later to induce ARDS</w:t>
      </w:r>
      <w:r>
        <w:rPr>
          <w:rFonts w:ascii="Arial" w:hAnsi="Arial" w:cs="Arial"/>
          <w:bCs/>
          <w:iCs/>
          <w:sz w:val="22"/>
          <w:szCs w:val="22"/>
        </w:rPr>
        <w:t>,</w:t>
      </w:r>
      <w:r w:rsidRPr="00991797">
        <w:rPr>
          <w:rFonts w:ascii="Arial" w:hAnsi="Arial" w:cs="Arial"/>
          <w:bCs/>
          <w:iCs/>
          <w:sz w:val="22"/>
          <w:szCs w:val="22"/>
        </w:rPr>
        <w:t xml:space="preserve"> and the lungs were assessed one day after. (A) The number of immune cells in BAL. (B) Total BAL protein levels were determined using a BCA analysis. (C) RT qPCR measured transcript levels of </w:t>
      </w:r>
      <w:r w:rsidRPr="00392A41">
        <w:rPr>
          <w:rFonts w:ascii="Arial" w:hAnsi="Arial" w:cs="Arial"/>
          <w:bCs/>
          <w:i/>
          <w:sz w:val="22"/>
          <w:szCs w:val="22"/>
        </w:rPr>
        <w:t>Ccl2, Cxcl1, Il1b, Il6, Il8</w:t>
      </w:r>
      <w:r w:rsidRPr="00991797">
        <w:rPr>
          <w:rFonts w:ascii="Arial" w:hAnsi="Arial" w:cs="Arial"/>
          <w:bCs/>
          <w:iCs/>
          <w:sz w:val="22"/>
          <w:szCs w:val="22"/>
        </w:rPr>
        <w:t xml:space="preserve">, and </w:t>
      </w:r>
      <w:r w:rsidRPr="00392A41">
        <w:rPr>
          <w:rFonts w:ascii="Arial" w:hAnsi="Arial" w:cs="Arial"/>
          <w:bCs/>
          <w:i/>
          <w:sz w:val="22"/>
          <w:szCs w:val="22"/>
        </w:rPr>
        <w:t>Tnfa</w:t>
      </w:r>
      <w:r w:rsidRPr="00991797">
        <w:rPr>
          <w:rFonts w:ascii="Arial" w:hAnsi="Arial" w:cs="Arial"/>
          <w:bCs/>
          <w:iCs/>
          <w:sz w:val="22"/>
          <w:szCs w:val="22"/>
        </w:rPr>
        <w:t xml:space="preserve"> in BAL cells. </w:t>
      </w:r>
      <w:r w:rsidRPr="00991797">
        <w:rPr>
          <w:rFonts w:ascii="Arial" w:hAnsi="Arial" w:cs="Arial"/>
          <w:bCs/>
          <w:iCs/>
          <w:color w:val="000000"/>
          <w:sz w:val="22"/>
          <w:szCs w:val="22"/>
        </w:rPr>
        <w:t xml:space="preserve">*p&lt;0.05 vs control mice based on a two-tailed </w:t>
      </w:r>
      <w:r>
        <w:rPr>
          <w:rFonts w:ascii="Arial" w:hAnsi="Arial" w:cs="Arial"/>
          <w:bCs/>
          <w:iCs/>
          <w:color w:val="000000"/>
          <w:sz w:val="22"/>
          <w:szCs w:val="22"/>
        </w:rPr>
        <w:t>Student's</w:t>
      </w:r>
      <w:r w:rsidRPr="00991797">
        <w:rPr>
          <w:rFonts w:ascii="Arial" w:hAnsi="Arial" w:cs="Arial"/>
          <w:bCs/>
          <w:iCs/>
          <w:color w:val="000000"/>
          <w:sz w:val="22"/>
          <w:szCs w:val="22"/>
        </w:rPr>
        <w:t xml:space="preserve"> t-test. </w:t>
      </w:r>
    </w:p>
    <w:p w14:paraId="2C72B313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B57"/>
    <w:rsid w:val="002978F5"/>
    <w:rsid w:val="003852CF"/>
    <w:rsid w:val="004E780C"/>
    <w:rsid w:val="00773326"/>
    <w:rsid w:val="007A0B5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B327"/>
  <w15:chartTrackingRefBased/>
  <w15:docId w15:val="{60A527D8-CB85-4D9E-B096-E35AB2C9B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B57"/>
    <w:pPr>
      <w:spacing w:after="200" w:line="276" w:lineRule="auto"/>
    </w:pPr>
    <w:rPr>
      <w:rFonts w:eastAsiaTheme="minorEastAsia"/>
      <w:sz w:val="22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0B5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B5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B5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B5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B5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B5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B5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B5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B5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B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B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B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B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B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B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B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A0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B5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A0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B57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A0B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B57"/>
    <w:pPr>
      <w:spacing w:after="160" w:line="278" w:lineRule="auto"/>
      <w:ind w:left="720"/>
      <w:contextualSpacing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7A0B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B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B5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rsid w:val="007A0B57"/>
    <w:pPr>
      <w:autoSpaceDE w:val="0"/>
      <w:autoSpaceDN w:val="0"/>
      <w:spacing w:after="120" w:line="240" w:lineRule="auto"/>
    </w:pPr>
    <w:rPr>
      <w:rFonts w:ascii="Times" w:eastAsia="SimSun" w:hAnsi="Times" w:cs="Times"/>
      <w:kern w:val="0"/>
      <w:sz w:val="24"/>
      <w:szCs w:val="24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99"/>
    <w:rsid w:val="007A0B57"/>
    <w:rPr>
      <w:rFonts w:ascii="Times" w:eastAsia="SimSun" w:hAnsi="Times" w:cs="Times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290</Words>
  <Characters>1755</Characters>
  <Application>Microsoft Office Word</Application>
  <DocSecurity>0</DocSecurity>
  <Lines>30</Lines>
  <Paragraphs>9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2025-10-24T05:28:00Z</dcterms:created>
  <dcterms:modified xsi:type="dcterms:W3CDTF">2025-10-24T05:29:00Z</dcterms:modified>
</cp:coreProperties>
</file>