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Supplementary appendix. </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Methods. </w:t>
      </w:r>
    </w:p>
    <w:p w:rsidR="00000000" w:rsidDel="00000000" w:rsidP="00000000" w:rsidRDefault="00000000" w:rsidRPr="00000000" w14:paraId="0000000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next generation sequencing (NGS) panels. </w:t>
      </w:r>
      <w:r w:rsidDel="00000000" w:rsidR="00000000" w:rsidRPr="00000000">
        <w:rPr>
          <w:rtl w:val="0"/>
        </w:rPr>
      </w:r>
    </w:p>
    <w:p w:rsidR="00000000" w:rsidDel="00000000" w:rsidP="00000000" w:rsidRDefault="00000000" w:rsidRPr="00000000" w14:paraId="0000000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Panmyeloid Consortium Panel (Panmyeloid_v1) from SophiaGenetics, which includes the genes mentioned in Appendix 1; sequencer: Illumina NextSeq; minimum depth: 1000x; analysis software: Sophia DDM; databases consulted: COSMIC, ExAC, 1000Genomes, ClinVar, P53 Database. </w:t>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Haematology OncoKitDx CE IVD, Healthincode, Imegen. Ref: IMG-363. The genes included in the panel are listed in Appendix 1; sequencer: Illumina NextSeq; minimum depth: 200x; analysis software: DataGenomics (Imegen); databases consulted: COSMIC, ExAC, 1000Genomes, ClinVar, P53 Database, Varsome. </w:t>
      </w:r>
    </w:p>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shd w:fill="fff2cc" w:val="clear"/>
        </w:rPr>
      </w:pPr>
      <w:r w:rsidDel="00000000" w:rsidR="00000000" w:rsidRPr="00000000">
        <w:rPr>
          <w:rFonts w:ascii="Times New Roman" w:cs="Times New Roman" w:eastAsia="Times New Roman" w:hAnsi="Times New Roman"/>
          <w:b w:val="1"/>
          <w:sz w:val="24"/>
          <w:szCs w:val="24"/>
          <w:rtl w:val="0"/>
        </w:rPr>
        <w:t xml:space="preserve">Statistical methods.</w:t>
      </w:r>
      <w:r w:rsidDel="00000000" w:rsidR="00000000" w:rsidRPr="00000000">
        <w:rPr>
          <w:rFonts w:ascii="Times New Roman" w:cs="Times New Roman" w:eastAsia="Times New Roman" w:hAnsi="Times New Roman"/>
          <w:sz w:val="24"/>
          <w:szCs w:val="24"/>
          <w:shd w:fill="fff2cc" w:val="clear"/>
          <w:rtl w:val="0"/>
        </w:rPr>
        <w:t xml:space="preserve"> </w:t>
      </w:r>
    </w:p>
    <w:p w:rsidR="00000000" w:rsidDel="00000000" w:rsidP="00000000" w:rsidRDefault="00000000" w:rsidRPr="00000000" w14:paraId="000000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variables were scaled for random forest models. Missing data (&lt;5%) was evaluated, and a multiple imputation procedure was performed using the K-nearest neighbors method. Descriptive statistical procedures were used, employing the median and interquartile range (IQR) for quantitative variables and percentage and absolute number for qualitative variables. To estimate the difference between them, a Mann-Whitney U test and a chi-square test were used, respectively, with a significance level of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&lt; 0.05. For the bivariate Pearson correlation analysis, the quantitative variables of percentage of variant allele frequency (%VAF) were taken for each </w:t>
      </w:r>
      <w:r w:rsidDel="00000000" w:rsidR="00000000" w:rsidRPr="00000000">
        <w:rPr>
          <w:rFonts w:ascii="Times New Roman" w:cs="Times New Roman" w:eastAsia="Times New Roman" w:hAnsi="Times New Roman"/>
          <w:i w:val="1"/>
          <w:sz w:val="24"/>
          <w:szCs w:val="24"/>
          <w:rtl w:val="0"/>
        </w:rPr>
        <w:t xml:space="preserve">PHF6</w:t>
      </w:r>
      <w:r w:rsidDel="00000000" w:rsidR="00000000" w:rsidRPr="00000000">
        <w:rPr>
          <w:rFonts w:ascii="Times New Roman" w:cs="Times New Roman" w:eastAsia="Times New Roman" w:hAnsi="Times New Roman"/>
          <w:i w:val="1"/>
          <w:sz w:val="24"/>
          <w:szCs w:val="24"/>
          <w:vertAlign w:val="superscript"/>
          <w:rtl w:val="0"/>
        </w:rPr>
        <w:t xml:space="preserve">MUT</w:t>
      </w:r>
      <w:r w:rsidDel="00000000" w:rsidR="00000000" w:rsidRPr="00000000">
        <w:rPr>
          <w:rFonts w:ascii="Times New Roman" w:cs="Times New Roman" w:eastAsia="Times New Roman" w:hAnsi="Times New Roman"/>
          <w:sz w:val="24"/>
          <w:szCs w:val="24"/>
          <w:rtl w:val="0"/>
        </w:rPr>
        <w:t xml:space="preserve"> and other genetic mutations. Three multivariable Cox regression models were adjusted for time to death (OS), use of second-line treatment (time-to-next therapy [TTNT]), blast transformation (time to blast transformation [TTBT]), and progression-free survival (PFS). In addition, considering the number of </w:t>
      </w:r>
      <w:r w:rsidDel="00000000" w:rsidR="00000000" w:rsidRPr="00000000">
        <w:rPr>
          <w:rFonts w:ascii="Times New Roman" w:cs="Times New Roman" w:eastAsia="Times New Roman" w:hAnsi="Times New Roman"/>
          <w:i w:val="1"/>
          <w:sz w:val="24"/>
          <w:szCs w:val="24"/>
          <w:rtl w:val="0"/>
        </w:rPr>
        <w:t xml:space="preserve">PHF6</w:t>
      </w:r>
      <w:r w:rsidDel="00000000" w:rsidR="00000000" w:rsidRPr="00000000">
        <w:rPr>
          <w:rFonts w:ascii="Times New Roman" w:cs="Times New Roman" w:eastAsia="Times New Roman" w:hAnsi="Times New Roman"/>
          <w:i w:val="1"/>
          <w:sz w:val="24"/>
          <w:szCs w:val="24"/>
          <w:vertAlign w:val="superscript"/>
          <w:rtl w:val="0"/>
        </w:rPr>
        <w:t xml:space="preserve">MUT</w:t>
      </w:r>
      <w:r w:rsidDel="00000000" w:rsidR="00000000" w:rsidRPr="00000000">
        <w:rPr>
          <w:rFonts w:ascii="Times New Roman" w:cs="Times New Roman" w:eastAsia="Times New Roman" w:hAnsi="Times New Roman"/>
          <w:sz w:val="24"/>
          <w:szCs w:val="24"/>
          <w:rtl w:val="0"/>
        </w:rPr>
        <w:t xml:space="preserve">, the Firth-type Cox models were performed. Assumptions of proportional hazards, log-hazard linearity, and non-collinearity were validated. The C statistic and other performance metrics were calculated. The hazard ratio (HR) and its respective 95% confidence interval (95% CI) were used to estimate the effect. Survival curves were used to visualize the time-to-event outcomes, and the probability of death was calculated using the Kaplan-Meier method. The median survival was estimated for each group of myeloid neoplasms. In addition, considering possible nonlinear effects, models were adjusted with restricted cubic splines with 4 degrees of freedom and fractional polynomials for variables such as % variant allele frequency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VAF) of </w:t>
      </w:r>
      <w:r w:rsidDel="00000000" w:rsidR="00000000" w:rsidRPr="00000000">
        <w:rPr>
          <w:rFonts w:ascii="Times New Roman" w:cs="Times New Roman" w:eastAsia="Times New Roman" w:hAnsi="Times New Roman"/>
          <w:i w:val="1"/>
          <w:sz w:val="24"/>
          <w:szCs w:val="24"/>
          <w:rtl w:val="0"/>
        </w:rPr>
        <w:t xml:space="preserve">PHF6</w:t>
      </w:r>
      <w:r w:rsidDel="00000000" w:rsidR="00000000" w:rsidRPr="00000000">
        <w:rPr>
          <w:rFonts w:ascii="Times New Roman" w:cs="Times New Roman" w:eastAsia="Times New Roman" w:hAnsi="Times New Roman"/>
          <w:i w:val="1"/>
          <w:sz w:val="24"/>
          <w:szCs w:val="24"/>
          <w:vertAlign w:val="superscript"/>
          <w:rtl w:val="0"/>
        </w:rPr>
        <w:t xml:space="preserve">MUT</w:t>
      </w:r>
      <w:r w:rsidDel="00000000" w:rsidR="00000000" w:rsidRPr="00000000">
        <w:rPr>
          <w:rFonts w:ascii="Times New Roman" w:cs="Times New Roman" w:eastAsia="Times New Roman" w:hAnsi="Times New Roman"/>
          <w:sz w:val="24"/>
          <w:szCs w:val="24"/>
          <w:rtl w:val="0"/>
        </w:rPr>
        <w:t xml:space="preserve">, peripheral blood blast count, and age. Finally, given the potential variation in the prognostic significance of </w:t>
      </w:r>
      <w:r w:rsidDel="00000000" w:rsidR="00000000" w:rsidRPr="00000000">
        <w:rPr>
          <w:rFonts w:ascii="Times New Roman" w:cs="Times New Roman" w:eastAsia="Times New Roman" w:hAnsi="Times New Roman"/>
          <w:i w:val="1"/>
          <w:sz w:val="24"/>
          <w:szCs w:val="24"/>
          <w:rtl w:val="0"/>
        </w:rPr>
        <w:t xml:space="preserve">PHF6</w:t>
      </w:r>
      <w:r w:rsidDel="00000000" w:rsidR="00000000" w:rsidRPr="00000000">
        <w:rPr>
          <w:rFonts w:ascii="Times New Roman" w:cs="Times New Roman" w:eastAsia="Times New Roman" w:hAnsi="Times New Roman"/>
          <w:i w:val="1"/>
          <w:sz w:val="24"/>
          <w:szCs w:val="24"/>
          <w:vertAlign w:val="superscript"/>
          <w:rtl w:val="0"/>
        </w:rPr>
        <w:t xml:space="preserve">MUT</w:t>
      </w:r>
      <w:r w:rsidDel="00000000" w:rsidR="00000000" w:rsidRPr="00000000">
        <w:rPr>
          <w:rFonts w:ascii="Times New Roman" w:cs="Times New Roman" w:eastAsia="Times New Roman" w:hAnsi="Times New Roman"/>
          <w:sz w:val="24"/>
          <w:szCs w:val="24"/>
          <w:rtl w:val="0"/>
        </w:rPr>
        <w:t xml:space="preserve"> reported in the literature across different myeloid neoplasms (MNs), the number of </w:t>
      </w:r>
      <w:r w:rsidDel="00000000" w:rsidR="00000000" w:rsidRPr="00000000">
        <w:rPr>
          <w:rFonts w:ascii="Times New Roman" w:cs="Times New Roman" w:eastAsia="Times New Roman" w:hAnsi="Times New Roman"/>
          <w:i w:val="1"/>
          <w:sz w:val="24"/>
          <w:szCs w:val="24"/>
          <w:rtl w:val="0"/>
        </w:rPr>
        <w:t xml:space="preserve">PHF6</w:t>
      </w:r>
      <w:r w:rsidDel="00000000" w:rsidR="00000000" w:rsidRPr="00000000">
        <w:rPr>
          <w:rFonts w:ascii="Times New Roman" w:cs="Times New Roman" w:eastAsia="Times New Roman" w:hAnsi="Times New Roman"/>
          <w:i w:val="1"/>
          <w:sz w:val="24"/>
          <w:szCs w:val="24"/>
          <w:vertAlign w:val="superscript"/>
          <w:rtl w:val="0"/>
        </w:rPr>
        <w:t xml:space="preserve">MUT</w:t>
      </w:r>
      <w:r w:rsidDel="00000000" w:rsidR="00000000" w:rsidRPr="00000000">
        <w:rPr>
          <w:rFonts w:ascii="Times New Roman" w:cs="Times New Roman" w:eastAsia="Times New Roman" w:hAnsi="Times New Roman"/>
          <w:sz w:val="24"/>
          <w:szCs w:val="24"/>
          <w:rtl w:val="0"/>
        </w:rPr>
        <w:t xml:space="preserve"> individuals, and the number of OS outcomes, a multilevel logistic model was adjusted using the diagnosis category (5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World Health Organization Classification [WHO-5]) variable to estimate the random effects of exposure to </w:t>
      </w:r>
      <w:r w:rsidDel="00000000" w:rsidR="00000000" w:rsidRPr="00000000">
        <w:rPr>
          <w:rFonts w:ascii="Times New Roman" w:cs="Times New Roman" w:eastAsia="Times New Roman" w:hAnsi="Times New Roman"/>
          <w:i w:val="1"/>
          <w:sz w:val="24"/>
          <w:szCs w:val="24"/>
          <w:rtl w:val="0"/>
        </w:rPr>
        <w:t xml:space="preserve">PHF6</w:t>
      </w:r>
      <w:r w:rsidDel="00000000" w:rsidR="00000000" w:rsidRPr="00000000">
        <w:rPr>
          <w:rFonts w:ascii="Times New Roman" w:cs="Times New Roman" w:eastAsia="Times New Roman" w:hAnsi="Times New Roman"/>
          <w:i w:val="1"/>
          <w:sz w:val="24"/>
          <w:szCs w:val="24"/>
          <w:vertAlign w:val="superscript"/>
          <w:rtl w:val="0"/>
        </w:rPr>
        <w:t xml:space="preserve">MUT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select model characteristics and evaluate the robustness of the findings, RF models were used, with 500 trees and 1000 interactions and an average of 6 nodes using the VAF variables of switched genes. The Gini index was calculated as a measure of total variance and a measure of “node” (bifurcation) purity. Statistical analyses were performed using the specialized statistical software R and its interface, RStudio version 4.2.2 (R Core Team (2023). R: A Language and Environment for Statistical Computing. R Foundation for Statistical Computing,   Vienna, Austria. &lt;</w:t>
      </w:r>
      <w:hyperlink r:id="rId6">
        <w:r w:rsidDel="00000000" w:rsidR="00000000" w:rsidRPr="00000000">
          <w:rPr>
            <w:rFonts w:ascii="Times New Roman" w:cs="Times New Roman" w:eastAsia="Times New Roman" w:hAnsi="Times New Roman"/>
            <w:sz w:val="24"/>
            <w:szCs w:val="24"/>
            <w:u w:val="single"/>
            <w:rtl w:val="0"/>
          </w:rPr>
          <w:t xml:space="preserve">https://www.R-project.org/</w:t>
        </w:r>
      </w:hyperlink>
      <w:r w:rsidDel="00000000" w:rsidR="00000000" w:rsidRPr="00000000">
        <w:rPr>
          <w:rFonts w:ascii="Times New Roman" w:cs="Times New Roman" w:eastAsia="Times New Roman" w:hAnsi="Times New Roman"/>
          <w:sz w:val="24"/>
          <w:szCs w:val="24"/>
          <w:rtl w:val="0"/>
        </w:rPr>
        <w:t xml:space="preserve">&gt;).</w:t>
      </w:r>
    </w:p>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Ethical statement. </w:t>
      </w:r>
    </w:p>
    <w:p w:rsidR="00000000" w:rsidDel="00000000" w:rsidP="00000000" w:rsidRDefault="00000000" w:rsidRPr="00000000" w14:paraId="0000000C">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The study was conducted by the recommendations contained in the Declaration of Helsinki (5th WMA General Assembly, Helsinki, Finland, October 2024; </w:t>
      </w:r>
      <w:r w:rsidDel="00000000" w:rsidR="00000000" w:rsidRPr="00000000">
        <w:rPr>
          <w:rFonts w:ascii="Times New Roman" w:cs="Times New Roman" w:eastAsia="Times New Roman" w:hAnsi="Times New Roman"/>
          <w:sz w:val="24"/>
          <w:szCs w:val="24"/>
          <w:highlight w:val="white"/>
          <w:rtl w:val="0"/>
        </w:rPr>
        <w:t xml:space="preserve">World Medical Association. World Medical Association Declaration of Helsinki: Ethical Principles for Medical Research Involving Human Participants. </w:t>
      </w:r>
      <w:r w:rsidDel="00000000" w:rsidR="00000000" w:rsidRPr="00000000">
        <w:rPr>
          <w:rFonts w:ascii="Times New Roman" w:cs="Times New Roman" w:eastAsia="Times New Roman" w:hAnsi="Times New Roman"/>
          <w:i w:val="1"/>
          <w:sz w:val="24"/>
          <w:szCs w:val="24"/>
          <w:highlight w:val="white"/>
          <w:rtl w:val="0"/>
        </w:rPr>
        <w:t xml:space="preserve">JAMA</w:t>
      </w:r>
      <w:r w:rsidDel="00000000" w:rsidR="00000000" w:rsidRPr="00000000">
        <w:rPr>
          <w:rFonts w:ascii="Times New Roman" w:cs="Times New Roman" w:eastAsia="Times New Roman" w:hAnsi="Times New Roman"/>
          <w:sz w:val="24"/>
          <w:szCs w:val="24"/>
          <w:highlight w:val="white"/>
          <w:rtl w:val="0"/>
        </w:rPr>
        <w:t xml:space="preserve">. 2025;333(1):71-74. doi:10.1001/jama.2024.21972</w:t>
      </w:r>
      <w:r w:rsidDel="00000000" w:rsidR="00000000" w:rsidRPr="00000000">
        <w:rPr>
          <w:rFonts w:ascii="Times New Roman" w:cs="Times New Roman" w:eastAsia="Times New Roman" w:hAnsi="Times New Roman"/>
          <w:sz w:val="24"/>
          <w:szCs w:val="24"/>
          <w:rtl w:val="0"/>
        </w:rPr>
        <w:t xml:space="preserve">), and the Standards of Good Clinical Practice. </w:t>
      </w: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Systematic review methodology.</w:t>
      </w:r>
    </w:p>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systematic review of the literature was conducted, following the recommendations of Preferred Reporting Items of Systematic Reviews and Meta-Analyses (PRISMA) to evaluate the prognostic role of </w:t>
      </w:r>
      <w:r w:rsidDel="00000000" w:rsidR="00000000" w:rsidRPr="00000000">
        <w:rPr>
          <w:rFonts w:ascii="Times New Roman" w:cs="Times New Roman" w:eastAsia="Times New Roman" w:hAnsi="Times New Roman"/>
          <w:i w:val="1"/>
          <w:sz w:val="24"/>
          <w:szCs w:val="24"/>
          <w:rtl w:val="0"/>
        </w:rPr>
        <w:t xml:space="preserve">PHF6</w:t>
      </w:r>
      <w:r w:rsidDel="00000000" w:rsidR="00000000" w:rsidRPr="00000000">
        <w:rPr>
          <w:rFonts w:ascii="Times New Roman" w:cs="Times New Roman" w:eastAsia="Times New Roman" w:hAnsi="Times New Roman"/>
          <w:i w:val="1"/>
          <w:sz w:val="24"/>
          <w:szCs w:val="24"/>
          <w:vertAlign w:val="superscript"/>
          <w:rtl w:val="0"/>
        </w:rPr>
        <w:t xml:space="preserve">MUT</w:t>
      </w:r>
      <w:r w:rsidDel="00000000" w:rsidR="00000000" w:rsidRPr="00000000">
        <w:rPr>
          <w:rFonts w:ascii="Times New Roman" w:cs="Times New Roman" w:eastAsia="Times New Roman" w:hAnsi="Times New Roman"/>
          <w:sz w:val="24"/>
          <w:szCs w:val="24"/>
          <w:rtl w:val="0"/>
        </w:rPr>
        <w:t xml:space="preserve"> in MNs.. The search was conducted in MEDLINE, EMBASE, and Cochrane Library, using the terms “</w:t>
      </w:r>
      <w:r w:rsidDel="00000000" w:rsidR="00000000" w:rsidRPr="00000000">
        <w:rPr>
          <w:rFonts w:ascii="Times New Roman" w:cs="Times New Roman" w:eastAsia="Times New Roman" w:hAnsi="Times New Roman"/>
          <w:i w:val="1"/>
          <w:sz w:val="24"/>
          <w:szCs w:val="24"/>
          <w:rtl w:val="0"/>
        </w:rPr>
        <w:t xml:space="preserve">PHF6</w:t>
      </w:r>
      <w:r w:rsidDel="00000000" w:rsidR="00000000" w:rsidRPr="00000000">
        <w:rPr>
          <w:rFonts w:ascii="Times New Roman" w:cs="Times New Roman" w:eastAsia="Times New Roman" w:hAnsi="Times New Roman"/>
          <w:sz w:val="24"/>
          <w:szCs w:val="24"/>
          <w:rtl w:val="0"/>
        </w:rPr>
        <w:t xml:space="preserve">” and “mutation” (the following limits were used: language [English, Spanish, French]; Abstract, Full text, Humans). Studies that had evaluated the prognostic value (OS, PFS, response to treatment, blast transformation, etc.) of </w:t>
      </w:r>
      <w:r w:rsidDel="00000000" w:rsidR="00000000" w:rsidRPr="00000000">
        <w:rPr>
          <w:rFonts w:ascii="Times New Roman" w:cs="Times New Roman" w:eastAsia="Times New Roman" w:hAnsi="Times New Roman"/>
          <w:i w:val="1"/>
          <w:sz w:val="24"/>
          <w:szCs w:val="24"/>
          <w:rtl w:val="0"/>
        </w:rPr>
        <w:t xml:space="preserve">PHF6</w:t>
      </w:r>
      <w:r w:rsidDel="00000000" w:rsidR="00000000" w:rsidRPr="00000000">
        <w:rPr>
          <w:rFonts w:ascii="Times New Roman" w:cs="Times New Roman" w:eastAsia="Times New Roman" w:hAnsi="Times New Roman"/>
          <w:i w:val="1"/>
          <w:sz w:val="24"/>
          <w:szCs w:val="24"/>
          <w:vertAlign w:val="superscript"/>
          <w:rtl w:val="0"/>
        </w:rPr>
        <w:t xml:space="preserve">MUT</w:t>
      </w:r>
      <w:r w:rsidDel="00000000" w:rsidR="00000000" w:rsidRPr="00000000">
        <w:rPr>
          <w:rFonts w:ascii="Times New Roman" w:cs="Times New Roman" w:eastAsia="Times New Roman" w:hAnsi="Times New Roman"/>
          <w:sz w:val="24"/>
          <w:szCs w:val="24"/>
          <w:rtl w:val="0"/>
        </w:rPr>
        <w:t xml:space="preserve"> exclusively in MNs were selected. Bibliographic references from the most representative studies and reviews on the subject were also evaluated. Unpublished works in these databases were searched through the supplementary volumes of the most relevant conferences in the fields of hematology and hemopathology.</w:t>
      </w:r>
    </w:p>
    <w:p w:rsidR="00000000" w:rsidDel="00000000" w:rsidP="00000000" w:rsidRDefault="00000000" w:rsidRPr="00000000" w14:paraId="0000001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 </w:t>
      </w:r>
    </w:p>
    <w:p w:rsidR="00000000" w:rsidDel="00000000" w:rsidP="00000000" w:rsidRDefault="00000000" w:rsidRPr="00000000" w14:paraId="0000001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Tables. </w:t>
      </w:r>
    </w:p>
    <w:p w:rsidR="00000000" w:rsidDel="00000000" w:rsidP="00000000" w:rsidRDefault="00000000" w:rsidRPr="00000000" w14:paraId="0000001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S1.  Studies that consider the role of</w:t>
      </w:r>
      <w:r w:rsidDel="00000000" w:rsidR="00000000" w:rsidRPr="00000000">
        <w:rPr>
          <w:rFonts w:ascii="Times New Roman" w:cs="Times New Roman" w:eastAsia="Times New Roman" w:hAnsi="Times New Roman"/>
          <w:b w:val="1"/>
          <w:i w:val="1"/>
          <w:sz w:val="24"/>
          <w:szCs w:val="24"/>
          <w:rtl w:val="0"/>
        </w:rPr>
        <w:t xml:space="preserve"> PHF6</w:t>
      </w:r>
      <w:r w:rsidDel="00000000" w:rsidR="00000000" w:rsidRPr="00000000">
        <w:rPr>
          <w:rFonts w:ascii="Times New Roman" w:cs="Times New Roman" w:eastAsia="Times New Roman" w:hAnsi="Times New Roman"/>
          <w:b w:val="1"/>
          <w:i w:val="1"/>
          <w:sz w:val="24"/>
          <w:szCs w:val="24"/>
          <w:vertAlign w:val="superscript"/>
          <w:rtl w:val="0"/>
        </w:rPr>
        <w:t xml:space="preserve">MUT</w:t>
      </w:r>
      <w:r w:rsidDel="00000000" w:rsidR="00000000" w:rsidRPr="00000000">
        <w:rPr>
          <w:rFonts w:ascii="Times New Roman" w:cs="Times New Roman" w:eastAsia="Times New Roman" w:hAnsi="Times New Roman"/>
          <w:b w:val="1"/>
          <w:sz w:val="24"/>
          <w:szCs w:val="24"/>
          <w:rtl w:val="0"/>
        </w:rPr>
        <w:t xml:space="preserve"> as a prognostic factor.</w:t>
      </w:r>
    </w:p>
    <w:p w:rsidR="00000000" w:rsidDel="00000000" w:rsidP="00000000" w:rsidRDefault="00000000" w:rsidRPr="00000000" w14:paraId="00000013">
      <w:pPr>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1890"/>
        <w:gridCol w:w="2820"/>
        <w:gridCol w:w="2310"/>
        <w:tblGridChange w:id="0">
          <w:tblGrid>
            <w:gridCol w:w="2340"/>
            <w:gridCol w:w="1890"/>
            <w:gridCol w:w="2820"/>
            <w:gridCol w:w="231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Study* / Date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 of patients/MN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Main results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Study design</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color w:val="212121"/>
                <w:sz w:val="20"/>
                <w:szCs w:val="20"/>
                <w:highlight w:val="white"/>
                <w:rtl w:val="0"/>
              </w:rPr>
              <w:t xml:space="preserve">Patel </w:t>
            </w:r>
            <w:r w:rsidDel="00000000" w:rsidR="00000000" w:rsidRPr="00000000">
              <w:rPr>
                <w:rFonts w:ascii="Times New Roman" w:cs="Times New Roman" w:eastAsia="Times New Roman" w:hAnsi="Times New Roman"/>
                <w:color w:val="212121"/>
                <w:sz w:val="20"/>
                <w:szCs w:val="20"/>
                <w:highlight w:val="white"/>
                <w:rtl w:val="0"/>
              </w:rPr>
              <w:t xml:space="preserve"> </w:t>
            </w:r>
            <w:r w:rsidDel="00000000" w:rsidR="00000000" w:rsidRPr="00000000">
              <w:rPr>
                <w:rFonts w:ascii="Times New Roman" w:cs="Times New Roman" w:eastAsia="Times New Roman" w:hAnsi="Times New Roman"/>
                <w:i w:val="1"/>
                <w:sz w:val="20"/>
                <w:szCs w:val="20"/>
                <w:rtl w:val="0"/>
              </w:rPr>
              <w:t xml:space="preserve">(ECOG E1900 trial; USA), </w:t>
            </w:r>
            <w:r w:rsidDel="00000000" w:rsidR="00000000" w:rsidRPr="00000000">
              <w:rPr>
                <w:rFonts w:ascii="Times New Roman" w:cs="Times New Roman" w:eastAsia="Times New Roman" w:hAnsi="Times New Roman"/>
                <w:color w:val="212121"/>
                <w:sz w:val="20"/>
                <w:szCs w:val="20"/>
                <w:highlight w:val="white"/>
                <w:rtl w:val="0"/>
              </w:rPr>
              <w:t xml:space="preserve">2012</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398; AML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sz w:val="20"/>
                <w:szCs w:val="20"/>
                <w:rtl w:val="0"/>
              </w:rPr>
              <w:t xml:space="preserve"> 3%.  Univariate analysis: Associated with reduced OS; identifies the intermediate risk group. Not significant in multivariate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Prospective;</w:t>
            </w:r>
            <w:r w:rsidDel="00000000" w:rsidR="00000000" w:rsidRPr="00000000">
              <w:rPr>
                <w:rFonts w:ascii="Times New Roman" w:cs="Times New Roman" w:eastAsia="Times New Roman" w:hAnsi="Times New Roman"/>
                <w:i w:val="1"/>
                <w:sz w:val="20"/>
                <w:szCs w:val="20"/>
                <w:rtl w:val="0"/>
              </w:rPr>
              <w:t xml:space="preserve"> post hoc.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Thota (USA), </w:t>
            </w:r>
            <w:r w:rsidDel="00000000" w:rsidR="00000000" w:rsidRPr="00000000">
              <w:rPr>
                <w:rFonts w:ascii="Times New Roman" w:cs="Times New Roman" w:eastAsia="Times New Roman" w:hAnsi="Times New Roman"/>
                <w:sz w:val="20"/>
                <w:szCs w:val="20"/>
                <w:rtl w:val="0"/>
              </w:rPr>
              <w:t xml:space="preserve">2013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168; MDS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Among the mutations that predict response, </w:t>
            </w: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sz w:val="20"/>
                <w:szCs w:val="20"/>
                <w:rtl w:val="0"/>
              </w:rPr>
              <w:t xml:space="preserve"> (OR 4.22).</w:t>
            </w:r>
            <w:r w:rsidDel="00000000" w:rsidR="00000000" w:rsidRPr="00000000">
              <w:rPr>
                <w:rFonts w:ascii="Times New Roman" w:cs="Times New Roman" w:eastAsia="Times New Roman" w:hAnsi="Times New Roman"/>
                <w:i w:val="1"/>
                <w:sz w:val="20"/>
                <w:szCs w:val="20"/>
                <w:rtl w:val="0"/>
              </w:rPr>
              <w:tab/>
            </w:r>
          </w:p>
          <w:p w:rsidR="00000000" w:rsidDel="00000000" w:rsidP="00000000" w:rsidRDefault="00000000" w:rsidRPr="00000000" w14:paraId="0000001F">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Retrospective; Meeting Abstract.</w:t>
            </w:r>
            <w:r w:rsidDel="00000000" w:rsidR="00000000" w:rsidRPr="00000000">
              <w:rPr>
                <w:rtl w:val="0"/>
              </w:rPr>
            </w:r>
          </w:p>
        </w:tc>
      </w:tr>
      <w:tr>
        <w:trPr>
          <w:cantSplit w:val="0"/>
          <w:trHeight w:val="1575.7617187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Heuser </w:t>
            </w:r>
            <w:r w:rsidDel="00000000" w:rsidR="00000000" w:rsidRPr="00000000">
              <w:rPr>
                <w:rFonts w:ascii="Times New Roman" w:cs="Times New Roman" w:eastAsia="Times New Roman" w:hAnsi="Times New Roman"/>
                <w:sz w:val="20"/>
                <w:szCs w:val="20"/>
                <w:rtl w:val="0"/>
              </w:rPr>
              <w:t xml:space="preserve">(Germany), 2015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308; MDS or secondary AML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color w:val="1a1a1a"/>
                <w:sz w:val="20"/>
                <w:szCs w:val="20"/>
                <w:rtl w:val="0"/>
              </w:rPr>
              <w:t xml:space="preserve"> 4,9%; impact on OS (HR 2.2). In addition, mutations in </w:t>
            </w:r>
            <w:r w:rsidDel="00000000" w:rsidR="00000000" w:rsidRPr="00000000">
              <w:rPr>
                <w:rFonts w:ascii="Times New Roman" w:cs="Times New Roman" w:eastAsia="Times New Roman" w:hAnsi="Times New Roman"/>
                <w:i w:val="1"/>
                <w:color w:val="1a1a1a"/>
                <w:sz w:val="20"/>
                <w:szCs w:val="20"/>
                <w:rtl w:val="0"/>
              </w:rPr>
              <w:t xml:space="preserve">PTPN11</w:t>
            </w:r>
            <w:r w:rsidDel="00000000" w:rsidR="00000000" w:rsidRPr="00000000">
              <w:rPr>
                <w:rFonts w:ascii="Times New Roman" w:cs="Times New Roman" w:eastAsia="Times New Roman" w:hAnsi="Times New Roman"/>
                <w:color w:val="1a1a1a"/>
                <w:sz w:val="20"/>
                <w:szCs w:val="20"/>
                <w:rtl w:val="0"/>
              </w:rPr>
              <w:t xml:space="preserve"> and </w:t>
            </w:r>
            <w:r w:rsidDel="00000000" w:rsidR="00000000" w:rsidRPr="00000000">
              <w:rPr>
                <w:rFonts w:ascii="Times New Roman" w:cs="Times New Roman" w:eastAsia="Times New Roman" w:hAnsi="Times New Roman"/>
                <w:i w:val="1"/>
                <w:color w:val="1a1a1a"/>
                <w:sz w:val="20"/>
                <w:szCs w:val="20"/>
                <w:rtl w:val="0"/>
              </w:rPr>
              <w:t xml:space="preserve">PHF6 </w:t>
            </w:r>
            <w:r w:rsidDel="00000000" w:rsidR="00000000" w:rsidRPr="00000000">
              <w:rPr>
                <w:rFonts w:ascii="Times New Roman" w:cs="Times New Roman" w:eastAsia="Times New Roman" w:hAnsi="Times New Roman"/>
                <w:color w:val="1a1a1a"/>
                <w:sz w:val="20"/>
                <w:szCs w:val="20"/>
                <w:rtl w:val="0"/>
              </w:rPr>
              <w:t xml:space="preserve">predicted a high incidence of non-relapse mortality.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Meeting Abstract.</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Mori</w:t>
            </w:r>
            <w:r w:rsidDel="00000000" w:rsidR="00000000" w:rsidRPr="00000000">
              <w:rPr>
                <w:rFonts w:ascii="Times New Roman" w:cs="Times New Roman" w:eastAsia="Times New Roman" w:hAnsi="Times New Roman"/>
                <w:sz w:val="20"/>
                <w:szCs w:val="20"/>
                <w:rtl w:val="0"/>
              </w:rPr>
              <w:t xml:space="preserve"> (Japan), 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1760; MNs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sz w:val="20"/>
                <w:szCs w:val="20"/>
                <w:rtl w:val="0"/>
              </w:rPr>
              <w:t xml:space="preserve"> 3,1%. There was no association with prognosis (OS).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w:t>
            </w:r>
          </w:p>
        </w:tc>
      </w:tr>
      <w:tr>
        <w:trPr>
          <w:cantSplit w:val="0"/>
          <w:trHeight w:val="1114.92187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0"/>
                <w:szCs w:val="20"/>
                <w:rtl w:val="0"/>
              </w:rPr>
              <w:t xml:space="preserve">Gaidzik</w:t>
            </w:r>
            <w:r w:rsidDel="00000000" w:rsidR="00000000" w:rsidRPr="00000000">
              <w:rPr>
                <w:rFonts w:ascii="Times New Roman" w:cs="Times New Roman" w:eastAsia="Times New Roman" w:hAnsi="Times New Roman"/>
                <w:sz w:val="20"/>
                <w:szCs w:val="20"/>
                <w:rtl w:val="0"/>
              </w:rPr>
              <w:t xml:space="preserve"> (Germany), 2016.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Times New Roman" w:cs="Times New Roman" w:eastAsia="Times New Roman" w:hAnsi="Times New Roman"/>
                <w:i w:val="1"/>
                <w:sz w:val="20"/>
                <w:szCs w:val="20"/>
                <w:vertAlign w:val="superscript"/>
              </w:rPr>
            </w:pPr>
            <w:r w:rsidDel="00000000" w:rsidR="00000000" w:rsidRPr="00000000">
              <w:rPr>
                <w:rFonts w:ascii="Times New Roman" w:cs="Times New Roman" w:eastAsia="Times New Roman" w:hAnsi="Times New Roman"/>
                <w:sz w:val="20"/>
                <w:szCs w:val="20"/>
                <w:rtl w:val="0"/>
              </w:rPr>
              <w:t xml:space="preserve">2439; AML</w:t>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i w:val="1"/>
                <w:sz w:val="20"/>
                <w:szCs w:val="20"/>
                <w:rtl w:val="0"/>
              </w:rPr>
              <w:t xml:space="preserve"> (3%). 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i w:val="1"/>
                <w:sz w:val="20"/>
                <w:szCs w:val="20"/>
                <w:rtl w:val="0"/>
              </w:rPr>
              <w:t xml:space="preserve">/ RUNX1</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i w:val="1"/>
                <w:sz w:val="20"/>
                <w:szCs w:val="20"/>
                <w:rtl w:val="0"/>
              </w:rPr>
              <w:t xml:space="preserve">had lower responses than PHF6</w:t>
            </w:r>
            <w:r w:rsidDel="00000000" w:rsidR="00000000" w:rsidRPr="00000000">
              <w:rPr>
                <w:rFonts w:ascii="Times New Roman" w:cs="Times New Roman" w:eastAsia="Times New Roman" w:hAnsi="Times New Roman"/>
                <w:i w:val="1"/>
                <w:sz w:val="20"/>
                <w:szCs w:val="20"/>
                <w:vertAlign w:val="superscript"/>
                <w:rtl w:val="0"/>
              </w:rPr>
              <w:t xml:space="preserve">wild-type</w:t>
            </w:r>
            <w:r w:rsidDel="00000000" w:rsidR="00000000" w:rsidRPr="00000000">
              <w:rPr>
                <w:rFonts w:ascii="Times New Roman" w:cs="Times New Roman" w:eastAsia="Times New Roman" w:hAnsi="Times New Roman"/>
                <w:i w:val="1"/>
                <w:sz w:val="20"/>
                <w:szCs w:val="20"/>
                <w:rtl w:val="0"/>
              </w:rPr>
              <w:t xml:space="preserve">/RUNX1</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Sloan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USA</w:t>
            </w:r>
            <w:r w:rsidDel="00000000" w:rsidR="00000000" w:rsidRPr="00000000">
              <w:rPr>
                <w:rFonts w:ascii="Times New Roman" w:cs="Times New Roman" w:eastAsia="Times New Roman" w:hAnsi="Times New Roman"/>
                <w:sz w:val="20"/>
                <w:szCs w:val="20"/>
                <w:rtl w:val="0"/>
              </w:rPr>
              <w:t xml:space="preserve">), 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197; AML</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 </w:t>
            </w:r>
            <w:r w:rsidDel="00000000" w:rsidR="00000000" w:rsidRPr="00000000">
              <w:rPr>
                <w:rFonts w:ascii="Times New Roman" w:cs="Times New Roman" w:eastAsia="Times New Roman" w:hAnsi="Times New Roman"/>
                <w:sz w:val="20"/>
                <w:szCs w:val="20"/>
                <w:rtl w:val="0"/>
              </w:rPr>
              <w:t xml:space="preserve">2,5 %. In the IGP model, patients with </w:t>
            </w:r>
            <w:r w:rsidDel="00000000" w:rsidR="00000000" w:rsidRPr="00000000">
              <w:rPr>
                <w:rFonts w:ascii="Times New Roman" w:cs="Times New Roman" w:eastAsia="Times New Roman" w:hAnsi="Times New Roman"/>
                <w:i w:val="1"/>
                <w:sz w:val="20"/>
                <w:szCs w:val="20"/>
                <w:rtl w:val="0"/>
              </w:rPr>
              <w:t xml:space="preserve">FLT-ITD</w:t>
            </w:r>
            <w:r w:rsidDel="00000000" w:rsidR="00000000" w:rsidRPr="00000000">
              <w:rPr>
                <w:rFonts w:ascii="Times New Roman" w:cs="Times New Roman" w:eastAsia="Times New Roman" w:hAnsi="Times New Roman"/>
                <w:i w:val="1"/>
                <w:sz w:val="20"/>
                <w:szCs w:val="20"/>
                <w:vertAlign w:val="superscript"/>
                <w:rtl w:val="0"/>
              </w:rPr>
              <w:t xml:space="preserve">Wild Type</w:t>
            </w:r>
            <w:r w:rsidDel="00000000" w:rsidR="00000000" w:rsidRPr="00000000">
              <w:rPr>
                <w:rFonts w:ascii="Times New Roman" w:cs="Times New Roman" w:eastAsia="Times New Roman" w:hAnsi="Times New Roman"/>
                <w:sz w:val="20"/>
                <w:szCs w:val="20"/>
                <w:rtl w:val="0"/>
              </w:rPr>
              <w:t xml:space="preserve"> with high-risk co-mutations (</w:t>
            </w:r>
            <w:r w:rsidDel="00000000" w:rsidR="00000000" w:rsidRPr="00000000">
              <w:rPr>
                <w:rFonts w:ascii="Times New Roman" w:cs="Times New Roman" w:eastAsia="Times New Roman" w:hAnsi="Times New Roman"/>
                <w:i w:val="1"/>
                <w:sz w:val="20"/>
                <w:szCs w:val="20"/>
                <w:rtl w:val="0"/>
              </w:rPr>
              <w:t xml:space="preserve">TET2, ASXL1, </w:t>
            </w:r>
            <w:r w:rsidDel="00000000" w:rsidR="00000000" w:rsidRPr="00000000">
              <w:rPr>
                <w:rFonts w:ascii="Times New Roman" w:cs="Times New Roman" w:eastAsia="Times New Roman" w:hAnsi="Times New Roman"/>
                <w:sz w:val="20"/>
                <w:szCs w:val="20"/>
                <w:rtl w:val="0"/>
              </w:rPr>
              <w:t xml:space="preserve">and/or</w:t>
            </w:r>
            <w:r w:rsidDel="00000000" w:rsidR="00000000" w:rsidRPr="00000000">
              <w:rPr>
                <w:rFonts w:ascii="Times New Roman" w:cs="Times New Roman" w:eastAsia="Times New Roman" w:hAnsi="Times New Roman"/>
                <w:i w:val="1"/>
                <w:sz w:val="20"/>
                <w:szCs w:val="20"/>
                <w:rtl w:val="0"/>
              </w:rPr>
              <w:t xml:space="preserve"> PHF6</w:t>
            </w:r>
            <w:r w:rsidDel="00000000" w:rsidR="00000000" w:rsidRPr="00000000">
              <w:rPr>
                <w:rFonts w:ascii="Times New Roman" w:cs="Times New Roman" w:eastAsia="Times New Roman" w:hAnsi="Times New Roman"/>
                <w:sz w:val="20"/>
                <w:szCs w:val="20"/>
                <w:rtl w:val="0"/>
              </w:rPr>
              <w:t xml:space="preserve">); “unfavorable”)  had a similar OS to patients with “intermediate risk.”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Lee (USA)</w:t>
            </w:r>
            <w:r w:rsidDel="00000000" w:rsidR="00000000" w:rsidRPr="00000000">
              <w:rPr>
                <w:rFonts w:ascii="Times New Roman" w:cs="Times New Roman" w:eastAsia="Times New Roman" w:hAnsi="Times New Roman"/>
                <w:sz w:val="20"/>
                <w:szCs w:val="20"/>
                <w:rtl w:val="0"/>
              </w:rPr>
              <w:t xml:space="preserve">, 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94; MDS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 </w:t>
            </w:r>
            <w:r w:rsidDel="00000000" w:rsidR="00000000" w:rsidRPr="00000000">
              <w:rPr>
                <w:rFonts w:ascii="Times New Roman" w:cs="Times New Roman" w:eastAsia="Times New Roman" w:hAnsi="Times New Roman"/>
                <w:sz w:val="20"/>
                <w:szCs w:val="20"/>
                <w:rtl w:val="0"/>
              </w:rPr>
              <w:t xml:space="preserve">n= 5. The gain of mutations in</w:t>
            </w:r>
            <w:r w:rsidDel="00000000" w:rsidR="00000000" w:rsidRPr="00000000">
              <w:rPr>
                <w:rFonts w:ascii="Times New Roman" w:cs="Times New Roman" w:eastAsia="Times New Roman" w:hAnsi="Times New Roman"/>
                <w:i w:val="1"/>
                <w:sz w:val="20"/>
                <w:szCs w:val="20"/>
                <w:rtl w:val="0"/>
              </w:rPr>
              <w:t xml:space="preserve"> CBL, MPL, NPM1</w:t>
            </w:r>
            <w:r w:rsidDel="00000000" w:rsidR="00000000" w:rsidRPr="00000000">
              <w:rPr>
                <w:rFonts w:ascii="Times New Roman" w:cs="Times New Roman" w:eastAsia="Times New Roman" w:hAnsi="Times New Roman"/>
                <w:sz w:val="20"/>
                <w:szCs w:val="20"/>
                <w:rtl w:val="0"/>
              </w:rPr>
              <w:t xml:space="preserve">, or </w:t>
            </w: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sz w:val="20"/>
                <w:szCs w:val="20"/>
                <w:rtl w:val="0"/>
              </w:rPr>
              <w:t xml:space="preserve"> was associated with poor OS (HR 8.15, </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=0.0008, CI, 2.38-27.86).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Retrospective; Meeting Abstract.</w:t>
            </w: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Yoshizato</w:t>
            </w:r>
            <w:r w:rsidDel="00000000" w:rsidR="00000000" w:rsidRPr="00000000">
              <w:rPr>
                <w:rFonts w:ascii="Times New Roman" w:cs="Times New Roman" w:eastAsia="Times New Roman" w:hAnsi="Times New Roman"/>
                <w:sz w:val="20"/>
                <w:szCs w:val="20"/>
                <w:rtl w:val="0"/>
              </w:rPr>
              <w:t xml:space="preserve"> (Japan), 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865; transplanted MDS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In the multivariate analysis, these mutations were associated with worse OS: </w:t>
            </w:r>
            <w:r w:rsidDel="00000000" w:rsidR="00000000" w:rsidRPr="00000000">
              <w:rPr>
                <w:rFonts w:ascii="Times New Roman" w:cs="Times New Roman" w:eastAsia="Times New Roman" w:hAnsi="Times New Roman"/>
                <w:i w:val="1"/>
                <w:sz w:val="20"/>
                <w:szCs w:val="20"/>
                <w:rtl w:val="0"/>
              </w:rPr>
              <w:t xml:space="preserve">CBL</w:t>
            </w:r>
            <w:r w:rsidDel="00000000" w:rsidR="00000000" w:rsidRPr="00000000">
              <w:rPr>
                <w:rFonts w:ascii="Times New Roman" w:cs="Times New Roman" w:eastAsia="Times New Roman" w:hAnsi="Times New Roman"/>
                <w:sz w:val="20"/>
                <w:szCs w:val="20"/>
                <w:rtl w:val="0"/>
              </w:rPr>
              <w:t xml:space="preserve"> (HR: 2.72), </w:t>
            </w:r>
            <w:r w:rsidDel="00000000" w:rsidR="00000000" w:rsidRPr="00000000">
              <w:rPr>
                <w:rFonts w:ascii="Times New Roman" w:cs="Times New Roman" w:eastAsia="Times New Roman" w:hAnsi="Times New Roman"/>
                <w:i w:val="1"/>
                <w:sz w:val="20"/>
                <w:szCs w:val="20"/>
                <w:rtl w:val="0"/>
              </w:rPr>
              <w:t xml:space="preserve">KRAS</w:t>
            </w:r>
            <w:r w:rsidDel="00000000" w:rsidR="00000000" w:rsidRPr="00000000">
              <w:rPr>
                <w:rFonts w:ascii="Times New Roman" w:cs="Times New Roman" w:eastAsia="Times New Roman" w:hAnsi="Times New Roman"/>
                <w:sz w:val="20"/>
                <w:szCs w:val="20"/>
                <w:rtl w:val="0"/>
              </w:rPr>
              <w:t xml:space="preserve"> (2.60), </w:t>
            </w:r>
            <w:r w:rsidDel="00000000" w:rsidR="00000000" w:rsidRPr="00000000">
              <w:rPr>
                <w:rFonts w:ascii="Times New Roman" w:cs="Times New Roman" w:eastAsia="Times New Roman" w:hAnsi="Times New Roman"/>
                <w:i w:val="1"/>
                <w:sz w:val="20"/>
                <w:szCs w:val="20"/>
                <w:rtl w:val="0"/>
              </w:rPr>
              <w:t xml:space="preserve">EZH2</w:t>
            </w:r>
            <w:r w:rsidDel="00000000" w:rsidR="00000000" w:rsidRPr="00000000">
              <w:rPr>
                <w:rFonts w:ascii="Times New Roman" w:cs="Times New Roman" w:eastAsia="Times New Roman" w:hAnsi="Times New Roman"/>
                <w:sz w:val="20"/>
                <w:szCs w:val="20"/>
                <w:rtl w:val="0"/>
              </w:rPr>
              <w:t xml:space="preserve"> (2.37), </w:t>
            </w:r>
            <w:r w:rsidDel="00000000" w:rsidR="00000000" w:rsidRPr="00000000">
              <w:rPr>
                <w:rFonts w:ascii="Times New Roman" w:cs="Times New Roman" w:eastAsia="Times New Roman" w:hAnsi="Times New Roman"/>
                <w:i w:val="1"/>
                <w:sz w:val="20"/>
                <w:szCs w:val="20"/>
                <w:rtl w:val="0"/>
              </w:rPr>
              <w:t xml:space="preserve">PHF6 </w:t>
            </w:r>
            <w:r w:rsidDel="00000000" w:rsidR="00000000" w:rsidRPr="00000000">
              <w:rPr>
                <w:rFonts w:ascii="Times New Roman" w:cs="Times New Roman" w:eastAsia="Times New Roman" w:hAnsi="Times New Roman"/>
                <w:sz w:val="20"/>
                <w:szCs w:val="20"/>
                <w:rtl w:val="0"/>
              </w:rPr>
              <w:t xml:space="preserve">(2.29), and</w:t>
            </w:r>
            <w:r w:rsidDel="00000000" w:rsidR="00000000" w:rsidRPr="00000000">
              <w:rPr>
                <w:rFonts w:ascii="Times New Roman" w:cs="Times New Roman" w:eastAsia="Times New Roman" w:hAnsi="Times New Roman"/>
                <w:i w:val="1"/>
                <w:sz w:val="20"/>
                <w:szCs w:val="20"/>
                <w:rtl w:val="0"/>
              </w:rPr>
              <w:t xml:space="preserve"> TP53 </w:t>
            </w:r>
            <w:r w:rsidDel="00000000" w:rsidR="00000000" w:rsidRPr="00000000">
              <w:rPr>
                <w:rFonts w:ascii="Times New Roman" w:cs="Times New Roman" w:eastAsia="Times New Roman" w:hAnsi="Times New Roman"/>
                <w:sz w:val="20"/>
                <w:szCs w:val="20"/>
                <w:rtl w:val="0"/>
              </w:rPr>
              <w:t xml:space="preserve">(1.95).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Retrospective; Meeting Abstract.</w:t>
            </w: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Lin PH</w:t>
            </w:r>
            <w:r w:rsidDel="00000000" w:rsidR="00000000" w:rsidRPr="00000000">
              <w:rPr>
                <w:rFonts w:ascii="Times New Roman" w:cs="Times New Roman" w:eastAsia="Times New Roman" w:hAnsi="Times New Roman"/>
                <w:sz w:val="20"/>
                <w:szCs w:val="20"/>
                <w:rtl w:val="0"/>
              </w:rPr>
              <w:t xml:space="preserve"> (Taiwan), 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112; AML</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sz w:val="20"/>
                <w:szCs w:val="20"/>
                <w:rtl w:val="0"/>
              </w:rPr>
              <w:t xml:space="preserve"> 2,7%. It was associated with worse OS (HR: 6,01 (1,25–28,84 CI 95%, </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=0,025).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Madanat (USA), </w:t>
            </w:r>
            <w:r w:rsidDel="00000000" w:rsidR="00000000" w:rsidRPr="00000000">
              <w:rPr>
                <w:rFonts w:ascii="Times New Roman" w:cs="Times New Roman" w:eastAsia="Times New Roman" w:hAnsi="Times New Roman"/>
                <w:sz w:val="20"/>
                <w:szCs w:val="20"/>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a1a1a"/>
                <w:sz w:val="20"/>
                <w:szCs w:val="20"/>
                <w:highlight w:val="white"/>
                <w:rtl w:val="0"/>
              </w:rPr>
              <w:t xml:space="preserve">527; MDS</w:t>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Times New Roman" w:cs="Times New Roman" w:eastAsia="Times New Roman" w:hAnsi="Times New Roman"/>
                <w:color w:val="1a1a1a"/>
                <w:sz w:val="20"/>
                <w:szCs w:val="20"/>
              </w:rPr>
            </w:pPr>
            <w:r w:rsidDel="00000000" w:rsidR="00000000" w:rsidRPr="00000000">
              <w:rPr>
                <w:rFonts w:ascii="Times New Roman" w:cs="Times New Roman" w:eastAsia="Times New Roman" w:hAnsi="Times New Roman"/>
                <w:i w:val="1"/>
                <w:color w:val="1a1a1a"/>
                <w:sz w:val="20"/>
                <w:szCs w:val="20"/>
                <w:rtl w:val="0"/>
              </w:rPr>
              <w:t xml:space="preserve">PHF6</w:t>
            </w:r>
            <w:r w:rsidDel="00000000" w:rsidR="00000000" w:rsidRPr="00000000">
              <w:rPr>
                <w:rFonts w:ascii="Times New Roman" w:cs="Times New Roman" w:eastAsia="Times New Roman" w:hAnsi="Times New Roman"/>
                <w:i w:val="1"/>
                <w:color w:val="1a1a1a"/>
                <w:sz w:val="20"/>
                <w:szCs w:val="20"/>
                <w:vertAlign w:val="superscript"/>
                <w:rtl w:val="0"/>
              </w:rPr>
              <w:t xml:space="preserve">MUT </w:t>
            </w:r>
            <w:r w:rsidDel="00000000" w:rsidR="00000000" w:rsidRPr="00000000">
              <w:rPr>
                <w:rFonts w:ascii="Times New Roman" w:cs="Times New Roman" w:eastAsia="Times New Roman" w:hAnsi="Times New Roman"/>
                <w:i w:val="1"/>
                <w:color w:val="1a1a1a"/>
                <w:sz w:val="20"/>
                <w:szCs w:val="20"/>
                <w:rtl w:val="0"/>
              </w:rPr>
              <w:t xml:space="preserve">(P</w:t>
            </w:r>
            <w:r w:rsidDel="00000000" w:rsidR="00000000" w:rsidRPr="00000000">
              <w:rPr>
                <w:rFonts w:ascii="Times New Roman" w:cs="Times New Roman" w:eastAsia="Times New Roman" w:hAnsi="Times New Roman"/>
                <w:color w:val="1a1a1a"/>
                <w:sz w:val="20"/>
                <w:szCs w:val="20"/>
                <w:rtl w:val="0"/>
              </w:rPr>
              <w:t xml:space="preserve">=0,018</w:t>
            </w:r>
            <w:r w:rsidDel="00000000" w:rsidR="00000000" w:rsidRPr="00000000">
              <w:rPr>
                <w:rFonts w:ascii="Times New Roman" w:cs="Times New Roman" w:eastAsia="Times New Roman" w:hAnsi="Times New Roman"/>
                <w:i w:val="1"/>
                <w:color w:val="1a1a1a"/>
                <w:sz w:val="20"/>
                <w:szCs w:val="20"/>
                <w:rtl w:val="0"/>
              </w:rPr>
              <w:t xml:space="preserve">). </w:t>
            </w:r>
            <w:r w:rsidDel="00000000" w:rsidR="00000000" w:rsidRPr="00000000">
              <w:rPr>
                <w:rFonts w:ascii="Gungsuh" w:cs="Gungsuh" w:eastAsia="Gungsuh" w:hAnsi="Gungsuh"/>
                <w:color w:val="1a1a1a"/>
                <w:sz w:val="20"/>
                <w:szCs w:val="20"/>
                <w:rtl w:val="0"/>
              </w:rPr>
              <w:t xml:space="preserve">In the univariate analysis, it was associated with progression to AML. In the multivariate analysis, having ≥3 mutations (HR=1.65; 95% CI, 1.1-2.5; </w:t>
            </w:r>
            <w:r w:rsidDel="00000000" w:rsidR="00000000" w:rsidRPr="00000000">
              <w:rPr>
                <w:rFonts w:ascii="Times New Roman" w:cs="Times New Roman" w:eastAsia="Times New Roman" w:hAnsi="Times New Roman"/>
                <w:i w:val="1"/>
                <w:color w:val="1a1a1a"/>
                <w:sz w:val="20"/>
                <w:szCs w:val="20"/>
                <w:rtl w:val="0"/>
              </w:rPr>
              <w:t xml:space="preserve">P</w:t>
            </w:r>
            <w:r w:rsidDel="00000000" w:rsidR="00000000" w:rsidRPr="00000000">
              <w:rPr>
                <w:rFonts w:ascii="Times New Roman" w:cs="Times New Roman" w:eastAsia="Times New Roman" w:hAnsi="Times New Roman"/>
                <w:color w:val="1a1a1a"/>
                <w:sz w:val="20"/>
                <w:szCs w:val="20"/>
                <w:rtl w:val="0"/>
              </w:rPr>
              <w:t xml:space="preserve">=0.021). </w:t>
            </w:r>
          </w:p>
          <w:p w:rsidR="00000000" w:rsidDel="00000000" w:rsidP="00000000" w:rsidRDefault="00000000" w:rsidRPr="00000000" w14:paraId="00000040">
            <w:pPr>
              <w:widowControl w:val="0"/>
              <w:spacing w:line="240" w:lineRule="auto"/>
              <w:rPr>
                <w:rFonts w:ascii="Times New Roman" w:cs="Times New Roman" w:eastAsia="Times New Roman" w:hAnsi="Times New Roman"/>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Retrospective; Meeting Abstract.</w:t>
            </w: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Xiao (USA), </w:t>
            </w:r>
            <w:r w:rsidDel="00000000" w:rsidR="00000000" w:rsidRPr="00000000">
              <w:rPr>
                <w:rFonts w:ascii="Times New Roman" w:cs="Times New Roman" w:eastAsia="Times New Roman" w:hAnsi="Times New Roman"/>
                <w:sz w:val="20"/>
                <w:szCs w:val="20"/>
                <w:rtl w:val="0"/>
              </w:rPr>
              <w:t xml:space="preserve">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Times New Roman" w:cs="Times New Roman" w:eastAsia="Times New Roman" w:hAnsi="Times New Roman"/>
                <w:color w:val="1a1a1a"/>
                <w:sz w:val="20"/>
                <w:szCs w:val="20"/>
                <w:highlight w:val="white"/>
              </w:rPr>
            </w:pPr>
            <w:r w:rsidDel="00000000" w:rsidR="00000000" w:rsidRPr="00000000">
              <w:rPr>
                <w:rFonts w:ascii="Times New Roman" w:cs="Times New Roman" w:eastAsia="Times New Roman" w:hAnsi="Times New Roman"/>
                <w:color w:val="1a1a1a"/>
                <w:sz w:val="20"/>
                <w:szCs w:val="20"/>
                <w:highlight w:val="white"/>
                <w:rtl w:val="0"/>
              </w:rPr>
              <w:t xml:space="preserve">1329; MNs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Times New Roman" w:cs="Times New Roman" w:eastAsia="Times New Roman" w:hAnsi="Times New Roman"/>
                <w:color w:val="1a1a1a"/>
                <w:sz w:val="20"/>
                <w:szCs w:val="20"/>
              </w:rPr>
            </w:pPr>
            <w:r w:rsidDel="00000000" w:rsidR="00000000" w:rsidRPr="00000000">
              <w:rPr>
                <w:rFonts w:ascii="Times New Roman" w:cs="Times New Roman" w:eastAsia="Times New Roman" w:hAnsi="Times New Roman"/>
                <w:i w:val="1"/>
                <w:color w:val="1a1a1a"/>
                <w:sz w:val="20"/>
                <w:szCs w:val="20"/>
                <w:rtl w:val="0"/>
              </w:rPr>
              <w:t xml:space="preserve">PHF6</w:t>
            </w:r>
            <w:r w:rsidDel="00000000" w:rsidR="00000000" w:rsidRPr="00000000">
              <w:rPr>
                <w:rFonts w:ascii="Times New Roman" w:cs="Times New Roman" w:eastAsia="Times New Roman" w:hAnsi="Times New Roman"/>
                <w:i w:val="1"/>
                <w:color w:val="1a1a1a"/>
                <w:sz w:val="20"/>
                <w:szCs w:val="20"/>
                <w:vertAlign w:val="superscript"/>
                <w:rtl w:val="0"/>
              </w:rPr>
              <w:t xml:space="preserve">MUT </w:t>
            </w:r>
            <w:r w:rsidDel="00000000" w:rsidR="00000000" w:rsidRPr="00000000">
              <w:rPr>
                <w:rFonts w:ascii="Times New Roman" w:cs="Times New Roman" w:eastAsia="Times New Roman" w:hAnsi="Times New Roman"/>
                <w:color w:val="1a1a1a"/>
                <w:sz w:val="20"/>
                <w:szCs w:val="20"/>
                <w:rtl w:val="0"/>
              </w:rPr>
              <w:t xml:space="preserve">n=33 (2,5%). The 2-year OS for</w:t>
            </w:r>
            <w:r w:rsidDel="00000000" w:rsidR="00000000" w:rsidRPr="00000000">
              <w:rPr>
                <w:rFonts w:ascii="Times New Roman" w:cs="Times New Roman" w:eastAsia="Times New Roman" w:hAnsi="Times New Roman"/>
                <w:i w:val="1"/>
                <w:color w:val="1a1a1a"/>
                <w:sz w:val="20"/>
                <w:szCs w:val="20"/>
                <w:rtl w:val="0"/>
              </w:rPr>
              <w:t xml:space="preserve"> PHF6</w:t>
            </w:r>
            <w:r w:rsidDel="00000000" w:rsidR="00000000" w:rsidRPr="00000000">
              <w:rPr>
                <w:rFonts w:ascii="Times New Roman" w:cs="Times New Roman" w:eastAsia="Times New Roman" w:hAnsi="Times New Roman"/>
                <w:i w:val="1"/>
                <w:color w:val="1a1a1a"/>
                <w:sz w:val="20"/>
                <w:szCs w:val="20"/>
                <w:vertAlign w:val="superscript"/>
                <w:rtl w:val="0"/>
              </w:rPr>
              <w:t xml:space="preserve">MUT</w:t>
            </w:r>
            <w:r w:rsidDel="00000000" w:rsidR="00000000" w:rsidRPr="00000000">
              <w:rPr>
                <w:rFonts w:ascii="Times New Roman" w:cs="Times New Roman" w:eastAsia="Times New Roman" w:hAnsi="Times New Roman"/>
                <w:color w:val="1a1a1a"/>
                <w:sz w:val="20"/>
                <w:szCs w:val="20"/>
                <w:rtl w:val="0"/>
              </w:rPr>
              <w:t xml:space="preserve"> in MPAL was lower compared to non-mutated cases (40% </w:t>
            </w:r>
            <w:r w:rsidDel="00000000" w:rsidR="00000000" w:rsidRPr="00000000">
              <w:rPr>
                <w:rFonts w:ascii="Times New Roman" w:cs="Times New Roman" w:eastAsia="Times New Roman" w:hAnsi="Times New Roman"/>
                <w:i w:val="1"/>
                <w:color w:val="1a1a1a"/>
                <w:sz w:val="20"/>
                <w:szCs w:val="20"/>
                <w:rtl w:val="0"/>
              </w:rPr>
              <w:t xml:space="preserve">vs</w:t>
            </w:r>
            <w:r w:rsidDel="00000000" w:rsidR="00000000" w:rsidRPr="00000000">
              <w:rPr>
                <w:rFonts w:ascii="Times New Roman" w:cs="Times New Roman" w:eastAsia="Times New Roman" w:hAnsi="Times New Roman"/>
                <w:color w:val="1a1a1a"/>
                <w:sz w:val="20"/>
                <w:szCs w:val="20"/>
                <w:rtl w:val="0"/>
              </w:rPr>
              <w:t xml:space="preserve">. 100% in </w:t>
            </w:r>
            <w:r w:rsidDel="00000000" w:rsidR="00000000" w:rsidRPr="00000000">
              <w:rPr>
                <w:rFonts w:ascii="Times New Roman" w:cs="Times New Roman" w:eastAsia="Times New Roman" w:hAnsi="Times New Roman"/>
                <w:i w:val="1"/>
                <w:color w:val="1a1a1a"/>
                <w:sz w:val="20"/>
                <w:szCs w:val="20"/>
                <w:rtl w:val="0"/>
              </w:rPr>
              <w:t xml:space="preserve">PHF6</w:t>
            </w:r>
            <w:r w:rsidDel="00000000" w:rsidR="00000000" w:rsidRPr="00000000">
              <w:rPr>
                <w:rFonts w:ascii="Times New Roman" w:cs="Times New Roman" w:eastAsia="Times New Roman" w:hAnsi="Times New Roman"/>
                <w:i w:val="1"/>
                <w:color w:val="1a1a1a"/>
                <w:sz w:val="20"/>
                <w:szCs w:val="20"/>
                <w:vertAlign w:val="superscript"/>
                <w:rtl w:val="0"/>
              </w:rPr>
              <w:t xml:space="preserve">wild-type </w:t>
            </w:r>
            <w:r w:rsidDel="00000000" w:rsidR="00000000" w:rsidRPr="00000000">
              <w:rPr>
                <w:rFonts w:ascii="Times New Roman" w:cs="Times New Roman" w:eastAsia="Times New Roman" w:hAnsi="Times New Roman"/>
                <w:color w:val="1a1a1a"/>
                <w:sz w:val="20"/>
                <w:szCs w:val="20"/>
                <w:rtl w:val="0"/>
              </w:rPr>
              <w:t xml:space="preserve">[</w:t>
            </w:r>
            <w:r w:rsidDel="00000000" w:rsidR="00000000" w:rsidRPr="00000000">
              <w:rPr>
                <w:rFonts w:ascii="Times New Roman" w:cs="Times New Roman" w:eastAsia="Times New Roman" w:hAnsi="Times New Roman"/>
                <w:i w:val="1"/>
                <w:color w:val="1a1a1a"/>
                <w:sz w:val="20"/>
                <w:szCs w:val="20"/>
                <w:rtl w:val="0"/>
              </w:rPr>
              <w:t xml:space="preserve">P</w:t>
            </w:r>
            <w:r w:rsidDel="00000000" w:rsidR="00000000" w:rsidRPr="00000000">
              <w:rPr>
                <w:rFonts w:ascii="Times New Roman" w:cs="Times New Roman" w:eastAsia="Times New Roman" w:hAnsi="Times New Roman"/>
                <w:color w:val="1a1a1a"/>
                <w:sz w:val="20"/>
                <w:szCs w:val="20"/>
                <w:rtl w:val="0"/>
              </w:rPr>
              <w:t xml:space="preserve">=0.005]).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Retrospective; Meeting Abstract.</w:t>
            </w: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Shaver (USA), </w:t>
            </w:r>
            <w:r w:rsidDel="00000000" w:rsidR="00000000" w:rsidRPr="00000000">
              <w:rPr>
                <w:rFonts w:ascii="Times New Roman" w:cs="Times New Roman" w:eastAsia="Times New Roman" w:hAnsi="Times New Roman"/>
                <w:sz w:val="20"/>
                <w:szCs w:val="20"/>
                <w:rtl w:val="0"/>
              </w:rPr>
              <w:t xml:space="preserve">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Times New Roman" w:cs="Times New Roman" w:eastAsia="Times New Roman" w:hAnsi="Times New Roman"/>
                <w:color w:val="1a1a1a"/>
                <w:sz w:val="20"/>
                <w:szCs w:val="20"/>
                <w:highlight w:val="white"/>
              </w:rPr>
            </w:pPr>
            <w:r w:rsidDel="00000000" w:rsidR="00000000" w:rsidRPr="00000000">
              <w:rPr>
                <w:rFonts w:ascii="Times New Roman" w:cs="Times New Roman" w:eastAsia="Times New Roman" w:hAnsi="Times New Roman"/>
                <w:color w:val="1a1a1a"/>
                <w:sz w:val="20"/>
                <w:szCs w:val="20"/>
                <w:highlight w:val="white"/>
                <w:rtl w:val="0"/>
              </w:rPr>
              <w:t xml:space="preserve">100; AML</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Times New Roman" w:cs="Times New Roman" w:eastAsia="Times New Roman" w:hAnsi="Times New Roman"/>
                <w:i w:val="1"/>
                <w:color w:val="1a1a1a"/>
                <w:sz w:val="20"/>
                <w:szCs w:val="20"/>
                <w:highlight w:val="white"/>
              </w:rPr>
            </w:pPr>
            <w:r w:rsidDel="00000000" w:rsidR="00000000" w:rsidRPr="00000000">
              <w:rPr>
                <w:rFonts w:ascii="Times New Roman" w:cs="Times New Roman" w:eastAsia="Times New Roman" w:hAnsi="Times New Roman"/>
                <w:color w:val="1a1a1a"/>
                <w:sz w:val="20"/>
                <w:szCs w:val="20"/>
                <w:rtl w:val="0"/>
              </w:rPr>
              <w:t xml:space="preserve">A subgroup of genes associated with transcription (</w:t>
            </w:r>
            <w:r w:rsidDel="00000000" w:rsidR="00000000" w:rsidRPr="00000000">
              <w:rPr>
                <w:rFonts w:ascii="Times New Roman" w:cs="Times New Roman" w:eastAsia="Times New Roman" w:hAnsi="Times New Roman"/>
                <w:i w:val="1"/>
                <w:color w:val="1a1a1a"/>
                <w:sz w:val="20"/>
                <w:szCs w:val="20"/>
                <w:rtl w:val="0"/>
              </w:rPr>
              <w:t xml:space="preserve">ETV6, NMP1, PHF6, WT1</w:t>
            </w:r>
            <w:r w:rsidDel="00000000" w:rsidR="00000000" w:rsidRPr="00000000">
              <w:rPr>
                <w:rFonts w:ascii="Gungsuh" w:cs="Gungsuh" w:eastAsia="Gungsuh" w:hAnsi="Gungsuh"/>
                <w:color w:val="1a1a1a"/>
                <w:sz w:val="20"/>
                <w:szCs w:val="20"/>
                <w:rtl w:val="0"/>
              </w:rPr>
              <w:t xml:space="preserve">) was associated with high blast disease burden (cut-off point ≥20%).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Retrospective; Meeting Abstract.</w:t>
            </w: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0"/>
                <w:szCs w:val="20"/>
                <w:rtl w:val="0"/>
              </w:rPr>
              <w:t xml:space="preserve">Lin Y </w:t>
            </w:r>
            <w:r w:rsidDel="00000000" w:rsidR="00000000" w:rsidRPr="00000000">
              <w:rPr>
                <w:rFonts w:ascii="Times New Roman" w:cs="Times New Roman" w:eastAsia="Times New Roman" w:hAnsi="Times New Roman"/>
                <w:sz w:val="20"/>
                <w:szCs w:val="20"/>
                <w:rtl w:val="0"/>
              </w:rPr>
              <w:t xml:space="preserve">(China), 2020.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156; AML</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i w:val="1"/>
                <w:sz w:val="20"/>
                <w:szCs w:val="20"/>
                <w:rtl w:val="0"/>
              </w:rPr>
              <w:t xml:space="preserve">  3,8%. </w:t>
            </w:r>
            <w:r w:rsidDel="00000000" w:rsidR="00000000" w:rsidRPr="00000000">
              <w:rPr>
                <w:rFonts w:ascii="Times New Roman" w:cs="Times New Roman" w:eastAsia="Times New Roman" w:hAnsi="Times New Roman"/>
                <w:sz w:val="20"/>
                <w:szCs w:val="20"/>
                <w:rtl w:val="0"/>
              </w:rPr>
              <w:t xml:space="preserve">When </w:t>
            </w: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is accompanied by mutations in </w:t>
            </w:r>
            <w:r w:rsidDel="00000000" w:rsidR="00000000" w:rsidRPr="00000000">
              <w:rPr>
                <w:rFonts w:ascii="Times New Roman" w:cs="Times New Roman" w:eastAsia="Times New Roman" w:hAnsi="Times New Roman"/>
                <w:i w:val="1"/>
                <w:sz w:val="20"/>
                <w:szCs w:val="20"/>
                <w:rtl w:val="0"/>
              </w:rPr>
              <w:t xml:space="preserve">ASXL1</w:t>
            </w:r>
            <w:r w:rsidDel="00000000" w:rsidR="00000000" w:rsidRPr="00000000">
              <w:rPr>
                <w:rFonts w:ascii="Times New Roman" w:cs="Times New Roman" w:eastAsia="Times New Roman" w:hAnsi="Times New Roman"/>
                <w:sz w:val="20"/>
                <w:szCs w:val="20"/>
                <w:rtl w:val="0"/>
              </w:rPr>
              <w:t xml:space="preserve">, the prognosis for AML is not significantly affected.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Lachowiez (USA), </w:t>
            </w:r>
            <w:r w:rsidDel="00000000" w:rsidR="00000000" w:rsidRPr="00000000">
              <w:rPr>
                <w:rFonts w:ascii="Times New Roman" w:cs="Times New Roman" w:eastAsia="Times New Roman" w:hAnsi="Times New Roman"/>
                <w:sz w:val="20"/>
                <w:szCs w:val="20"/>
                <w:rtl w:val="0"/>
              </w:rPr>
              <w:t xml:space="preserve">2020.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0"/>
                <w:szCs w:val="20"/>
                <w:rtl w:val="0"/>
              </w:rPr>
              <w:t xml:space="preserve">62; AML</w:t>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a1a1a"/>
                <w:sz w:val="20"/>
                <w:szCs w:val="20"/>
                <w:rtl w:val="0"/>
              </w:rPr>
              <w:t xml:space="preserve">Mutations in tumor suppressor genes (</w:t>
            </w:r>
            <w:r w:rsidDel="00000000" w:rsidR="00000000" w:rsidRPr="00000000">
              <w:rPr>
                <w:rFonts w:ascii="Times New Roman" w:cs="Times New Roman" w:eastAsia="Times New Roman" w:hAnsi="Times New Roman"/>
                <w:i w:val="1"/>
                <w:color w:val="1a1a1a"/>
                <w:sz w:val="20"/>
                <w:szCs w:val="20"/>
                <w:rtl w:val="0"/>
              </w:rPr>
              <w:t xml:space="preserve">TP53, WT1, PHF6</w:t>
            </w:r>
            <w:r w:rsidDel="00000000" w:rsidR="00000000" w:rsidRPr="00000000">
              <w:rPr>
                <w:rFonts w:ascii="Times New Roman" w:cs="Times New Roman" w:eastAsia="Times New Roman" w:hAnsi="Times New Roman"/>
                <w:color w:val="1a1a1a"/>
                <w:sz w:val="20"/>
                <w:szCs w:val="20"/>
                <w:rtl w:val="0"/>
              </w:rPr>
              <w:t xml:space="preserve">) were more frequent in non-responders (66% </w:t>
            </w:r>
            <w:r w:rsidDel="00000000" w:rsidR="00000000" w:rsidRPr="00000000">
              <w:rPr>
                <w:rFonts w:ascii="Times New Roman" w:cs="Times New Roman" w:eastAsia="Times New Roman" w:hAnsi="Times New Roman"/>
                <w:i w:val="1"/>
                <w:color w:val="1a1a1a"/>
                <w:sz w:val="20"/>
                <w:szCs w:val="20"/>
                <w:rtl w:val="0"/>
              </w:rPr>
              <w:t xml:space="preserve">vs. </w:t>
            </w:r>
            <w:r w:rsidDel="00000000" w:rsidR="00000000" w:rsidRPr="00000000">
              <w:rPr>
                <w:rFonts w:ascii="Times New Roman" w:cs="Times New Roman" w:eastAsia="Times New Roman" w:hAnsi="Times New Roman"/>
                <w:color w:val="1a1a1a"/>
                <w:sz w:val="20"/>
                <w:szCs w:val="20"/>
                <w:rtl w:val="0"/>
              </w:rPr>
              <w:t xml:space="preserve">19%, </w:t>
            </w:r>
            <w:r w:rsidDel="00000000" w:rsidR="00000000" w:rsidRPr="00000000">
              <w:rPr>
                <w:rFonts w:ascii="Times New Roman" w:cs="Times New Roman" w:eastAsia="Times New Roman" w:hAnsi="Times New Roman"/>
                <w:i w:val="1"/>
                <w:color w:val="1a1a1a"/>
                <w:sz w:val="20"/>
                <w:szCs w:val="20"/>
                <w:rtl w:val="0"/>
              </w:rPr>
              <w:t xml:space="preserve">P</w:t>
            </w:r>
            <w:r w:rsidDel="00000000" w:rsidR="00000000" w:rsidRPr="00000000">
              <w:rPr>
                <w:rFonts w:ascii="Times New Roman" w:cs="Times New Roman" w:eastAsia="Times New Roman" w:hAnsi="Times New Roman"/>
                <w:color w:val="1a1a1a"/>
                <w:sz w:val="20"/>
                <w:szCs w:val="20"/>
                <w:rtl w:val="0"/>
              </w:rPr>
              <w:t xml:space="preserve">=0.014).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Prospective; </w:t>
            </w:r>
            <w:r w:rsidDel="00000000" w:rsidR="00000000" w:rsidRPr="00000000">
              <w:rPr>
                <w:rFonts w:ascii="Times New Roman" w:cs="Times New Roman" w:eastAsia="Times New Roman" w:hAnsi="Times New Roman"/>
                <w:i w:val="1"/>
                <w:sz w:val="20"/>
                <w:szCs w:val="20"/>
                <w:rtl w:val="0"/>
              </w:rPr>
              <w:t xml:space="preserve">Interim </w:t>
            </w:r>
            <w:r w:rsidDel="00000000" w:rsidR="00000000" w:rsidRPr="00000000">
              <w:rPr>
                <w:rFonts w:ascii="Times New Roman" w:cs="Times New Roman" w:eastAsia="Times New Roman" w:hAnsi="Times New Roman"/>
                <w:sz w:val="20"/>
                <w:szCs w:val="20"/>
                <w:rtl w:val="0"/>
              </w:rPr>
              <w:t xml:space="preserve">analysis</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1b/2 clinical trial; Meeting Abstract.</w:t>
            </w: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Jain (USA), </w:t>
            </w:r>
            <w:r w:rsidDel="00000000" w:rsidR="00000000" w:rsidRPr="00000000">
              <w:rPr>
                <w:rFonts w:ascii="Times New Roman" w:cs="Times New Roman" w:eastAsia="Times New Roman" w:hAnsi="Times New Roman"/>
                <w:sz w:val="20"/>
                <w:szCs w:val="20"/>
                <w:rtl w:val="0"/>
              </w:rPr>
              <w:t xml:space="preserve">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1914; MDS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color w:val="1a1a1a"/>
                <w:sz w:val="20"/>
                <w:szCs w:val="20"/>
                <w:rtl w:val="0"/>
              </w:rPr>
              <w:t xml:space="preserve">PHF6</w:t>
            </w:r>
            <w:r w:rsidDel="00000000" w:rsidR="00000000" w:rsidRPr="00000000">
              <w:rPr>
                <w:rFonts w:ascii="Times New Roman" w:cs="Times New Roman" w:eastAsia="Times New Roman" w:hAnsi="Times New Roman"/>
                <w:i w:val="1"/>
                <w:color w:val="1a1a1a"/>
                <w:sz w:val="20"/>
                <w:szCs w:val="20"/>
                <w:vertAlign w:val="superscript"/>
                <w:rtl w:val="0"/>
              </w:rPr>
              <w:t xml:space="preserve">MUT</w:t>
            </w:r>
            <w:r w:rsidDel="00000000" w:rsidR="00000000" w:rsidRPr="00000000">
              <w:rPr>
                <w:rFonts w:ascii="Times New Roman" w:cs="Times New Roman" w:eastAsia="Times New Roman" w:hAnsi="Times New Roman"/>
                <w:i w:val="1"/>
                <w:color w:val="1a1a1a"/>
                <w:sz w:val="20"/>
                <w:szCs w:val="20"/>
                <w:rtl w:val="0"/>
              </w:rPr>
              <w:t xml:space="preserve"> </w:t>
            </w:r>
            <w:r w:rsidDel="00000000" w:rsidR="00000000" w:rsidRPr="00000000">
              <w:rPr>
                <w:rFonts w:ascii="Times New Roman" w:cs="Times New Roman" w:eastAsia="Times New Roman" w:hAnsi="Times New Roman"/>
                <w:color w:val="1a1a1a"/>
                <w:sz w:val="20"/>
                <w:szCs w:val="20"/>
                <w:rtl w:val="0"/>
              </w:rPr>
              <w:t xml:space="preserve">was associated with progression to HR-MDS and then to AML</w:t>
            </w:r>
            <w:r w:rsidDel="00000000" w:rsidR="00000000" w:rsidRPr="00000000">
              <w:rPr>
                <w:rFonts w:ascii="Times New Roman" w:cs="Times New Roman" w:eastAsia="Times New Roman" w:hAnsi="Times New Roman"/>
                <w:i w:val="1"/>
                <w:color w:val="1a1a1a"/>
                <w:sz w:val="20"/>
                <w:szCs w:val="20"/>
                <w:rtl w:val="0"/>
              </w:rPr>
              <w:t xml:space="preserve">(P=</w:t>
            </w:r>
            <w:r w:rsidDel="00000000" w:rsidR="00000000" w:rsidRPr="00000000">
              <w:rPr>
                <w:rFonts w:ascii="Times New Roman" w:cs="Times New Roman" w:eastAsia="Times New Roman" w:hAnsi="Times New Roman"/>
                <w:color w:val="1a1a1a"/>
                <w:sz w:val="20"/>
                <w:szCs w:val="20"/>
                <w:rtl w:val="0"/>
              </w:rPr>
              <w:t xml:space="preserve">0,0093).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Retrospective; Meeting Abstract.</w:t>
            </w: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Huang</w:t>
            </w:r>
            <w:r w:rsidDel="00000000" w:rsidR="00000000" w:rsidRPr="00000000">
              <w:rPr>
                <w:rFonts w:ascii="Times New Roman" w:cs="Times New Roman" w:eastAsia="Times New Roman" w:hAnsi="Times New Roman"/>
                <w:sz w:val="20"/>
                <w:szCs w:val="20"/>
                <w:rtl w:val="0"/>
              </w:rPr>
              <w:t xml:space="preserve"> (China),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801; AML</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 </w:t>
            </w:r>
            <w:r w:rsidDel="00000000" w:rsidR="00000000" w:rsidRPr="00000000">
              <w:rPr>
                <w:rFonts w:ascii="Times New Roman" w:cs="Times New Roman" w:eastAsia="Times New Roman" w:hAnsi="Times New Roman"/>
                <w:sz w:val="20"/>
                <w:szCs w:val="20"/>
                <w:rtl w:val="0"/>
              </w:rPr>
              <w:t xml:space="preserve">2,75%. Decrease in complete remissions, low response to induction chemotherapy, and lower OS.</w:t>
            </w:r>
          </w:p>
          <w:p w:rsidR="00000000" w:rsidDel="00000000" w:rsidP="00000000" w:rsidRDefault="00000000" w:rsidRPr="00000000" w14:paraId="00000059">
            <w:pPr>
              <w:spacing w:line="24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Zhang </w:t>
            </w:r>
            <w:r w:rsidDel="00000000" w:rsidR="00000000" w:rsidRPr="00000000">
              <w:rPr>
                <w:rFonts w:ascii="Times New Roman" w:cs="Times New Roman" w:eastAsia="Times New Roman" w:hAnsi="Times New Roman"/>
                <w:sz w:val="20"/>
                <w:szCs w:val="20"/>
                <w:rtl w:val="0"/>
              </w:rPr>
              <w:t xml:space="preserve">(China),</w:t>
            </w:r>
            <w:r w:rsidDel="00000000" w:rsidR="00000000" w:rsidRPr="00000000">
              <w:rPr>
                <w:rFonts w:ascii="Times New Roman" w:cs="Times New Roman" w:eastAsia="Times New Roman" w:hAnsi="Times New Roman"/>
                <w:sz w:val="20"/>
                <w:szCs w:val="20"/>
                <w:highlight w:val="white"/>
                <w:rtl w:val="0"/>
              </w:rPr>
              <w:t xml:space="preserve"> 2022.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176; CML with TK3G inhibitors.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color w:val="1a1a1a"/>
                <w:sz w:val="20"/>
                <w:szCs w:val="20"/>
                <w:rtl w:val="0"/>
              </w:rPr>
              <w:t xml:space="preserve"> 9,5%. In the multivariate analysis, </w:t>
            </w:r>
            <w:r w:rsidDel="00000000" w:rsidR="00000000" w:rsidRPr="00000000">
              <w:rPr>
                <w:rFonts w:ascii="Times New Roman" w:cs="Times New Roman" w:eastAsia="Times New Roman" w:hAnsi="Times New Roman"/>
                <w:i w:val="1"/>
                <w:color w:val="1a1a1a"/>
                <w:sz w:val="20"/>
                <w:szCs w:val="20"/>
                <w:rtl w:val="0"/>
              </w:rPr>
              <w:t xml:space="preserve">ASXL1</w:t>
            </w:r>
            <w:r w:rsidDel="00000000" w:rsidR="00000000" w:rsidRPr="00000000">
              <w:rPr>
                <w:rFonts w:ascii="Times New Roman" w:cs="Times New Roman" w:eastAsia="Times New Roman" w:hAnsi="Times New Roman"/>
                <w:i w:val="1"/>
                <w:color w:val="1a1a1a"/>
                <w:sz w:val="20"/>
                <w:szCs w:val="20"/>
                <w:vertAlign w:val="superscript"/>
                <w:rtl w:val="0"/>
              </w:rPr>
              <w:t xml:space="preserve">G646Wfs*12</w:t>
            </w:r>
            <w:r w:rsidDel="00000000" w:rsidR="00000000" w:rsidRPr="00000000">
              <w:rPr>
                <w:rFonts w:ascii="Times New Roman" w:cs="Times New Roman" w:eastAsia="Times New Roman" w:hAnsi="Times New Roman"/>
                <w:color w:val="1a1a1a"/>
                <w:sz w:val="20"/>
                <w:szCs w:val="20"/>
                <w:rtl w:val="0"/>
              </w:rPr>
              <w:t xml:space="preserve"> and </w:t>
            </w:r>
            <w:r w:rsidDel="00000000" w:rsidR="00000000" w:rsidRPr="00000000">
              <w:rPr>
                <w:rFonts w:ascii="Times New Roman" w:cs="Times New Roman" w:eastAsia="Times New Roman" w:hAnsi="Times New Roman"/>
                <w:i w:val="1"/>
                <w:color w:val="1a1a1a"/>
                <w:sz w:val="20"/>
                <w:szCs w:val="20"/>
                <w:rtl w:val="0"/>
              </w:rPr>
              <w:t xml:space="preserve">PHF6</w:t>
            </w:r>
            <w:r w:rsidDel="00000000" w:rsidR="00000000" w:rsidRPr="00000000">
              <w:rPr>
                <w:rFonts w:ascii="Times New Roman" w:cs="Times New Roman" w:eastAsia="Times New Roman" w:hAnsi="Times New Roman"/>
                <w:i w:val="1"/>
                <w:color w:val="1a1a1a"/>
                <w:sz w:val="20"/>
                <w:szCs w:val="20"/>
                <w:vertAlign w:val="superscript"/>
                <w:rtl w:val="0"/>
              </w:rPr>
              <w:t xml:space="preserve">MUT </w:t>
            </w:r>
            <w:r w:rsidDel="00000000" w:rsidR="00000000" w:rsidRPr="00000000">
              <w:rPr>
                <w:rFonts w:ascii="Times New Roman" w:cs="Times New Roman" w:eastAsia="Times New Roman" w:hAnsi="Times New Roman"/>
                <w:color w:val="1a1a1a"/>
                <w:sz w:val="20"/>
                <w:szCs w:val="20"/>
                <w:rtl w:val="0"/>
              </w:rPr>
              <w:t xml:space="preserve">were significantly associated with adverse cytogenetics and molecular response.  Mutations in </w:t>
            </w:r>
            <w:r w:rsidDel="00000000" w:rsidR="00000000" w:rsidRPr="00000000">
              <w:rPr>
                <w:rFonts w:ascii="Times New Roman" w:cs="Times New Roman" w:eastAsia="Times New Roman" w:hAnsi="Times New Roman"/>
                <w:i w:val="1"/>
                <w:color w:val="1a1a1a"/>
                <w:sz w:val="20"/>
                <w:szCs w:val="20"/>
                <w:rtl w:val="0"/>
              </w:rPr>
              <w:t xml:space="preserve">RUNX1</w:t>
            </w:r>
            <w:r w:rsidDel="00000000" w:rsidR="00000000" w:rsidRPr="00000000">
              <w:rPr>
                <w:rFonts w:ascii="Times New Roman" w:cs="Times New Roman" w:eastAsia="Times New Roman" w:hAnsi="Times New Roman"/>
                <w:color w:val="1a1a1a"/>
                <w:sz w:val="20"/>
                <w:szCs w:val="20"/>
                <w:rtl w:val="0"/>
              </w:rPr>
              <w:t xml:space="preserve"> and </w:t>
            </w:r>
            <w:r w:rsidDel="00000000" w:rsidR="00000000" w:rsidRPr="00000000">
              <w:rPr>
                <w:rFonts w:ascii="Times New Roman" w:cs="Times New Roman" w:eastAsia="Times New Roman" w:hAnsi="Times New Roman"/>
                <w:i w:val="1"/>
                <w:color w:val="1a1a1a"/>
                <w:sz w:val="20"/>
                <w:szCs w:val="20"/>
                <w:rtl w:val="0"/>
              </w:rPr>
              <w:t xml:space="preserve">PHF6</w:t>
            </w:r>
            <w:r w:rsidDel="00000000" w:rsidR="00000000" w:rsidRPr="00000000">
              <w:rPr>
                <w:rFonts w:ascii="Times New Roman" w:cs="Times New Roman" w:eastAsia="Times New Roman" w:hAnsi="Times New Roman"/>
                <w:color w:val="1a1a1a"/>
                <w:sz w:val="20"/>
                <w:szCs w:val="20"/>
                <w:rtl w:val="0"/>
              </w:rPr>
              <w:t xml:space="preserve"> were associated with worse PFS.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Meeting Abstract..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Mahsoub (USA),</w:t>
            </w:r>
            <w:r w:rsidDel="00000000" w:rsidR="00000000" w:rsidRPr="00000000">
              <w:rPr>
                <w:rFonts w:ascii="Times New Roman" w:cs="Times New Roman" w:eastAsia="Times New Roman" w:hAnsi="Times New Roman"/>
                <w:sz w:val="20"/>
                <w:szCs w:val="20"/>
                <w:rtl w:val="0"/>
              </w:rPr>
              <w:t xml:space="preserv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Times New Roman" w:cs="Times New Roman" w:eastAsia="Times New Roman" w:hAnsi="Times New Roman"/>
                <w:i w:val="1"/>
                <w:sz w:val="20"/>
                <w:szCs w:val="20"/>
                <w:vertAlign w:val="superscript"/>
              </w:rPr>
            </w:pPr>
            <w:r w:rsidDel="00000000" w:rsidR="00000000" w:rsidRPr="00000000">
              <w:rPr>
                <w:rFonts w:ascii="Times New Roman" w:cs="Times New Roman" w:eastAsia="Times New Roman" w:hAnsi="Times New Roman"/>
                <w:sz w:val="20"/>
                <w:szCs w:val="20"/>
                <w:rtl w:val="0"/>
              </w:rPr>
              <w:t xml:space="preserve">185; AML</w:t>
            </w:r>
            <w:r w:rsidDel="00000000" w:rsidR="00000000" w:rsidRPr="00000000">
              <w:rPr>
                <w:rFonts w:ascii="Times New Roman" w:cs="Times New Roman" w:eastAsia="Times New Roman" w:hAnsi="Times New Roman"/>
                <w:i w:val="1"/>
                <w:sz w:val="20"/>
                <w:szCs w:val="20"/>
                <w:rtl w:val="0"/>
              </w:rPr>
              <w:t xml:space="preserve"> de novo: 8 </w:t>
            </w:r>
            <w:r w:rsidDel="00000000" w:rsidR="00000000" w:rsidRPr="00000000">
              <w:rPr>
                <w:rFonts w:ascii="Times New Roman" w:cs="Times New Roman" w:eastAsia="Times New Roman" w:hAnsi="Times New Roman"/>
                <w:sz w:val="20"/>
                <w:szCs w:val="20"/>
                <w:rtl w:val="0"/>
              </w:rPr>
              <w:t xml:space="preserve">con </w:t>
            </w:r>
            <w:r w:rsidDel="00000000" w:rsidR="00000000" w:rsidRPr="00000000">
              <w:rPr>
                <w:rFonts w:ascii="Times New Roman" w:cs="Times New Roman" w:eastAsia="Times New Roman" w:hAnsi="Times New Roman"/>
                <w:i w:val="1"/>
                <w:sz w:val="20"/>
                <w:szCs w:val="20"/>
                <w:rtl w:val="0"/>
              </w:rPr>
              <w:t xml:space="preserve">NF1</w:t>
            </w:r>
            <w:r w:rsidDel="00000000" w:rsidR="00000000" w:rsidRPr="00000000">
              <w:rPr>
                <w:rFonts w:ascii="Times New Roman" w:cs="Times New Roman" w:eastAsia="Times New Roman" w:hAnsi="Times New Roman"/>
                <w:i w:val="1"/>
                <w:sz w:val="20"/>
                <w:szCs w:val="20"/>
                <w:vertAlign w:val="superscript"/>
                <w:rtl w:val="0"/>
              </w:rPr>
              <w:t xml:space="preserve">MUT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 </w:t>
            </w:r>
            <w:r w:rsidDel="00000000" w:rsidR="00000000" w:rsidRPr="00000000">
              <w:rPr>
                <w:rFonts w:ascii="Times New Roman" w:cs="Times New Roman" w:eastAsia="Times New Roman" w:hAnsi="Times New Roman"/>
                <w:sz w:val="20"/>
                <w:szCs w:val="20"/>
                <w:rtl w:val="0"/>
              </w:rPr>
              <w:t xml:space="preserve">n= 1/8. </w:t>
            </w:r>
            <w:r w:rsidDel="00000000" w:rsidR="00000000" w:rsidRPr="00000000">
              <w:rPr>
                <w:rFonts w:ascii="Times New Roman" w:cs="Times New Roman" w:eastAsia="Times New Roman" w:hAnsi="Times New Roman"/>
                <w:i w:val="1"/>
                <w:sz w:val="20"/>
                <w:szCs w:val="20"/>
                <w:rtl w:val="0"/>
              </w:rPr>
              <w:t xml:space="preserve">NF1</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sz w:val="20"/>
                <w:szCs w:val="20"/>
                <w:rtl w:val="0"/>
              </w:rPr>
              <w:t xml:space="preserve">  is uncommon in AML (4.3%) and is characterized by co-mutation with </w:t>
            </w: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sz w:val="20"/>
                <w:szCs w:val="20"/>
                <w:rtl w:val="0"/>
              </w:rPr>
              <w:t xml:space="preserve"> and poor prognosis </w:t>
            </w:r>
            <w:r w:rsidDel="00000000" w:rsidR="00000000" w:rsidRPr="00000000">
              <w:rPr>
                <w:rFonts w:ascii="Times New Roman" w:cs="Times New Roman" w:eastAsia="Times New Roman" w:hAnsi="Times New Roman"/>
                <w:i w:val="1"/>
                <w:sz w:val="20"/>
                <w:szCs w:val="20"/>
                <w:rtl w:val="0"/>
              </w:rPr>
              <w:t xml:space="preserve">vs.</w:t>
            </w:r>
            <w:r w:rsidDel="00000000" w:rsidR="00000000" w:rsidRPr="00000000">
              <w:rPr>
                <w:rFonts w:ascii="Times New Roman" w:cs="Times New Roman" w:eastAsia="Times New Roman" w:hAnsi="Times New Roman"/>
                <w:sz w:val="20"/>
                <w:szCs w:val="20"/>
                <w:rtl w:val="0"/>
              </w:rPr>
              <w:t xml:space="preserve"> AML with normal karyotype.   </w:t>
            </w:r>
            <w:r w:rsidDel="00000000" w:rsidR="00000000" w:rsidRPr="00000000">
              <w:rPr>
                <w:rtl w:val="0"/>
              </w:rPr>
            </w:r>
          </w:p>
          <w:p w:rsidR="00000000" w:rsidDel="00000000" w:rsidP="00000000" w:rsidRDefault="00000000" w:rsidRPr="00000000" w14:paraId="00000062">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ab/>
            </w:r>
          </w:p>
          <w:p w:rsidR="00000000" w:rsidDel="00000000" w:rsidP="00000000" w:rsidRDefault="00000000" w:rsidRPr="00000000" w14:paraId="00000063">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r>
          </w:p>
          <w:p w:rsidR="00000000" w:rsidDel="00000000" w:rsidP="00000000" w:rsidRDefault="00000000" w:rsidRPr="00000000" w14:paraId="00000064">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r>
          </w:p>
          <w:p w:rsidR="00000000" w:rsidDel="00000000" w:rsidP="00000000" w:rsidRDefault="00000000" w:rsidRPr="00000000" w14:paraId="00000065">
            <w:pPr>
              <w:spacing w:line="24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Meeting Abstract.</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Zhou (USA), </w:t>
            </w:r>
            <w:r w:rsidDel="00000000" w:rsidR="00000000" w:rsidRPr="00000000">
              <w:rPr>
                <w:rFonts w:ascii="Times New Roman" w:cs="Times New Roman" w:eastAsia="Times New Roman" w:hAnsi="Times New Roman"/>
                <w:sz w:val="20"/>
                <w:szCs w:val="20"/>
                <w:rtl w:val="0"/>
              </w:rPr>
              <w:t xml:space="preserve">2022.</w:t>
            </w:r>
            <w:r w:rsidDel="00000000" w:rsidR="00000000" w:rsidRPr="00000000">
              <w:rPr>
                <w:rFonts w:ascii="Times New Roman" w:cs="Times New Roman" w:eastAsia="Times New Roman" w:hAnsi="Times New Roman"/>
                <w:i w:val="1"/>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 </w:t>
            </w:r>
            <w:r w:rsidDel="00000000" w:rsidR="00000000" w:rsidRPr="00000000">
              <w:rPr>
                <w:rFonts w:ascii="Times New Roman" w:cs="Times New Roman" w:eastAsia="Times New Roman" w:hAnsi="Times New Roman"/>
                <w:i w:val="1"/>
                <w:sz w:val="20"/>
                <w:szCs w:val="20"/>
                <w:rtl w:val="0"/>
              </w:rPr>
              <w:t xml:space="preserve">JAK2 </w:t>
            </w:r>
            <w:r w:rsidDel="00000000" w:rsidR="00000000" w:rsidRPr="00000000">
              <w:rPr>
                <w:rFonts w:ascii="Times New Roman" w:cs="Times New Roman" w:eastAsia="Times New Roman" w:hAnsi="Times New Roman"/>
                <w:sz w:val="20"/>
                <w:szCs w:val="20"/>
                <w:rtl w:val="0"/>
              </w:rPr>
              <w:t xml:space="preserve">negative  MPN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Mutations in </w:t>
            </w:r>
            <w:r w:rsidDel="00000000" w:rsidR="00000000" w:rsidRPr="00000000">
              <w:rPr>
                <w:rFonts w:ascii="Times New Roman" w:cs="Times New Roman" w:eastAsia="Times New Roman" w:hAnsi="Times New Roman"/>
                <w:i w:val="1"/>
                <w:sz w:val="20"/>
                <w:szCs w:val="20"/>
                <w:rtl w:val="0"/>
              </w:rPr>
              <w:t xml:space="preserve">TP53, PHF6, </w:t>
            </w:r>
            <w:r w:rsidDel="00000000" w:rsidR="00000000" w:rsidRPr="00000000">
              <w:rPr>
                <w:rFonts w:ascii="Times New Roman" w:cs="Times New Roman" w:eastAsia="Times New Roman" w:hAnsi="Times New Roman"/>
                <w:sz w:val="20"/>
                <w:szCs w:val="20"/>
                <w:rtl w:val="0"/>
              </w:rPr>
              <w:t xml:space="preserve">or</w:t>
            </w:r>
            <w:r w:rsidDel="00000000" w:rsidR="00000000" w:rsidRPr="00000000">
              <w:rPr>
                <w:rFonts w:ascii="Times New Roman" w:cs="Times New Roman" w:eastAsia="Times New Roman" w:hAnsi="Times New Roman"/>
                <w:i w:val="1"/>
                <w:sz w:val="20"/>
                <w:szCs w:val="20"/>
                <w:rtl w:val="0"/>
              </w:rPr>
              <w:t xml:space="preserve"> RUNX1 </w:t>
            </w:r>
            <w:r w:rsidDel="00000000" w:rsidR="00000000" w:rsidRPr="00000000">
              <w:rPr>
                <w:rFonts w:ascii="Times New Roman" w:cs="Times New Roman" w:eastAsia="Times New Roman" w:hAnsi="Times New Roman"/>
                <w:sz w:val="20"/>
                <w:szCs w:val="20"/>
                <w:rtl w:val="0"/>
              </w:rPr>
              <w:t xml:space="preserve">are associated with a high risk of secondary AML. </w:t>
            </w:r>
            <w:r w:rsidDel="00000000" w:rsidR="00000000" w:rsidRPr="00000000">
              <w:rPr>
                <w:rtl w:val="0"/>
              </w:rPr>
            </w:r>
          </w:p>
          <w:p w:rsidR="00000000" w:rsidDel="00000000" w:rsidP="00000000" w:rsidRDefault="00000000" w:rsidRPr="00000000" w14:paraId="0000006A">
            <w:pPr>
              <w:spacing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ab/>
              <w:tab/>
            </w:r>
            <w:r w:rsidDel="00000000" w:rsidR="00000000" w:rsidRPr="00000000">
              <w:rPr>
                <w:rFonts w:ascii="Times New Roman" w:cs="Times New Roman" w:eastAsia="Times New Roman" w:hAnsi="Times New Roman"/>
                <w:i w:val="1"/>
                <w:sz w:val="20"/>
                <w:szCs w:val="20"/>
                <w:rtl w:val="0"/>
              </w:rPr>
              <w:tab/>
              <w:tab/>
            </w:r>
          </w:p>
          <w:p w:rsidR="00000000" w:rsidDel="00000000" w:rsidP="00000000" w:rsidRDefault="00000000" w:rsidRPr="00000000" w14:paraId="0000006B">
            <w:pPr>
              <w:spacing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ab/>
              <w:tab/>
              <w:tab/>
            </w:r>
          </w:p>
          <w:p w:rsidR="00000000" w:rsidDel="00000000" w:rsidP="00000000" w:rsidRDefault="00000000" w:rsidRPr="00000000" w14:paraId="0000006C">
            <w:pPr>
              <w:spacing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ab/>
              <w:tab/>
            </w:r>
          </w:p>
          <w:p w:rsidR="00000000" w:rsidDel="00000000" w:rsidP="00000000" w:rsidRDefault="00000000" w:rsidRPr="00000000" w14:paraId="0000006D">
            <w:pPr>
              <w:spacing w:line="240" w:lineRule="auto"/>
              <w:jc w:val="both"/>
              <w:rPr>
                <w:rFonts w:ascii="Times New Roman" w:cs="Times New Roman" w:eastAsia="Times New Roman" w:hAnsi="Times New Roman"/>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Meeting Abstract.</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color w:val="212121"/>
                <w:sz w:val="20"/>
                <w:szCs w:val="20"/>
                <w:highlight w:val="white"/>
                <w:rtl w:val="0"/>
              </w:rPr>
              <w:t xml:space="preserve">Bernard,</w:t>
            </w:r>
            <w:r w:rsidDel="00000000" w:rsidR="00000000" w:rsidRPr="00000000">
              <w:rPr>
                <w:rFonts w:ascii="Times New Roman" w:cs="Times New Roman" w:eastAsia="Times New Roman" w:hAnsi="Times New Roman"/>
                <w:color w:val="212121"/>
                <w:sz w:val="20"/>
                <w:szCs w:val="20"/>
                <w:highlight w:val="white"/>
                <w:rtl w:val="0"/>
              </w:rPr>
              <w:t xml:space="preserve"> 2022.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2957; MDS</w:t>
            </w:r>
          </w:p>
          <w:p w:rsidR="00000000" w:rsidDel="00000000" w:rsidP="00000000" w:rsidRDefault="00000000" w:rsidRPr="00000000" w14:paraId="00000071">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jc w:val="both"/>
              <w:rPr>
                <w:rFonts w:ascii="Times New Roman" w:cs="Times New Roman" w:eastAsia="Times New Roman" w:hAnsi="Times New Roman"/>
                <w:i w:val="1"/>
                <w:sz w:val="14"/>
                <w:szCs w:val="14"/>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N=98 </w:t>
            </w:r>
            <w:r w:rsidDel="00000000" w:rsidR="00000000" w:rsidRPr="00000000">
              <w:rPr>
                <w:rFonts w:ascii="Times New Roman" w:cs="Times New Roman" w:eastAsia="Times New Roman" w:hAnsi="Times New Roman"/>
                <w:i w:val="1"/>
                <w:sz w:val="20"/>
                <w:szCs w:val="20"/>
                <w:rtl w:val="0"/>
              </w:rPr>
              <w:t xml:space="preserve">(3,31%). </w:t>
            </w:r>
            <w:r w:rsidDel="00000000" w:rsidR="00000000" w:rsidRPr="00000000">
              <w:rPr>
                <w:rFonts w:ascii="Times New Roman" w:cs="Times New Roman" w:eastAsia="Times New Roman" w:hAnsi="Times New Roman"/>
                <w:sz w:val="20"/>
                <w:szCs w:val="20"/>
                <w:rtl w:val="0"/>
              </w:rPr>
              <w:t xml:space="preserve">Included along with 14 other genes in a category of “residual genes” with an additive effect on adverse prognosis in the IPSS-Mol.  </w:t>
            </w:r>
            <w:r w:rsidDel="00000000" w:rsidR="00000000" w:rsidRPr="00000000">
              <w:rPr>
                <w:rtl w:val="0"/>
              </w:rPr>
            </w:r>
          </w:p>
          <w:p w:rsidR="00000000" w:rsidDel="00000000" w:rsidP="00000000" w:rsidRDefault="00000000" w:rsidRPr="00000000" w14:paraId="00000073">
            <w:pPr>
              <w:spacing w:line="240" w:lineRule="auto"/>
              <w:jc w:val="both"/>
              <w:rPr>
                <w:rFonts w:ascii="Times New Roman" w:cs="Times New Roman" w:eastAsia="Times New Roman" w:hAnsi="Times New Roman"/>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Zhao</w:t>
            </w:r>
            <w:r w:rsidDel="00000000" w:rsidR="00000000" w:rsidRPr="00000000">
              <w:rPr>
                <w:rFonts w:ascii="Times New Roman" w:cs="Times New Roman" w:eastAsia="Times New Roman" w:hAnsi="Times New Roman"/>
                <w:sz w:val="20"/>
                <w:szCs w:val="20"/>
                <w:rtl w:val="0"/>
              </w:rPr>
              <w:t xml:space="preserve"> (Canada),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266; AML-MR</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i w:val="1"/>
                <w:sz w:val="20"/>
                <w:szCs w:val="20"/>
                <w:rtl w:val="0"/>
              </w:rPr>
              <w:t xml:space="preserve"> (4,5%) </w:t>
            </w:r>
            <w:r w:rsidDel="00000000" w:rsidR="00000000" w:rsidRPr="00000000">
              <w:rPr>
                <w:rFonts w:ascii="Times New Roman" w:cs="Times New Roman" w:eastAsia="Times New Roman" w:hAnsi="Times New Roman"/>
                <w:sz w:val="20"/>
                <w:szCs w:val="20"/>
                <w:rtl w:val="0"/>
              </w:rPr>
              <w:t xml:space="preserve">and transplantation were predictors of better OS (HR 0.15 [0.03–0.87 95% CI] </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=0.034) and DFS (0.15 [0.03–0.78 95% CI] </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=0.024).</w:t>
            </w:r>
          </w:p>
          <w:p w:rsidR="00000000" w:rsidDel="00000000" w:rsidP="00000000" w:rsidRDefault="00000000" w:rsidRPr="00000000" w14:paraId="00000078">
            <w:pPr>
              <w:spacing w:line="240" w:lineRule="auto"/>
              <w:jc w:val="both"/>
              <w:rPr>
                <w:rFonts w:ascii="Times New Roman" w:cs="Times New Roman" w:eastAsia="Times New Roman" w:hAnsi="Times New Roman"/>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Bataller (USA), </w:t>
            </w:r>
            <w:r w:rsidDel="00000000" w:rsidR="00000000" w:rsidRPr="00000000">
              <w:rPr>
                <w:rFonts w:ascii="Times New Roman" w:cs="Times New Roman" w:eastAsia="Times New Roman" w:hAnsi="Times New Roman"/>
                <w:sz w:val="20"/>
                <w:szCs w:val="20"/>
                <w:rtl w:val="0"/>
              </w:rPr>
              <w:t xml:space="preserve">2023.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1699; MNs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 </w:t>
            </w:r>
            <w:r w:rsidDel="00000000" w:rsidR="00000000" w:rsidRPr="00000000">
              <w:rPr>
                <w:rFonts w:ascii="Times New Roman" w:cs="Times New Roman" w:eastAsia="Times New Roman" w:hAnsi="Times New Roman"/>
                <w:sz w:val="20"/>
                <w:szCs w:val="20"/>
                <w:rtl w:val="0"/>
              </w:rPr>
              <w:t xml:space="preserve">3,3%. No association with prognosis (OS). However, in the AML-TR subgroup, there was an increase in mortality in the multivariate analysis.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Tefferi (USA)</w:t>
            </w:r>
            <w:r w:rsidDel="00000000" w:rsidR="00000000" w:rsidRPr="00000000">
              <w:rPr>
                <w:rFonts w:ascii="Times New Roman" w:cs="Times New Roman" w:eastAsia="Times New Roman" w:hAnsi="Times New Roman"/>
                <w:sz w:val="20"/>
                <w:szCs w:val="20"/>
                <w:rtl w:val="0"/>
              </w:rPr>
              <w:t xml:space="preserve">, 2024.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426; CMML</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 </w:t>
            </w:r>
            <w:r w:rsidDel="00000000" w:rsidR="00000000" w:rsidRPr="00000000">
              <w:rPr>
                <w:rFonts w:ascii="Times New Roman" w:cs="Times New Roman" w:eastAsia="Times New Roman" w:hAnsi="Times New Roman"/>
                <w:sz w:val="20"/>
                <w:szCs w:val="20"/>
                <w:rtl w:val="0"/>
              </w:rPr>
              <w:t xml:space="preserve">6,6%. Better prognosis (OS), thrombocytopenia, and more </w:t>
            </w:r>
            <w:r w:rsidDel="00000000" w:rsidR="00000000" w:rsidRPr="00000000">
              <w:rPr>
                <w:rFonts w:ascii="Times New Roman" w:cs="Times New Roman" w:eastAsia="Times New Roman" w:hAnsi="Times New Roman"/>
                <w:i w:val="1"/>
                <w:sz w:val="20"/>
                <w:szCs w:val="20"/>
                <w:rtl w:val="0"/>
              </w:rPr>
              <w:t xml:space="preserve">LoY.</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Erdos (USA), </w:t>
            </w:r>
            <w:r w:rsidDel="00000000" w:rsidR="00000000" w:rsidRPr="00000000">
              <w:rPr>
                <w:rFonts w:ascii="Times New Roman" w:cs="Times New Roman" w:eastAsia="Times New Roman" w:hAnsi="Times New Roman"/>
                <w:sz w:val="20"/>
                <w:szCs w:val="20"/>
                <w:rtl w:val="0"/>
              </w:rPr>
              <w:t xml:space="preserve">2024.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475; PV</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High mortality at 20 years, associated with advanced age (</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&lt;0.001) and </w:t>
            </w: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=0.013) in multivariate analysis.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Meeting Abstract.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Beas </w:t>
            </w:r>
            <w:r w:rsidDel="00000000" w:rsidR="00000000" w:rsidRPr="00000000">
              <w:rPr>
                <w:rFonts w:ascii="Times New Roman" w:cs="Times New Roman" w:eastAsia="Times New Roman" w:hAnsi="Times New Roman"/>
                <w:sz w:val="20"/>
                <w:szCs w:val="20"/>
                <w:rtl w:val="0"/>
              </w:rPr>
              <w:t xml:space="preserve">(Spain; GESMD)</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2024.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209; MDS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sz w:val="20"/>
                <w:szCs w:val="20"/>
                <w:rtl w:val="0"/>
              </w:rPr>
              <w:t xml:space="preserve"> (4,3%), did not provide prognostic value in the univariate analysis, regardless of the event considered (PFS to AML or 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Meeting Abstract.</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Perusini </w:t>
            </w:r>
            <w:r w:rsidDel="00000000" w:rsidR="00000000" w:rsidRPr="00000000">
              <w:rPr>
                <w:rFonts w:ascii="Times New Roman" w:cs="Times New Roman" w:eastAsia="Times New Roman" w:hAnsi="Times New Roman"/>
                <w:sz w:val="20"/>
                <w:szCs w:val="20"/>
                <w:rtl w:val="0"/>
              </w:rPr>
              <w:t xml:space="preserve">(Canada), 2024.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92; Secondary AML</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Tumor suppressors: </w:t>
            </w: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TP53</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sz w:val="20"/>
                <w:szCs w:val="20"/>
                <w:rtl w:val="0"/>
              </w:rPr>
              <w:t xml:space="preserve"> (18.5%); this was the only subgroup that showed differences in OS (at 1 year, HR 3.11 [1.4-6.9], </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&lt;0.001) in favor of CPX </w:t>
            </w:r>
            <w:r w:rsidDel="00000000" w:rsidR="00000000" w:rsidRPr="00000000">
              <w:rPr>
                <w:rFonts w:ascii="Times New Roman" w:cs="Times New Roman" w:eastAsia="Times New Roman" w:hAnsi="Times New Roman"/>
                <w:i w:val="1"/>
                <w:sz w:val="20"/>
                <w:szCs w:val="20"/>
                <w:rtl w:val="0"/>
              </w:rPr>
              <w:t xml:space="preserve">vs.</w:t>
            </w:r>
            <w:r w:rsidDel="00000000" w:rsidR="00000000" w:rsidRPr="00000000">
              <w:rPr>
                <w:rFonts w:ascii="Times New Roman" w:cs="Times New Roman" w:eastAsia="Times New Roman" w:hAnsi="Times New Roman"/>
                <w:sz w:val="20"/>
                <w:szCs w:val="20"/>
                <w:rtl w:val="0"/>
              </w:rPr>
              <w:t xml:space="preserve"> FLAG-IDA.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Meeting Abstract.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Kubota (USA</w:t>
            </w:r>
            <w:r w:rsidDel="00000000" w:rsidR="00000000" w:rsidRPr="00000000">
              <w:rPr>
                <w:rFonts w:ascii="Times New Roman" w:cs="Times New Roman" w:eastAsia="Times New Roman" w:hAnsi="Times New Roman"/>
                <w:sz w:val="20"/>
                <w:szCs w:val="20"/>
                <w:rtl w:val="0"/>
              </w:rPr>
              <w:t xml:space="preserve">, Italy &amp; Germany</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2025.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8843; MNs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1,74%. Negative prognosis in AML (especially when associated with  mutated </w:t>
            </w:r>
            <w:r w:rsidDel="00000000" w:rsidR="00000000" w:rsidRPr="00000000">
              <w:rPr>
                <w:rFonts w:ascii="Times New Roman" w:cs="Times New Roman" w:eastAsia="Times New Roman" w:hAnsi="Times New Roman"/>
                <w:i w:val="1"/>
                <w:sz w:val="20"/>
                <w:szCs w:val="20"/>
                <w:rtl w:val="0"/>
              </w:rPr>
              <w:t xml:space="preserve">RUNX1</w:t>
            </w:r>
            <w:r w:rsidDel="00000000" w:rsidR="00000000" w:rsidRPr="00000000">
              <w:rPr>
                <w:rFonts w:ascii="Times New Roman" w:cs="Times New Roman" w:eastAsia="Times New Roman" w:hAnsi="Times New Roman"/>
                <w:sz w:val="20"/>
                <w:szCs w:val="20"/>
                <w:rtl w:val="0"/>
              </w:rPr>
              <w:t xml:space="preserve">), as well as age &gt;60 years.</w:t>
            </w:r>
          </w:p>
          <w:p w:rsidR="00000000" w:rsidDel="00000000" w:rsidP="00000000" w:rsidRDefault="00000000" w:rsidRPr="00000000" w14:paraId="00000091">
            <w:pPr>
              <w:spacing w:line="240" w:lineRule="auto"/>
              <w:jc w:val="both"/>
              <w:rPr>
                <w:rFonts w:ascii="Times New Roman" w:cs="Times New Roman" w:eastAsia="Times New Roman" w:hAnsi="Times New Roman"/>
                <w:i w:val="1"/>
                <w:sz w:val="20"/>
                <w:szCs w:val="20"/>
                <w:vertAlign w:val="superscrip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w:t>
            </w:r>
          </w:p>
        </w:tc>
      </w:tr>
      <w:tr>
        <w:trPr>
          <w:cantSplit w:val="0"/>
          <w:trHeight w:val="759.9414062499999" w:hRule="atLeast"/>
          <w:tblHeader w:val="1"/>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Fathima (USA),</w:t>
            </w:r>
            <w:r w:rsidDel="00000000" w:rsidR="00000000" w:rsidRPr="00000000">
              <w:rPr>
                <w:rFonts w:ascii="Times New Roman" w:cs="Times New Roman" w:eastAsia="Times New Roman" w:hAnsi="Times New Roman"/>
                <w:sz w:val="20"/>
                <w:szCs w:val="20"/>
                <w:rtl w:val="0"/>
              </w:rPr>
              <w:t xml:space="preserve"> 2025</w:t>
            </w:r>
            <w:r w:rsidDel="00000000" w:rsidR="00000000" w:rsidRPr="00000000">
              <w:rPr>
                <w:rFonts w:ascii="Times New Roman" w:cs="Times New Roman" w:eastAsia="Times New Roman" w:hAnsi="Times New Roman"/>
                <w:b w:val="1"/>
                <w:sz w:val="20"/>
                <w:szCs w:val="20"/>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176; MNs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 </w:t>
            </w:r>
            <w:r w:rsidDel="00000000" w:rsidR="00000000" w:rsidRPr="00000000">
              <w:rPr>
                <w:rFonts w:ascii="Times New Roman" w:cs="Times New Roman" w:eastAsia="Times New Roman" w:hAnsi="Times New Roman"/>
                <w:sz w:val="20"/>
                <w:szCs w:val="20"/>
                <w:rtl w:val="0"/>
              </w:rPr>
              <w:t xml:space="preserve">N=176 (100%). </w:t>
            </w:r>
          </w:p>
          <w:p w:rsidR="00000000" w:rsidDel="00000000" w:rsidP="00000000" w:rsidRDefault="00000000" w:rsidRPr="00000000" w14:paraId="0000009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Better prognosis in LMMC (OS and BTFS), higher LoY in CMML and MDS. </w:t>
            </w:r>
          </w:p>
          <w:p w:rsidR="00000000" w:rsidDel="00000000" w:rsidP="00000000" w:rsidRDefault="00000000" w:rsidRPr="00000000" w14:paraId="00000097">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Better prognosis (BTFS) in women with MDS.</w:t>
            </w:r>
          </w:p>
          <w:p w:rsidR="00000000" w:rsidDel="00000000" w:rsidP="00000000" w:rsidRDefault="00000000" w:rsidRPr="00000000" w14:paraId="00000098">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Better PTS.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Retrospective. </w:t>
            </w:r>
          </w:p>
        </w:tc>
      </w:tr>
      <w:tr>
        <w:trPr>
          <w:cantSplit w:val="0"/>
          <w:trHeight w:val="759.9414062499999" w:hRule="atLeast"/>
          <w:tblHeader w:val="1"/>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imes New Roman" w:cs="Times New Roman" w:eastAsia="Times New Roman" w:hAnsi="Times New Roman"/>
                <w:i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Better prognosis (OS) in MDS with </w:t>
            </w: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i w:val="1"/>
                <w:sz w:val="20"/>
                <w:szCs w:val="20"/>
                <w:vertAlign w:val="superscript"/>
                <w:rtl w:val="0"/>
              </w:rPr>
              <w:t xml:space="preserve">MUT </w:t>
            </w:r>
            <w:r w:rsidDel="00000000" w:rsidR="00000000" w:rsidRPr="00000000">
              <w:rPr>
                <w:rFonts w:ascii="Times New Roman" w:cs="Times New Roman" w:eastAsia="Times New Roman" w:hAnsi="Times New Roman"/>
                <w:sz w:val="20"/>
                <w:szCs w:val="20"/>
                <w:rtl w:val="0"/>
              </w:rPr>
              <w:t xml:space="preserve">VAF &gt;20%.</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9E">
      <w:pPr>
        <w:spacing w:line="240" w:lineRule="auto"/>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The colors in the </w:t>
      </w:r>
      <w:r w:rsidDel="00000000" w:rsidR="00000000" w:rsidRPr="00000000">
        <w:rPr>
          <w:rFonts w:ascii="Times New Roman" w:cs="Times New Roman" w:eastAsia="Times New Roman" w:hAnsi="Times New Roman"/>
          <w:b w:val="1"/>
          <w:sz w:val="16"/>
          <w:szCs w:val="16"/>
          <w:highlight w:val="white"/>
          <w:rtl w:val="0"/>
        </w:rPr>
        <w:t xml:space="preserve">Main</w:t>
      </w:r>
      <w:r w:rsidDel="00000000" w:rsidR="00000000" w:rsidRPr="00000000">
        <w:rPr>
          <w:rFonts w:ascii="Times New Roman" w:cs="Times New Roman" w:eastAsia="Times New Roman" w:hAnsi="Times New Roman"/>
          <w:sz w:val="16"/>
          <w:szCs w:val="16"/>
          <w:highlight w:val="white"/>
          <w:rtl w:val="0"/>
        </w:rPr>
        <w:t xml:space="preserve"> </w:t>
      </w:r>
      <w:r w:rsidDel="00000000" w:rsidR="00000000" w:rsidRPr="00000000">
        <w:rPr>
          <w:rFonts w:ascii="Times New Roman" w:cs="Times New Roman" w:eastAsia="Times New Roman" w:hAnsi="Times New Roman"/>
          <w:b w:val="1"/>
          <w:sz w:val="16"/>
          <w:szCs w:val="16"/>
          <w:highlight w:val="white"/>
          <w:rtl w:val="0"/>
        </w:rPr>
        <w:t xml:space="preserve">results </w:t>
      </w:r>
      <w:r w:rsidDel="00000000" w:rsidR="00000000" w:rsidRPr="00000000">
        <w:rPr>
          <w:rFonts w:ascii="Times New Roman" w:cs="Times New Roman" w:eastAsia="Times New Roman" w:hAnsi="Times New Roman"/>
          <w:sz w:val="16"/>
          <w:szCs w:val="16"/>
          <w:highlight w:val="white"/>
          <w:rtl w:val="0"/>
        </w:rPr>
        <w:t xml:space="preserve">column mean the following:  </w:t>
      </w:r>
    </w:p>
    <w:p w:rsidR="00000000" w:rsidDel="00000000" w:rsidP="00000000" w:rsidRDefault="00000000" w:rsidRPr="00000000" w14:paraId="0000009F">
      <w:pPr>
        <w:spacing w:line="240" w:lineRule="auto"/>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b w:val="1"/>
          <w:sz w:val="16"/>
          <w:szCs w:val="16"/>
          <w:highlight w:val="white"/>
          <w:rtl w:val="0"/>
        </w:rPr>
        <w:t xml:space="preserve">Green: </w:t>
      </w:r>
      <w:r w:rsidDel="00000000" w:rsidR="00000000" w:rsidRPr="00000000">
        <w:rPr>
          <w:rFonts w:ascii="Times New Roman" w:cs="Times New Roman" w:eastAsia="Times New Roman" w:hAnsi="Times New Roman"/>
          <w:sz w:val="16"/>
          <w:szCs w:val="16"/>
          <w:highlight w:val="white"/>
          <w:rtl w:val="0"/>
        </w:rPr>
        <w:t xml:space="preserve">favorable prognosis</w:t>
      </w:r>
    </w:p>
    <w:p w:rsidR="00000000" w:rsidDel="00000000" w:rsidP="00000000" w:rsidRDefault="00000000" w:rsidRPr="00000000" w14:paraId="000000A0">
      <w:pPr>
        <w:spacing w:line="240" w:lineRule="auto"/>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b w:val="1"/>
          <w:sz w:val="16"/>
          <w:szCs w:val="16"/>
          <w:highlight w:val="white"/>
          <w:rtl w:val="0"/>
        </w:rPr>
        <w:t xml:space="preserve">Yellow:</w:t>
      </w:r>
      <w:r w:rsidDel="00000000" w:rsidR="00000000" w:rsidRPr="00000000">
        <w:rPr>
          <w:rFonts w:ascii="Times New Roman" w:cs="Times New Roman" w:eastAsia="Times New Roman" w:hAnsi="Times New Roman"/>
          <w:sz w:val="16"/>
          <w:szCs w:val="16"/>
          <w:highlight w:val="white"/>
          <w:rtl w:val="0"/>
        </w:rPr>
        <w:t xml:space="preserve"> neutral effect</w:t>
      </w:r>
    </w:p>
    <w:p w:rsidR="00000000" w:rsidDel="00000000" w:rsidP="00000000" w:rsidRDefault="00000000" w:rsidRPr="00000000" w14:paraId="000000A1">
      <w:pPr>
        <w:spacing w:line="240" w:lineRule="auto"/>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b w:val="1"/>
          <w:sz w:val="16"/>
          <w:szCs w:val="16"/>
          <w:highlight w:val="white"/>
          <w:rtl w:val="0"/>
        </w:rPr>
        <w:t xml:space="preserve">Red: </w:t>
      </w:r>
      <w:r w:rsidDel="00000000" w:rsidR="00000000" w:rsidRPr="00000000">
        <w:rPr>
          <w:rFonts w:ascii="Times New Roman" w:cs="Times New Roman" w:eastAsia="Times New Roman" w:hAnsi="Times New Roman"/>
          <w:sz w:val="16"/>
          <w:szCs w:val="16"/>
          <w:highlight w:val="white"/>
          <w:rtl w:val="0"/>
        </w:rPr>
        <w:t xml:space="preserve">unfavorable prognosis</w:t>
      </w:r>
    </w:p>
    <w:p w:rsidR="00000000" w:rsidDel="00000000" w:rsidP="00000000" w:rsidRDefault="00000000" w:rsidRPr="00000000" w14:paraId="000000A2">
      <w:pPr>
        <w:spacing w:line="240" w:lineRule="auto"/>
        <w:jc w:val="both"/>
        <w:rPr>
          <w:rFonts w:ascii="Times New Roman" w:cs="Times New Roman" w:eastAsia="Times New Roman" w:hAnsi="Times New Roman"/>
          <w:color w:val="1a1a1a"/>
          <w:sz w:val="16"/>
          <w:szCs w:val="16"/>
          <w:highlight w:val="white"/>
        </w:rPr>
      </w:pPr>
      <w:r w:rsidDel="00000000" w:rsidR="00000000" w:rsidRPr="00000000">
        <w:rPr>
          <w:rFonts w:ascii="Times New Roman" w:cs="Times New Roman" w:eastAsia="Times New Roman" w:hAnsi="Times New Roman"/>
          <w:color w:val="1a1a1a"/>
          <w:sz w:val="16"/>
          <w:szCs w:val="16"/>
          <w:highlight w:val="white"/>
          <w:rtl w:val="0"/>
        </w:rPr>
        <w:t xml:space="preserve"> </w:t>
      </w:r>
    </w:p>
    <w:p w:rsidR="00000000" w:rsidDel="00000000" w:rsidP="00000000" w:rsidRDefault="00000000" w:rsidRPr="00000000" w14:paraId="000000A3">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MN: Myeloid Neoplasm; AML: Acute Myeloid Leukemia; MDS: Myelodiplastic Syndrome; OR: Odds Ratio; OS: Overall Survival; HR: Hazard Ratio; IGP: Integrated Genetic Prognostic model</w:t>
      </w:r>
      <w:r w:rsidDel="00000000" w:rsidR="00000000" w:rsidRPr="00000000">
        <w:rPr>
          <w:rFonts w:ascii="Times New Roman" w:cs="Times New Roman" w:eastAsia="Times New Roman" w:hAnsi="Times New Roman"/>
          <w:i w:val="1"/>
          <w:sz w:val="16"/>
          <w:szCs w:val="16"/>
          <w:rtl w:val="0"/>
        </w:rPr>
        <w:t xml:space="preserve"> </w:t>
      </w:r>
      <w:r w:rsidDel="00000000" w:rsidR="00000000" w:rsidRPr="00000000">
        <w:rPr>
          <w:rFonts w:ascii="Times New Roman" w:cs="Times New Roman" w:eastAsia="Times New Roman" w:hAnsi="Times New Roman"/>
          <w:sz w:val="16"/>
          <w:szCs w:val="16"/>
          <w:rtl w:val="0"/>
        </w:rPr>
        <w:t xml:space="preserve">(Patel et al. 2013); CI: Confidence Interval; </w:t>
      </w:r>
      <w:r w:rsidDel="00000000" w:rsidR="00000000" w:rsidRPr="00000000">
        <w:rPr>
          <w:rFonts w:ascii="Times New Roman" w:cs="Times New Roman" w:eastAsia="Times New Roman" w:hAnsi="Times New Roman"/>
          <w:color w:val="1a1a1a"/>
          <w:sz w:val="16"/>
          <w:szCs w:val="16"/>
          <w:rtl w:val="0"/>
        </w:rPr>
        <w:t xml:space="preserve">MPAL: Mixed-Phenotype Acute Leukemia; HR-MDS: High-Risk MDS; CML: Chronic Myeloid Leukemia; </w:t>
      </w:r>
      <w:r w:rsidDel="00000000" w:rsidR="00000000" w:rsidRPr="00000000">
        <w:rPr>
          <w:rFonts w:ascii="Times New Roman" w:cs="Times New Roman" w:eastAsia="Times New Roman" w:hAnsi="Times New Roman"/>
          <w:sz w:val="16"/>
          <w:szCs w:val="16"/>
          <w:rtl w:val="0"/>
        </w:rPr>
        <w:t xml:space="preserve">TK3G: Tyrosine-Kinase 3rd. Generation; PFS; Progression-Free Survival; MPN: Chronic Myeloproliferative Neoplasm; IPSS-Mol: Molecular International Prognostic Scoring System for Myelodysplastic Syndromes</w:t>
      </w:r>
      <w:r w:rsidDel="00000000" w:rsidR="00000000" w:rsidRPr="00000000">
        <w:rPr>
          <w:rFonts w:ascii="Times New Roman" w:cs="Times New Roman" w:eastAsia="Times New Roman" w:hAnsi="Times New Roman"/>
          <w:i w:val="1"/>
          <w:sz w:val="16"/>
          <w:szCs w:val="16"/>
          <w:rtl w:val="0"/>
        </w:rPr>
        <w:t xml:space="preserve">;</w:t>
      </w:r>
      <w:r w:rsidDel="00000000" w:rsidR="00000000" w:rsidRPr="00000000">
        <w:rPr>
          <w:rFonts w:ascii="Times New Roman" w:cs="Times New Roman" w:eastAsia="Times New Roman" w:hAnsi="Times New Roman"/>
          <w:sz w:val="16"/>
          <w:szCs w:val="16"/>
          <w:rtl w:val="0"/>
        </w:rPr>
        <w:t xml:space="preserve"> AML-MRC: AML with myelodysplasia-related changes;  DFS: Disease-Free Survival;  AML-TR: AML Therapy-Related; CMML: Chronic Myelomonocytic Leukemia; LoY: loss-of-Y chromosome; CPX: liposomal formulation of daunorubicin and cytarabine with a molar ratio of 1:5 [</w:t>
      </w:r>
      <w:r w:rsidDel="00000000" w:rsidR="00000000" w:rsidRPr="00000000">
        <w:rPr>
          <w:rFonts w:ascii="Times New Roman" w:cs="Times New Roman" w:eastAsia="Times New Roman" w:hAnsi="Times New Roman"/>
          <w:i w:val="1"/>
          <w:sz w:val="16"/>
          <w:szCs w:val="16"/>
          <w:rtl w:val="0"/>
        </w:rPr>
        <w:t xml:space="preserve">Vyxeos</w:t>
      </w:r>
      <w:r w:rsidDel="00000000" w:rsidR="00000000" w:rsidRPr="00000000">
        <w:rPr>
          <w:rFonts w:ascii="Times New Roman" w:cs="Times New Roman" w:eastAsia="Times New Roman" w:hAnsi="Times New Roman"/>
          <w:sz w:val="16"/>
          <w:szCs w:val="16"/>
          <w:rtl w:val="0"/>
        </w:rPr>
        <w:t xml:space="preserve">]); FLAG-IDA: Fludarabine, Leucovorin, Ara-C (cytarabine), G-CSF [granulocyte colony-stimulating factor], Idarubicin); PTS: Post-transplant Survival;  BTFS: Blastic Transformation-Free Survival. </w:t>
      </w:r>
    </w:p>
    <w:p w:rsidR="00000000" w:rsidDel="00000000" w:rsidP="00000000" w:rsidRDefault="00000000" w:rsidRPr="00000000" w14:paraId="000000A4">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Studies included: </w:t>
      </w:r>
    </w:p>
    <w:p w:rsidR="00000000" w:rsidDel="00000000" w:rsidP="00000000" w:rsidRDefault="00000000" w:rsidRPr="00000000" w14:paraId="000000A6">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Patel JP, Gönen M, Figueroa ME, et al. Prognostic relevance of integrated genetic profiling in acute myeloid leukemia. </w:t>
      </w:r>
      <w:r w:rsidDel="00000000" w:rsidR="00000000" w:rsidRPr="00000000">
        <w:rPr>
          <w:rFonts w:ascii="Times New Roman" w:cs="Times New Roman" w:eastAsia="Times New Roman" w:hAnsi="Times New Roman"/>
          <w:i w:val="1"/>
          <w:sz w:val="20"/>
          <w:szCs w:val="20"/>
          <w:highlight w:val="white"/>
          <w:rtl w:val="0"/>
        </w:rPr>
        <w:t xml:space="preserve">N Engl J Med</w:t>
      </w:r>
      <w:r w:rsidDel="00000000" w:rsidR="00000000" w:rsidRPr="00000000">
        <w:rPr>
          <w:rFonts w:ascii="Times New Roman" w:cs="Times New Roman" w:eastAsia="Times New Roman" w:hAnsi="Times New Roman"/>
          <w:sz w:val="20"/>
          <w:szCs w:val="20"/>
          <w:highlight w:val="white"/>
          <w:rtl w:val="0"/>
        </w:rPr>
        <w:t xml:space="preserve">. 2012;366(12):1079-1089. doi:10.1056/NEJMoa1112304.</w:t>
      </w:r>
    </w:p>
    <w:p w:rsidR="00000000" w:rsidDel="00000000" w:rsidP="00000000" w:rsidRDefault="00000000" w:rsidRPr="00000000" w14:paraId="000000A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rtl w:val="0"/>
        </w:rPr>
        <w:t xml:space="preserve">Thota S, Lakin P, Husseinzadeh H, et al. Somatic Mutational Screen For Improved Prediction Of The Outcomes Of Epigenetic Therapy In MDS. </w:t>
      </w:r>
      <w:r w:rsidDel="00000000" w:rsidR="00000000" w:rsidRPr="00000000">
        <w:rPr>
          <w:rFonts w:ascii="Times New Roman" w:cs="Times New Roman" w:eastAsia="Times New Roman" w:hAnsi="Times New Roman"/>
          <w:i w:val="1"/>
          <w:sz w:val="20"/>
          <w:szCs w:val="20"/>
          <w:rtl w:val="0"/>
        </w:rPr>
        <w:t xml:space="preserve">Blood</w:t>
      </w:r>
      <w:r w:rsidDel="00000000" w:rsidR="00000000" w:rsidRPr="00000000">
        <w:rPr>
          <w:rFonts w:ascii="Times New Roman" w:cs="Times New Roman" w:eastAsia="Times New Roman" w:hAnsi="Times New Roman"/>
          <w:sz w:val="20"/>
          <w:szCs w:val="20"/>
          <w:rtl w:val="0"/>
        </w:rPr>
        <w:t xml:space="preserve">. 2013;122(21):659. doi:</w:t>
      </w:r>
      <w:hyperlink r:id="rId7">
        <w:r w:rsidDel="00000000" w:rsidR="00000000" w:rsidRPr="00000000">
          <w:rPr>
            <w:rFonts w:ascii="Times New Roman" w:cs="Times New Roman" w:eastAsia="Times New Roman" w:hAnsi="Times New Roman"/>
            <w:sz w:val="20"/>
            <w:szCs w:val="20"/>
            <w:u w:val="single"/>
            <w:rtl w:val="0"/>
          </w:rPr>
          <w:t xml:space="preserve">10.1182/blood.V122.21.659.659</w:t>
        </w:r>
      </w:hyperlink>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Heuser M, Koenecke C, Gabdoulline R, et al. Molecular Predictors of Outcome in Patients with MDS and AML Following MDS after Allogeneic Hematopoietic Stem Cell Transplantation. </w:t>
      </w:r>
      <w:r w:rsidDel="00000000" w:rsidR="00000000" w:rsidRPr="00000000">
        <w:rPr>
          <w:rFonts w:ascii="Times New Roman" w:cs="Times New Roman" w:eastAsia="Times New Roman" w:hAnsi="Times New Roman"/>
          <w:i w:val="1"/>
          <w:sz w:val="20"/>
          <w:szCs w:val="20"/>
          <w:highlight w:val="white"/>
          <w:rtl w:val="0"/>
        </w:rPr>
        <w:t xml:space="preserve">Blood</w:t>
      </w:r>
      <w:r w:rsidDel="00000000" w:rsidR="00000000" w:rsidRPr="00000000">
        <w:rPr>
          <w:rFonts w:ascii="Times New Roman" w:cs="Times New Roman" w:eastAsia="Times New Roman" w:hAnsi="Times New Roman"/>
          <w:sz w:val="20"/>
          <w:szCs w:val="20"/>
          <w:highlight w:val="white"/>
          <w:rtl w:val="0"/>
        </w:rPr>
        <w:t xml:space="preserve">. 2015;126(23):912. doi:</w:t>
      </w:r>
      <w:hyperlink r:id="rId8">
        <w:r w:rsidDel="00000000" w:rsidR="00000000" w:rsidRPr="00000000">
          <w:rPr>
            <w:rFonts w:ascii="Times New Roman" w:cs="Times New Roman" w:eastAsia="Times New Roman" w:hAnsi="Times New Roman"/>
            <w:sz w:val="20"/>
            <w:szCs w:val="20"/>
            <w:highlight w:val="white"/>
            <w:u w:val="single"/>
            <w:rtl w:val="0"/>
          </w:rPr>
          <w:t xml:space="preserve">10.1182/blood.V126.23.912.912</w:t>
        </w:r>
      </w:hyperlink>
      <w:r w:rsidDel="00000000" w:rsidR="00000000" w:rsidRPr="00000000">
        <w:rPr>
          <w:rFonts w:ascii="Times New Roman" w:cs="Times New Roman" w:eastAsia="Times New Roman" w:hAnsi="Times New Roman"/>
          <w:sz w:val="20"/>
          <w:szCs w:val="20"/>
          <w:highlight w:val="white"/>
          <w:u w:val="single"/>
          <w:rtl w:val="0"/>
        </w:rPr>
        <w:t xml:space="preserve">.</w:t>
      </w:r>
    </w:p>
    <w:p w:rsidR="00000000" w:rsidDel="00000000" w:rsidP="00000000" w:rsidRDefault="00000000" w:rsidRPr="00000000" w14:paraId="000000AB">
      <w:pPr>
        <w:jc w:val="both"/>
        <w:rPr>
          <w:rFonts w:ascii="Times New Roman" w:cs="Times New Roman" w:eastAsia="Times New Roman" w:hAnsi="Times New Roman"/>
          <w:sz w:val="20"/>
          <w:szCs w:val="20"/>
          <w:highlight w:val="white"/>
          <w:u w:val="single"/>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Mori T, Nagata Y, Makishima H, et al. Somatic PHF6 mutations in 1760 cases with various myeloid neoplasms. </w:t>
      </w:r>
      <w:r w:rsidDel="00000000" w:rsidR="00000000" w:rsidRPr="00000000">
        <w:rPr>
          <w:rFonts w:ascii="Times New Roman" w:cs="Times New Roman" w:eastAsia="Times New Roman" w:hAnsi="Times New Roman"/>
          <w:i w:val="1"/>
          <w:sz w:val="20"/>
          <w:szCs w:val="20"/>
          <w:highlight w:val="white"/>
          <w:rtl w:val="0"/>
        </w:rPr>
        <w:t xml:space="preserve">Leukemia</w:t>
      </w:r>
      <w:r w:rsidDel="00000000" w:rsidR="00000000" w:rsidRPr="00000000">
        <w:rPr>
          <w:rFonts w:ascii="Times New Roman" w:cs="Times New Roman" w:eastAsia="Times New Roman" w:hAnsi="Times New Roman"/>
          <w:sz w:val="20"/>
          <w:szCs w:val="20"/>
          <w:highlight w:val="white"/>
          <w:rtl w:val="0"/>
        </w:rPr>
        <w:t xml:space="preserve">. 2016;30(11):2270-2273. doi:10.1038/leu.2016.212. </w:t>
      </w: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0"/>
          <w:szCs w:val="20"/>
          <w:highlight w:val="white"/>
          <w:u w:val="single"/>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Gaidzik VI, Teleanu V, Papaemmanuil E, et al. RUNX1 mutations in acute myeloid leukemia are associated with distinct clinico-pathologic and genetic features [published correction appears in Leukemia. 2016 Nov;30(11):2282. doi: 10.1038/leu.2016.207.]. </w:t>
      </w:r>
      <w:r w:rsidDel="00000000" w:rsidR="00000000" w:rsidRPr="00000000">
        <w:rPr>
          <w:rFonts w:ascii="Times New Roman" w:cs="Times New Roman" w:eastAsia="Times New Roman" w:hAnsi="Times New Roman"/>
          <w:i w:val="1"/>
          <w:sz w:val="20"/>
          <w:szCs w:val="20"/>
          <w:rtl w:val="0"/>
        </w:rPr>
        <w:t xml:space="preserve">Leukemia</w:t>
      </w:r>
      <w:r w:rsidDel="00000000" w:rsidR="00000000" w:rsidRPr="00000000">
        <w:rPr>
          <w:rFonts w:ascii="Times New Roman" w:cs="Times New Roman" w:eastAsia="Times New Roman" w:hAnsi="Times New Roman"/>
          <w:sz w:val="20"/>
          <w:szCs w:val="20"/>
          <w:highlight w:val="white"/>
          <w:rtl w:val="0"/>
        </w:rPr>
        <w:t xml:space="preserve">. 2016;30(11):2160-2168. doi:10.1038/leu.2016.126</w:t>
      </w:r>
    </w:p>
    <w:p w:rsidR="00000000" w:rsidDel="00000000" w:rsidP="00000000" w:rsidRDefault="00000000" w:rsidRPr="00000000" w14:paraId="000000AF">
      <w:pPr>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Sloan CE, Luskin MR, Boccuti AM, et al. A Modified Integrated Genetic Model for Risk Prediction in Younger Patients with Acute Myeloid Leukemia. </w:t>
      </w:r>
      <w:r w:rsidDel="00000000" w:rsidR="00000000" w:rsidRPr="00000000">
        <w:rPr>
          <w:rFonts w:ascii="Times New Roman" w:cs="Times New Roman" w:eastAsia="Times New Roman" w:hAnsi="Times New Roman"/>
          <w:i w:val="1"/>
          <w:sz w:val="20"/>
          <w:szCs w:val="20"/>
          <w:highlight w:val="white"/>
          <w:rtl w:val="0"/>
        </w:rPr>
        <w:t xml:space="preserve">PLoS One</w:t>
      </w:r>
      <w:r w:rsidDel="00000000" w:rsidR="00000000" w:rsidRPr="00000000">
        <w:rPr>
          <w:rFonts w:ascii="Times New Roman" w:cs="Times New Roman" w:eastAsia="Times New Roman" w:hAnsi="Times New Roman"/>
          <w:sz w:val="20"/>
          <w:szCs w:val="20"/>
          <w:highlight w:val="white"/>
          <w:rtl w:val="0"/>
        </w:rPr>
        <w:t xml:space="preserve">. 2016;11(4):e0153016. Published 2016 Apr 6. doi:10.1371/journal.pone.0153016.</w:t>
      </w:r>
    </w:p>
    <w:p w:rsidR="00000000" w:rsidDel="00000000" w:rsidP="00000000" w:rsidRDefault="00000000" w:rsidRPr="00000000" w14:paraId="000000B1">
      <w:pPr>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B2">
      <w:pPr>
        <w:ind w:right="8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Lee S, Barnard J, DeZern AE, et al. Is Serial Monitoring of Myeloid Mutations Clinically Relevant in Myelodysplastic Syndromes (MDS): A Report on Behalf of the MDS Clinical Research Consortium (CRC). </w:t>
      </w:r>
      <w:r w:rsidDel="00000000" w:rsidR="00000000" w:rsidRPr="00000000">
        <w:rPr>
          <w:rFonts w:ascii="Times New Roman" w:cs="Times New Roman" w:eastAsia="Times New Roman" w:hAnsi="Times New Roman"/>
          <w:i w:val="1"/>
          <w:sz w:val="20"/>
          <w:szCs w:val="20"/>
          <w:highlight w:val="white"/>
          <w:rtl w:val="0"/>
        </w:rPr>
        <w:t xml:space="preserve">Blood</w:t>
      </w:r>
      <w:r w:rsidDel="00000000" w:rsidR="00000000" w:rsidRPr="00000000">
        <w:rPr>
          <w:rFonts w:ascii="Times New Roman" w:cs="Times New Roman" w:eastAsia="Times New Roman" w:hAnsi="Times New Roman"/>
          <w:sz w:val="20"/>
          <w:szCs w:val="20"/>
          <w:highlight w:val="white"/>
          <w:rtl w:val="0"/>
        </w:rPr>
        <w:t xml:space="preserve">. 2016;128(22):297. doi:</w:t>
      </w:r>
      <w:hyperlink r:id="rId9">
        <w:r w:rsidDel="00000000" w:rsidR="00000000" w:rsidRPr="00000000">
          <w:rPr>
            <w:rFonts w:ascii="Times New Roman" w:cs="Times New Roman" w:eastAsia="Times New Roman" w:hAnsi="Times New Roman"/>
            <w:sz w:val="20"/>
            <w:szCs w:val="20"/>
            <w:highlight w:val="white"/>
            <w:u w:val="single"/>
            <w:rtl w:val="0"/>
          </w:rPr>
          <w:t xml:space="preserve">10.1182/blood.V128.22.297.297</w:t>
        </w:r>
      </w:hyperlink>
      <w:r w:rsidDel="00000000" w:rsidR="00000000" w:rsidRPr="00000000">
        <w:rPr>
          <w:rFonts w:ascii="Times New Roman" w:cs="Times New Roman" w:eastAsia="Times New Roman" w:hAnsi="Times New Roman"/>
          <w:sz w:val="20"/>
          <w:szCs w:val="20"/>
          <w:highlight w:val="white"/>
          <w:rtl w:val="0"/>
        </w:rPr>
        <w:t xml:space="preserve">.</w:t>
      </w:r>
    </w:p>
    <w:p w:rsidR="00000000" w:rsidDel="00000000" w:rsidP="00000000" w:rsidRDefault="00000000" w:rsidRPr="00000000" w14:paraId="000000B3">
      <w:pPr>
        <w:ind w:right="8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B4">
      <w:pPr>
        <w:ind w:right="80"/>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rtl w:val="0"/>
        </w:rPr>
        <w:t xml:space="preserve">Yoshizato T, Shiozawa Y, Yoshida K, et al. Impact of Somatic Mutations on Outcome in Patients with MDS after Stem-Cell Transplantation. </w:t>
      </w:r>
      <w:r w:rsidDel="00000000" w:rsidR="00000000" w:rsidRPr="00000000">
        <w:rPr>
          <w:rFonts w:ascii="Times New Roman" w:cs="Times New Roman" w:eastAsia="Times New Roman" w:hAnsi="Times New Roman"/>
          <w:i w:val="1"/>
          <w:sz w:val="20"/>
          <w:szCs w:val="20"/>
          <w:rtl w:val="0"/>
        </w:rPr>
        <w:t xml:space="preserve">Blood</w:t>
      </w:r>
      <w:r w:rsidDel="00000000" w:rsidR="00000000" w:rsidRPr="00000000">
        <w:rPr>
          <w:rFonts w:ascii="Times New Roman" w:cs="Times New Roman" w:eastAsia="Times New Roman" w:hAnsi="Times New Roman"/>
          <w:sz w:val="20"/>
          <w:szCs w:val="20"/>
          <w:rtl w:val="0"/>
        </w:rPr>
        <w:t xml:space="preserve">. 2015;126(23):711. doi:</w:t>
      </w:r>
      <w:hyperlink r:id="rId10">
        <w:r w:rsidDel="00000000" w:rsidR="00000000" w:rsidRPr="00000000">
          <w:rPr>
            <w:rFonts w:ascii="Times New Roman" w:cs="Times New Roman" w:eastAsia="Times New Roman" w:hAnsi="Times New Roman"/>
            <w:sz w:val="20"/>
            <w:szCs w:val="20"/>
            <w:u w:val="single"/>
            <w:rtl w:val="0"/>
          </w:rPr>
          <w:t xml:space="preserve">10.1182/blood.V126.23.711.711</w:t>
        </w:r>
      </w:hyperlink>
      <w:r w:rsidDel="00000000" w:rsidR="00000000" w:rsidRPr="00000000">
        <w:rPr>
          <w:rtl w:val="0"/>
        </w:rPr>
      </w:r>
    </w:p>
    <w:p w:rsidR="00000000" w:rsidDel="00000000" w:rsidP="00000000" w:rsidRDefault="00000000" w:rsidRPr="00000000" w14:paraId="000000B5">
      <w:pPr>
        <w:ind w:right="80"/>
        <w:jc w:val="both"/>
        <w:rPr>
          <w:rFonts w:ascii="Times New Roman" w:cs="Times New Roman" w:eastAsia="Times New Roman" w:hAnsi="Times New Roman"/>
          <w:sz w:val="20"/>
          <w:szCs w:val="20"/>
          <w:highlight w:val="white"/>
          <w:u w:val="single"/>
        </w:rPr>
      </w:pPr>
      <w:r w:rsidDel="00000000" w:rsidR="00000000" w:rsidRPr="00000000">
        <w:rPr>
          <w:rtl w:val="0"/>
        </w:rPr>
      </w:r>
    </w:p>
    <w:p w:rsidR="00000000" w:rsidDel="00000000" w:rsidP="00000000" w:rsidRDefault="00000000" w:rsidRPr="00000000" w14:paraId="000000B6">
      <w:pPr>
        <w:ind w:right="8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Lin PH, Li HY, Fan SC, et al. A targeted next-generation sequencing in the molecular risk stratification of adult acute myeloid leukemia: implications for clinical practice. </w:t>
      </w:r>
      <w:r w:rsidDel="00000000" w:rsidR="00000000" w:rsidRPr="00000000">
        <w:rPr>
          <w:rFonts w:ascii="Times New Roman" w:cs="Times New Roman" w:eastAsia="Times New Roman" w:hAnsi="Times New Roman"/>
          <w:i w:val="1"/>
          <w:sz w:val="20"/>
          <w:szCs w:val="20"/>
          <w:highlight w:val="white"/>
          <w:rtl w:val="0"/>
        </w:rPr>
        <w:t xml:space="preserve">Cancer Med</w:t>
      </w:r>
      <w:r w:rsidDel="00000000" w:rsidR="00000000" w:rsidRPr="00000000">
        <w:rPr>
          <w:rFonts w:ascii="Times New Roman" w:cs="Times New Roman" w:eastAsia="Times New Roman" w:hAnsi="Times New Roman"/>
          <w:sz w:val="20"/>
          <w:szCs w:val="20"/>
          <w:highlight w:val="white"/>
          <w:rtl w:val="0"/>
        </w:rPr>
        <w:t xml:space="preserve">. 2017;6(2):349-360. doi:10.1002/cam4.969. </w:t>
      </w:r>
    </w:p>
    <w:p w:rsidR="00000000" w:rsidDel="00000000" w:rsidP="00000000" w:rsidRDefault="00000000" w:rsidRPr="00000000" w14:paraId="000000B7">
      <w:pPr>
        <w:ind w:right="8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B8">
      <w:pPr>
        <w:ind w:right="80"/>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Madanat YF, Sekeres MA, Al-Issa K, et al. Distinct Genomic Associations to Predict Acute Myeloid Leukemia (AML) Progression from Myelodysplastic Syndromes (MDS). </w:t>
      </w:r>
      <w:r w:rsidDel="00000000" w:rsidR="00000000" w:rsidRPr="00000000">
        <w:rPr>
          <w:rFonts w:ascii="Times New Roman" w:cs="Times New Roman" w:eastAsia="Times New Roman" w:hAnsi="Times New Roman"/>
          <w:i w:val="1"/>
          <w:sz w:val="20"/>
          <w:szCs w:val="20"/>
          <w:highlight w:val="white"/>
          <w:rtl w:val="0"/>
        </w:rPr>
        <w:t xml:space="preserve">Blood</w:t>
      </w:r>
      <w:r w:rsidDel="00000000" w:rsidR="00000000" w:rsidRPr="00000000">
        <w:rPr>
          <w:rFonts w:ascii="Times New Roman" w:cs="Times New Roman" w:eastAsia="Times New Roman" w:hAnsi="Times New Roman"/>
          <w:sz w:val="20"/>
          <w:szCs w:val="20"/>
          <w:highlight w:val="white"/>
          <w:rtl w:val="0"/>
        </w:rPr>
        <w:t xml:space="preserve">. 2017;130(Supplement 1):4245. doi:</w:t>
      </w:r>
      <w:hyperlink r:id="rId11">
        <w:r w:rsidDel="00000000" w:rsidR="00000000" w:rsidRPr="00000000">
          <w:rPr>
            <w:rFonts w:ascii="Times New Roman" w:cs="Times New Roman" w:eastAsia="Times New Roman" w:hAnsi="Times New Roman"/>
            <w:sz w:val="20"/>
            <w:szCs w:val="20"/>
            <w:highlight w:val="white"/>
            <w:u w:val="single"/>
            <w:rtl w:val="0"/>
          </w:rPr>
          <w:t xml:space="preserve">10.1182/blood.V130.Suppl_1.4245.4245</w:t>
        </w:r>
      </w:hyperlink>
      <w:r w:rsidDel="00000000" w:rsidR="00000000" w:rsidRPr="00000000">
        <w:rPr>
          <w:rFonts w:ascii="Times New Roman" w:cs="Times New Roman" w:eastAsia="Times New Roman" w:hAnsi="Times New Roman"/>
          <w:sz w:val="20"/>
          <w:szCs w:val="20"/>
          <w:highlight w:val="white"/>
          <w:u w:val="single"/>
          <w:rtl w:val="0"/>
        </w:rPr>
        <w:t xml:space="preserve">.</w:t>
      </w:r>
    </w:p>
    <w:p w:rsidR="00000000" w:rsidDel="00000000" w:rsidP="00000000" w:rsidRDefault="00000000" w:rsidRPr="00000000" w14:paraId="000000B9">
      <w:pPr>
        <w:ind w:right="80"/>
        <w:jc w:val="both"/>
        <w:rPr>
          <w:rFonts w:ascii="Times New Roman" w:cs="Times New Roman" w:eastAsia="Times New Roman" w:hAnsi="Times New Roman"/>
          <w:sz w:val="20"/>
          <w:szCs w:val="20"/>
          <w:highlight w:val="white"/>
          <w:u w:val="single"/>
        </w:rPr>
      </w:pPr>
      <w:r w:rsidDel="00000000" w:rsidR="00000000" w:rsidRPr="00000000">
        <w:rPr>
          <w:rtl w:val="0"/>
        </w:rPr>
      </w:r>
    </w:p>
    <w:p w:rsidR="00000000" w:rsidDel="00000000" w:rsidP="00000000" w:rsidRDefault="00000000" w:rsidRPr="00000000" w14:paraId="000000BA">
      <w:pPr>
        <w:ind w:right="80"/>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Xiao W, Pastore F, Getta B, et al. PHF6 Mutations Defines a Subgroup of Mixed Phenotype of Acute Leukemia with Aberrant T-Cell Differentiation. </w:t>
      </w:r>
      <w:r w:rsidDel="00000000" w:rsidR="00000000" w:rsidRPr="00000000">
        <w:rPr>
          <w:rFonts w:ascii="Times New Roman" w:cs="Times New Roman" w:eastAsia="Times New Roman" w:hAnsi="Times New Roman"/>
          <w:i w:val="1"/>
          <w:sz w:val="20"/>
          <w:szCs w:val="20"/>
          <w:highlight w:val="white"/>
          <w:rtl w:val="0"/>
        </w:rPr>
        <w:t xml:space="preserve">Blood</w:t>
      </w:r>
      <w:r w:rsidDel="00000000" w:rsidR="00000000" w:rsidRPr="00000000">
        <w:rPr>
          <w:rFonts w:ascii="Times New Roman" w:cs="Times New Roman" w:eastAsia="Times New Roman" w:hAnsi="Times New Roman"/>
          <w:sz w:val="20"/>
          <w:szCs w:val="20"/>
          <w:highlight w:val="white"/>
          <w:rtl w:val="0"/>
        </w:rPr>
        <w:t xml:space="preserve">. 2017;130(Supplement 1):1384. doi:</w:t>
      </w:r>
      <w:hyperlink r:id="rId12">
        <w:r w:rsidDel="00000000" w:rsidR="00000000" w:rsidRPr="00000000">
          <w:rPr>
            <w:rFonts w:ascii="Times New Roman" w:cs="Times New Roman" w:eastAsia="Times New Roman" w:hAnsi="Times New Roman"/>
            <w:sz w:val="20"/>
            <w:szCs w:val="20"/>
            <w:highlight w:val="white"/>
            <w:u w:val="single"/>
            <w:rtl w:val="0"/>
          </w:rPr>
          <w:t xml:space="preserve">10.1182/blood.V130.Suppl_1.1384.1384</w:t>
        </w:r>
      </w:hyperlink>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Shaver AC, Juskevicius R, Daber RD, Strickland SA, Ferrell PB, Byrne M, et al. Mutational signature correlates with proliferative phenotype in NCCN poor-risk acute myeloid leukemia. Hematopathology. </w:t>
      </w:r>
      <w:r w:rsidDel="00000000" w:rsidR="00000000" w:rsidRPr="00000000">
        <w:rPr>
          <w:rFonts w:ascii="Times New Roman" w:cs="Times New Roman" w:eastAsia="Times New Roman" w:hAnsi="Times New Roman"/>
          <w:i w:val="1"/>
          <w:sz w:val="20"/>
          <w:szCs w:val="20"/>
          <w:highlight w:val="white"/>
          <w:rtl w:val="0"/>
        </w:rPr>
        <w:t xml:space="preserve">Lab Invest</w:t>
      </w:r>
      <w:r w:rsidDel="00000000" w:rsidR="00000000" w:rsidRPr="00000000">
        <w:rPr>
          <w:rFonts w:ascii="Times New Roman" w:cs="Times New Roman" w:eastAsia="Times New Roman" w:hAnsi="Times New Roman"/>
          <w:sz w:val="20"/>
          <w:szCs w:val="20"/>
          <w:highlight w:val="white"/>
          <w:rtl w:val="0"/>
        </w:rPr>
        <w:t xml:space="preserve"> 97 (Suppl 1), 335–388 (2017). https://doi.org/10.1038/labinvest.2016.172</w:t>
      </w:r>
      <w:r w:rsidDel="00000000" w:rsidR="00000000" w:rsidRPr="00000000">
        <w:rPr>
          <w:rtl w:val="0"/>
        </w:rPr>
      </w:r>
    </w:p>
    <w:p w:rsidR="00000000" w:rsidDel="00000000" w:rsidP="00000000" w:rsidRDefault="00000000" w:rsidRPr="00000000" w14:paraId="000000BD">
      <w:pPr>
        <w:ind w:right="80"/>
        <w:jc w:val="both"/>
        <w:rPr>
          <w:rFonts w:ascii="Times New Roman" w:cs="Times New Roman" w:eastAsia="Times New Roman" w:hAnsi="Times New Roman"/>
          <w:sz w:val="20"/>
          <w:szCs w:val="20"/>
          <w:highlight w:val="white"/>
          <w:u w:val="single"/>
        </w:rPr>
      </w:pPr>
      <w:r w:rsidDel="00000000" w:rsidR="00000000" w:rsidRPr="00000000">
        <w:rPr>
          <w:rtl w:val="0"/>
        </w:rPr>
      </w:r>
    </w:p>
    <w:p w:rsidR="00000000" w:rsidDel="00000000" w:rsidP="00000000" w:rsidRDefault="00000000" w:rsidRPr="00000000" w14:paraId="000000BE">
      <w:pPr>
        <w:ind w:right="8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Lin Y, Wang Y, Zheng Y, Wang Z, Wang Y, Wang S. Clinical characteristics and prognostic study of adult acute myeloid leukemia patients with </w:t>
      </w:r>
      <w:r w:rsidDel="00000000" w:rsidR="00000000" w:rsidRPr="00000000">
        <w:rPr>
          <w:rFonts w:ascii="Times New Roman" w:cs="Times New Roman" w:eastAsia="Times New Roman" w:hAnsi="Times New Roman"/>
          <w:i w:val="1"/>
          <w:sz w:val="20"/>
          <w:szCs w:val="20"/>
          <w:highlight w:val="white"/>
          <w:rtl w:val="0"/>
        </w:rPr>
        <w:t xml:space="preserve">ASXL1</w:t>
      </w:r>
      <w:r w:rsidDel="00000000" w:rsidR="00000000" w:rsidRPr="00000000">
        <w:rPr>
          <w:rFonts w:ascii="Times New Roman" w:cs="Times New Roman" w:eastAsia="Times New Roman" w:hAnsi="Times New Roman"/>
          <w:sz w:val="20"/>
          <w:szCs w:val="20"/>
          <w:highlight w:val="white"/>
          <w:rtl w:val="0"/>
        </w:rPr>
        <w:t xml:space="preserve">mutations. </w:t>
      </w:r>
      <w:r w:rsidDel="00000000" w:rsidR="00000000" w:rsidRPr="00000000">
        <w:rPr>
          <w:rFonts w:ascii="Times New Roman" w:cs="Times New Roman" w:eastAsia="Times New Roman" w:hAnsi="Times New Roman"/>
          <w:i w:val="1"/>
          <w:sz w:val="20"/>
          <w:szCs w:val="20"/>
          <w:highlight w:val="white"/>
          <w:rtl w:val="0"/>
        </w:rPr>
        <w:t xml:space="preserve">Hematology</w:t>
      </w:r>
      <w:r w:rsidDel="00000000" w:rsidR="00000000" w:rsidRPr="00000000">
        <w:rPr>
          <w:rFonts w:ascii="Times New Roman" w:cs="Times New Roman" w:eastAsia="Times New Roman" w:hAnsi="Times New Roman"/>
          <w:sz w:val="20"/>
          <w:szCs w:val="20"/>
          <w:highlight w:val="white"/>
          <w:rtl w:val="0"/>
        </w:rPr>
        <w:t xml:space="preserve">. 2020;25(1):446-456. doi:10.1080/16078454.2020.1847801. </w:t>
      </w:r>
    </w:p>
    <w:p w:rsidR="00000000" w:rsidDel="00000000" w:rsidP="00000000" w:rsidRDefault="00000000" w:rsidRPr="00000000" w14:paraId="000000BF">
      <w:pPr>
        <w:ind w:right="8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C0">
      <w:pPr>
        <w:ind w:right="80"/>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Lachowiez C, Konopleva M, Kadia TM, et al. Interim Analysis of the Phase 1b/2 Study of the BCL-2 Inhibitor Venetoclax in Combination with Standard Intensive AML Induction/Consolidation Therapy with FLAG-IDA in Patients with Newly Diagnosed or Relapsed/Refractory AML. </w:t>
      </w:r>
      <w:r w:rsidDel="00000000" w:rsidR="00000000" w:rsidRPr="00000000">
        <w:rPr>
          <w:rFonts w:ascii="Times New Roman" w:cs="Times New Roman" w:eastAsia="Times New Roman" w:hAnsi="Times New Roman"/>
          <w:i w:val="1"/>
          <w:sz w:val="20"/>
          <w:szCs w:val="20"/>
          <w:highlight w:val="white"/>
          <w:rtl w:val="0"/>
        </w:rPr>
        <w:t xml:space="preserve">Blood</w:t>
      </w:r>
      <w:r w:rsidDel="00000000" w:rsidR="00000000" w:rsidRPr="00000000">
        <w:rPr>
          <w:rFonts w:ascii="Times New Roman" w:cs="Times New Roman" w:eastAsia="Times New Roman" w:hAnsi="Times New Roman"/>
          <w:sz w:val="20"/>
          <w:szCs w:val="20"/>
          <w:highlight w:val="white"/>
          <w:rtl w:val="0"/>
        </w:rPr>
        <w:t xml:space="preserve">. 2020;136(Supplement 1):18-20. doi:</w:t>
      </w:r>
      <w:hyperlink r:id="rId13">
        <w:r w:rsidDel="00000000" w:rsidR="00000000" w:rsidRPr="00000000">
          <w:rPr>
            <w:rFonts w:ascii="Times New Roman" w:cs="Times New Roman" w:eastAsia="Times New Roman" w:hAnsi="Times New Roman"/>
            <w:sz w:val="20"/>
            <w:szCs w:val="20"/>
            <w:highlight w:val="white"/>
            <w:u w:val="single"/>
            <w:rtl w:val="0"/>
          </w:rPr>
          <w:t xml:space="preserve">10.1182/blood-2020-134300</w:t>
        </w:r>
      </w:hyperlink>
      <w:r w:rsidDel="00000000" w:rsidR="00000000" w:rsidRPr="00000000">
        <w:rPr>
          <w:rFonts w:ascii="Times New Roman" w:cs="Times New Roman" w:eastAsia="Times New Roman" w:hAnsi="Times New Roman"/>
          <w:sz w:val="20"/>
          <w:szCs w:val="20"/>
          <w:highlight w:val="white"/>
          <w:u w:val="single"/>
          <w:rtl w:val="0"/>
        </w:rPr>
        <w:t xml:space="preserve">.</w:t>
      </w:r>
    </w:p>
    <w:p w:rsidR="00000000" w:rsidDel="00000000" w:rsidP="00000000" w:rsidRDefault="00000000" w:rsidRPr="00000000" w14:paraId="000000C1">
      <w:pPr>
        <w:ind w:right="8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C2">
      <w:pPr>
        <w:ind w:right="80"/>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Jain AG, Ball S, Aguirre LE, et al. The Natural History of Lower Risk MDS: Factors Predicting Progression to High-Risk Myelodysplastic Syndrome and Acute Myeloid Leukemia in Patients with Very Low and Low Risk MDS According to the R-IPSS Criteria. </w:t>
      </w:r>
      <w:r w:rsidDel="00000000" w:rsidR="00000000" w:rsidRPr="00000000">
        <w:rPr>
          <w:rFonts w:ascii="Times New Roman" w:cs="Times New Roman" w:eastAsia="Times New Roman" w:hAnsi="Times New Roman"/>
          <w:i w:val="1"/>
          <w:sz w:val="20"/>
          <w:szCs w:val="20"/>
          <w:highlight w:val="white"/>
          <w:rtl w:val="0"/>
        </w:rPr>
        <w:t xml:space="preserve">Blood</w:t>
      </w:r>
      <w:r w:rsidDel="00000000" w:rsidR="00000000" w:rsidRPr="00000000">
        <w:rPr>
          <w:rFonts w:ascii="Times New Roman" w:cs="Times New Roman" w:eastAsia="Times New Roman" w:hAnsi="Times New Roman"/>
          <w:sz w:val="20"/>
          <w:szCs w:val="20"/>
          <w:highlight w:val="white"/>
          <w:rtl w:val="0"/>
        </w:rPr>
        <w:t xml:space="preserve">. 2021;138(Supplement 1):2600. doi:</w:t>
      </w:r>
      <w:hyperlink r:id="rId14">
        <w:r w:rsidDel="00000000" w:rsidR="00000000" w:rsidRPr="00000000">
          <w:rPr>
            <w:rFonts w:ascii="Times New Roman" w:cs="Times New Roman" w:eastAsia="Times New Roman" w:hAnsi="Times New Roman"/>
            <w:sz w:val="20"/>
            <w:szCs w:val="20"/>
            <w:highlight w:val="white"/>
            <w:u w:val="single"/>
            <w:rtl w:val="0"/>
          </w:rPr>
          <w:t xml:space="preserve">10.1182/blood-2021-149708</w:t>
        </w:r>
      </w:hyperlink>
      <w:r w:rsidDel="00000000" w:rsidR="00000000" w:rsidRPr="00000000">
        <w:rPr>
          <w:rFonts w:ascii="Times New Roman" w:cs="Times New Roman" w:eastAsia="Times New Roman" w:hAnsi="Times New Roman"/>
          <w:sz w:val="20"/>
          <w:szCs w:val="20"/>
          <w:highlight w:val="white"/>
          <w:u w:val="single"/>
          <w:rtl w:val="0"/>
        </w:rPr>
        <w:t xml:space="preserve">.</w:t>
      </w:r>
    </w:p>
    <w:p w:rsidR="00000000" w:rsidDel="00000000" w:rsidP="00000000" w:rsidRDefault="00000000" w:rsidRPr="00000000" w14:paraId="000000C3">
      <w:pPr>
        <w:ind w:right="80"/>
        <w:jc w:val="both"/>
        <w:rPr>
          <w:rFonts w:ascii="Times New Roman" w:cs="Times New Roman" w:eastAsia="Times New Roman" w:hAnsi="Times New Roman"/>
          <w:sz w:val="20"/>
          <w:szCs w:val="20"/>
          <w:highlight w:val="white"/>
          <w:u w:val="single"/>
        </w:rPr>
      </w:pPr>
      <w:r w:rsidDel="00000000" w:rsidR="00000000" w:rsidRPr="00000000">
        <w:rPr>
          <w:rtl w:val="0"/>
        </w:rPr>
      </w:r>
    </w:p>
    <w:p w:rsidR="00000000" w:rsidDel="00000000" w:rsidP="00000000" w:rsidRDefault="00000000" w:rsidRPr="00000000" w14:paraId="000000C4">
      <w:pPr>
        <w:spacing w:line="240" w:lineRule="auto"/>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Huang K, Wang L, Zheng Y, et al. PHF6 mutation is associated with poor outcome in acute myeloid leukaemia. </w:t>
      </w:r>
      <w:r w:rsidDel="00000000" w:rsidR="00000000" w:rsidRPr="00000000">
        <w:rPr>
          <w:rFonts w:ascii="Times New Roman" w:cs="Times New Roman" w:eastAsia="Times New Roman" w:hAnsi="Times New Roman"/>
          <w:i w:val="1"/>
          <w:sz w:val="20"/>
          <w:szCs w:val="20"/>
          <w:highlight w:val="white"/>
          <w:rtl w:val="0"/>
        </w:rPr>
        <w:t xml:space="preserve">Cancer Med</w:t>
      </w:r>
      <w:r w:rsidDel="00000000" w:rsidR="00000000" w:rsidRPr="00000000">
        <w:rPr>
          <w:rFonts w:ascii="Times New Roman" w:cs="Times New Roman" w:eastAsia="Times New Roman" w:hAnsi="Times New Roman"/>
          <w:sz w:val="20"/>
          <w:szCs w:val="20"/>
          <w:highlight w:val="white"/>
          <w:rtl w:val="0"/>
        </w:rPr>
        <w:t xml:space="preserve">. 2023;12(3):2795-2804. doi:10.1002/cam4.5173. </w:t>
      </w:r>
      <w:r w:rsidDel="00000000" w:rsidR="00000000" w:rsidRPr="00000000">
        <w:rPr>
          <w:rtl w:val="0"/>
        </w:rPr>
      </w:r>
    </w:p>
    <w:p w:rsidR="00000000" w:rsidDel="00000000" w:rsidP="00000000" w:rsidRDefault="00000000" w:rsidRPr="00000000" w14:paraId="000000C5">
      <w:pPr>
        <w:ind w:right="8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C6">
      <w:pPr>
        <w:ind w:right="80"/>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Zhang X, Li Z, Qin YZ, et al. Cancer-Related Gene Mutations Drive Resistance to the Third-Generation Tyrosine Kinase Inhibitor Therapy in Chronic Myeloid Leukaemia. </w:t>
      </w:r>
      <w:r w:rsidDel="00000000" w:rsidR="00000000" w:rsidRPr="00000000">
        <w:rPr>
          <w:rFonts w:ascii="Times New Roman" w:cs="Times New Roman" w:eastAsia="Times New Roman" w:hAnsi="Times New Roman"/>
          <w:i w:val="1"/>
          <w:sz w:val="20"/>
          <w:szCs w:val="20"/>
          <w:highlight w:val="white"/>
          <w:rtl w:val="0"/>
        </w:rPr>
        <w:t xml:space="preserve">Blood</w:t>
      </w:r>
      <w:r w:rsidDel="00000000" w:rsidR="00000000" w:rsidRPr="00000000">
        <w:rPr>
          <w:rFonts w:ascii="Times New Roman" w:cs="Times New Roman" w:eastAsia="Times New Roman" w:hAnsi="Times New Roman"/>
          <w:sz w:val="20"/>
          <w:szCs w:val="20"/>
          <w:highlight w:val="white"/>
          <w:rtl w:val="0"/>
        </w:rPr>
        <w:t xml:space="preserve">. 2022;140(Supplement 1):9611-9613. doi:</w:t>
      </w:r>
      <w:hyperlink r:id="rId15">
        <w:r w:rsidDel="00000000" w:rsidR="00000000" w:rsidRPr="00000000">
          <w:rPr>
            <w:rFonts w:ascii="Times New Roman" w:cs="Times New Roman" w:eastAsia="Times New Roman" w:hAnsi="Times New Roman"/>
            <w:sz w:val="20"/>
            <w:szCs w:val="20"/>
            <w:highlight w:val="white"/>
            <w:u w:val="single"/>
            <w:rtl w:val="0"/>
          </w:rPr>
          <w:t xml:space="preserve">10.1182/blood-2022-169397</w:t>
        </w:r>
      </w:hyperlink>
      <w:r w:rsidDel="00000000" w:rsidR="00000000" w:rsidRPr="00000000">
        <w:rPr>
          <w:rtl w:val="0"/>
        </w:rPr>
      </w:r>
    </w:p>
    <w:p w:rsidR="00000000" w:rsidDel="00000000" w:rsidP="00000000" w:rsidRDefault="00000000" w:rsidRPr="00000000" w14:paraId="000000C7">
      <w:pPr>
        <w:ind w:right="80"/>
        <w:jc w:val="both"/>
        <w:rPr>
          <w:rFonts w:ascii="Times New Roman" w:cs="Times New Roman" w:eastAsia="Times New Roman" w:hAnsi="Times New Roman"/>
          <w:sz w:val="20"/>
          <w:szCs w:val="20"/>
          <w:highlight w:val="white"/>
          <w:u w:val="single"/>
        </w:rPr>
      </w:pPr>
      <w:r w:rsidDel="00000000" w:rsidR="00000000" w:rsidRPr="00000000">
        <w:rPr>
          <w:rtl w:val="0"/>
        </w:rPr>
      </w:r>
    </w:p>
    <w:p w:rsidR="00000000" w:rsidDel="00000000" w:rsidP="00000000" w:rsidRDefault="00000000" w:rsidRPr="00000000" w14:paraId="000000C8">
      <w:pPr>
        <w:ind w:right="80"/>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Mahsoub S, Hasserjian R, Chen W, Gagan J, Madanat Y,  Weinberg O. USCAP 2022 Abstracts: Hematopathology (851-976). </w:t>
      </w:r>
      <w:r w:rsidDel="00000000" w:rsidR="00000000" w:rsidRPr="00000000">
        <w:rPr>
          <w:rFonts w:ascii="Times New Roman" w:cs="Times New Roman" w:eastAsia="Times New Roman" w:hAnsi="Times New Roman"/>
          <w:i w:val="1"/>
          <w:sz w:val="20"/>
          <w:szCs w:val="20"/>
          <w:highlight w:val="white"/>
          <w:rtl w:val="0"/>
        </w:rPr>
        <w:t xml:space="preserve">Modern Pathology</w:t>
      </w:r>
      <w:r w:rsidDel="00000000" w:rsidR="00000000" w:rsidRPr="00000000">
        <w:rPr>
          <w:rFonts w:ascii="Times New Roman" w:cs="Times New Roman" w:eastAsia="Times New Roman" w:hAnsi="Times New Roman"/>
          <w:sz w:val="20"/>
          <w:szCs w:val="20"/>
          <w:highlight w:val="white"/>
          <w:rtl w:val="0"/>
        </w:rPr>
        <w:t xml:space="preserve">. 2022;35:1016-1162. doi:</w:t>
      </w:r>
      <w:hyperlink r:id="rId16">
        <w:r w:rsidDel="00000000" w:rsidR="00000000" w:rsidRPr="00000000">
          <w:rPr>
            <w:rFonts w:ascii="Times New Roman" w:cs="Times New Roman" w:eastAsia="Times New Roman" w:hAnsi="Times New Roman"/>
            <w:sz w:val="20"/>
            <w:szCs w:val="20"/>
            <w:highlight w:val="white"/>
            <w:u w:val="single"/>
            <w:rtl w:val="0"/>
          </w:rPr>
          <w:t xml:space="preserve">10.1038/s41379-022-01041-7</w:t>
        </w:r>
      </w:hyperlink>
      <w:r w:rsidDel="00000000" w:rsidR="00000000" w:rsidRPr="00000000">
        <w:rPr>
          <w:rFonts w:ascii="Times New Roman" w:cs="Times New Roman" w:eastAsia="Times New Roman" w:hAnsi="Times New Roman"/>
          <w:sz w:val="20"/>
          <w:szCs w:val="20"/>
          <w:highlight w:val="white"/>
          <w:u w:val="single"/>
          <w:rtl w:val="0"/>
        </w:rPr>
        <w:t xml:space="preserve">.</w:t>
      </w:r>
    </w:p>
    <w:p w:rsidR="00000000" w:rsidDel="00000000" w:rsidP="00000000" w:rsidRDefault="00000000" w:rsidRPr="00000000" w14:paraId="000000C9">
      <w:pPr>
        <w:ind w:right="80"/>
        <w:jc w:val="both"/>
        <w:rPr>
          <w:rFonts w:ascii="Times New Roman" w:cs="Times New Roman" w:eastAsia="Times New Roman" w:hAnsi="Times New Roman"/>
          <w:sz w:val="20"/>
          <w:szCs w:val="20"/>
          <w:highlight w:val="white"/>
          <w:u w:val="single"/>
        </w:rPr>
      </w:pPr>
      <w:r w:rsidDel="00000000" w:rsidR="00000000" w:rsidRPr="00000000">
        <w:rPr>
          <w:rtl w:val="0"/>
        </w:rPr>
      </w:r>
    </w:p>
    <w:p w:rsidR="00000000" w:rsidDel="00000000" w:rsidP="00000000" w:rsidRDefault="00000000" w:rsidRPr="00000000" w14:paraId="000000CA">
      <w:pPr>
        <w:ind w:right="80"/>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Zhou Y. USCAP 2022 Abstracts: Hematopathology (851-976). </w:t>
      </w:r>
      <w:r w:rsidDel="00000000" w:rsidR="00000000" w:rsidRPr="00000000">
        <w:rPr>
          <w:rFonts w:ascii="Times New Roman" w:cs="Times New Roman" w:eastAsia="Times New Roman" w:hAnsi="Times New Roman"/>
          <w:i w:val="1"/>
          <w:sz w:val="20"/>
          <w:szCs w:val="20"/>
          <w:highlight w:val="white"/>
          <w:rtl w:val="0"/>
        </w:rPr>
        <w:t xml:space="preserve">Modern Pathology</w:t>
      </w:r>
      <w:r w:rsidDel="00000000" w:rsidR="00000000" w:rsidRPr="00000000">
        <w:rPr>
          <w:rFonts w:ascii="Times New Roman" w:cs="Times New Roman" w:eastAsia="Times New Roman" w:hAnsi="Times New Roman"/>
          <w:sz w:val="20"/>
          <w:szCs w:val="20"/>
          <w:highlight w:val="white"/>
          <w:rtl w:val="0"/>
        </w:rPr>
        <w:t xml:space="preserve">. 2022;35:1016-1162. doi:</w:t>
      </w:r>
      <w:hyperlink r:id="rId17">
        <w:r w:rsidDel="00000000" w:rsidR="00000000" w:rsidRPr="00000000">
          <w:rPr>
            <w:rFonts w:ascii="Times New Roman" w:cs="Times New Roman" w:eastAsia="Times New Roman" w:hAnsi="Times New Roman"/>
            <w:sz w:val="20"/>
            <w:szCs w:val="20"/>
            <w:highlight w:val="white"/>
            <w:u w:val="single"/>
            <w:rtl w:val="0"/>
          </w:rPr>
          <w:t xml:space="preserve">10.1038/s41379-022-01041-7</w:t>
        </w:r>
      </w:hyperlink>
      <w:r w:rsidDel="00000000" w:rsidR="00000000" w:rsidRPr="00000000">
        <w:rPr>
          <w:rFonts w:ascii="Times New Roman" w:cs="Times New Roman" w:eastAsia="Times New Roman" w:hAnsi="Times New Roman"/>
          <w:sz w:val="20"/>
          <w:szCs w:val="20"/>
          <w:highlight w:val="white"/>
          <w:u w:val="single"/>
          <w:rtl w:val="0"/>
        </w:rPr>
        <w:t xml:space="preserve">.</w:t>
      </w:r>
    </w:p>
    <w:p w:rsidR="00000000" w:rsidDel="00000000" w:rsidP="00000000" w:rsidRDefault="00000000" w:rsidRPr="00000000" w14:paraId="000000CB">
      <w:pPr>
        <w:ind w:right="80"/>
        <w:jc w:val="both"/>
        <w:rPr>
          <w:rFonts w:ascii="Times New Roman" w:cs="Times New Roman" w:eastAsia="Times New Roman" w:hAnsi="Times New Roman"/>
          <w:sz w:val="20"/>
          <w:szCs w:val="20"/>
          <w:highlight w:val="white"/>
          <w:u w:val="single"/>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Bernard E, Tuechler H, Greenberg PL, et al. Molecular International Prognostic Scoring System for Myelodysplastic Syndromes. </w:t>
      </w:r>
      <w:r w:rsidDel="00000000" w:rsidR="00000000" w:rsidRPr="00000000">
        <w:rPr>
          <w:rFonts w:ascii="Times New Roman" w:cs="Times New Roman" w:eastAsia="Times New Roman" w:hAnsi="Times New Roman"/>
          <w:i w:val="1"/>
          <w:sz w:val="20"/>
          <w:szCs w:val="20"/>
          <w:highlight w:val="white"/>
          <w:rtl w:val="0"/>
        </w:rPr>
        <w:t xml:space="preserve">NEJM Evid</w:t>
      </w:r>
      <w:r w:rsidDel="00000000" w:rsidR="00000000" w:rsidRPr="00000000">
        <w:rPr>
          <w:rFonts w:ascii="Times New Roman" w:cs="Times New Roman" w:eastAsia="Times New Roman" w:hAnsi="Times New Roman"/>
          <w:sz w:val="20"/>
          <w:szCs w:val="20"/>
          <w:highlight w:val="white"/>
          <w:rtl w:val="0"/>
        </w:rPr>
        <w:t xml:space="preserve">. 2022;1(7):EVIDoa2200008. doi:10.1056/EVIDoa2200008. </w:t>
      </w:r>
    </w:p>
    <w:p w:rsidR="00000000" w:rsidDel="00000000" w:rsidP="00000000" w:rsidRDefault="00000000" w:rsidRPr="00000000" w14:paraId="000000CD">
      <w:pPr>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CE">
      <w:pPr>
        <w:ind w:right="8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Zhao D, Eladl E, Zarif M, et al. Molecular characterization of AML-MRC reveals TP53 mutation as an adverse prognostic factor irrespective of MRC-defining criteria, TP53 allelic state, or TP53 variant allele frequency. </w:t>
      </w:r>
      <w:r w:rsidDel="00000000" w:rsidR="00000000" w:rsidRPr="00000000">
        <w:rPr>
          <w:rFonts w:ascii="Times New Roman" w:cs="Times New Roman" w:eastAsia="Times New Roman" w:hAnsi="Times New Roman"/>
          <w:i w:val="1"/>
          <w:sz w:val="20"/>
          <w:szCs w:val="20"/>
          <w:highlight w:val="white"/>
          <w:rtl w:val="0"/>
        </w:rPr>
        <w:t xml:space="preserve">Cancer Med</w:t>
      </w:r>
      <w:r w:rsidDel="00000000" w:rsidR="00000000" w:rsidRPr="00000000">
        <w:rPr>
          <w:rFonts w:ascii="Times New Roman" w:cs="Times New Roman" w:eastAsia="Times New Roman" w:hAnsi="Times New Roman"/>
          <w:sz w:val="20"/>
          <w:szCs w:val="20"/>
          <w:highlight w:val="white"/>
          <w:rtl w:val="0"/>
        </w:rPr>
        <w:t xml:space="preserve">. 2023;12(6):6511-6522. doi:10.1002/cam4.5421.</w:t>
      </w:r>
    </w:p>
    <w:p w:rsidR="00000000" w:rsidDel="00000000" w:rsidP="00000000" w:rsidRDefault="00000000" w:rsidRPr="00000000" w14:paraId="000000CF">
      <w:pPr>
        <w:ind w:right="8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Bataller A, Chien KS, Sasaki K, et al. PHF6 mutations in myelodysplastic syndromes, chronic myelomonocytic leukemia and acute myeloid leukemia. </w:t>
      </w:r>
      <w:r w:rsidDel="00000000" w:rsidR="00000000" w:rsidRPr="00000000">
        <w:rPr>
          <w:rFonts w:ascii="Times New Roman" w:cs="Times New Roman" w:eastAsia="Times New Roman" w:hAnsi="Times New Roman"/>
          <w:i w:val="1"/>
          <w:sz w:val="20"/>
          <w:szCs w:val="20"/>
          <w:highlight w:val="white"/>
          <w:rtl w:val="0"/>
        </w:rPr>
        <w:t xml:space="preserve">Leuk Res</w:t>
      </w:r>
      <w:r w:rsidDel="00000000" w:rsidR="00000000" w:rsidRPr="00000000">
        <w:rPr>
          <w:rFonts w:ascii="Times New Roman" w:cs="Times New Roman" w:eastAsia="Times New Roman" w:hAnsi="Times New Roman"/>
          <w:sz w:val="20"/>
          <w:szCs w:val="20"/>
          <w:highlight w:val="white"/>
          <w:rtl w:val="0"/>
        </w:rPr>
        <w:t xml:space="preserve">. 2023;127:107044. doi:10.1016/j.leukres.2023.107044.</w:t>
      </w:r>
    </w:p>
    <w:p w:rsidR="00000000" w:rsidDel="00000000" w:rsidP="00000000" w:rsidRDefault="00000000" w:rsidRPr="00000000" w14:paraId="000000D1">
      <w:pPr>
        <w:ind w:right="8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Tefferi A, Fathima S, Alsugair AKA, Aperna F, Natu A, Abdelmagid MG, et al. </w:t>
      </w:r>
      <w:r w:rsidDel="00000000" w:rsidR="00000000" w:rsidRPr="00000000">
        <w:rPr>
          <w:rFonts w:ascii="Times New Roman" w:cs="Times New Roman" w:eastAsia="Times New Roman" w:hAnsi="Times New Roman"/>
          <w:i w:val="1"/>
          <w:sz w:val="20"/>
          <w:szCs w:val="20"/>
          <w:rtl w:val="0"/>
        </w:rPr>
        <w:t xml:space="preserve">PHF6 </w:t>
      </w:r>
      <w:r w:rsidDel="00000000" w:rsidR="00000000" w:rsidRPr="00000000">
        <w:rPr>
          <w:rFonts w:ascii="Times New Roman" w:cs="Times New Roman" w:eastAsia="Times New Roman" w:hAnsi="Times New Roman"/>
          <w:sz w:val="20"/>
          <w:szCs w:val="20"/>
          <w:rtl w:val="0"/>
        </w:rPr>
        <w:t xml:space="preserve">mutations in chronic myelomonocytic leukemia identify a unique subset of patients with distinct phenotype and superior prognosis. Am J Hematol. 2024 Dec;99(12):2321-2327. doi: 10.1002/ajh.27492.</w:t>
      </w:r>
    </w:p>
    <w:p w:rsidR="00000000" w:rsidDel="00000000" w:rsidP="00000000" w:rsidRDefault="00000000" w:rsidRPr="00000000" w14:paraId="000000D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Erdos, Katie, et al. Validating the MPN Personalized Risk Calculator in 475 Patients with Polycythemia Vera. </w:t>
      </w:r>
      <w:r w:rsidDel="00000000" w:rsidR="00000000" w:rsidRPr="00000000">
        <w:rPr>
          <w:rFonts w:ascii="Times New Roman" w:cs="Times New Roman" w:eastAsia="Times New Roman" w:hAnsi="Times New Roman"/>
          <w:sz w:val="20"/>
          <w:szCs w:val="20"/>
          <w:rtl w:val="0"/>
        </w:rPr>
        <w:t xml:space="preserve">Blood</w:t>
      </w:r>
      <w:r w:rsidDel="00000000" w:rsidR="00000000" w:rsidRPr="00000000">
        <w:rPr>
          <w:rFonts w:ascii="Times New Roman" w:cs="Times New Roman" w:eastAsia="Times New Roman" w:hAnsi="Times New Roman"/>
          <w:sz w:val="20"/>
          <w:szCs w:val="20"/>
          <w:highlight w:val="white"/>
          <w:rtl w:val="0"/>
        </w:rPr>
        <w:t xml:space="preserve">, vol. 144, no. Supplement 1, 2024, pp. 4558–4558, </w:t>
      </w:r>
      <w:hyperlink r:id="rId18">
        <w:r w:rsidDel="00000000" w:rsidR="00000000" w:rsidRPr="00000000">
          <w:rPr>
            <w:rFonts w:ascii="Times New Roman" w:cs="Times New Roman" w:eastAsia="Times New Roman" w:hAnsi="Times New Roman"/>
            <w:sz w:val="20"/>
            <w:szCs w:val="20"/>
            <w:highlight w:val="white"/>
            <w:u w:val="single"/>
            <w:rtl w:val="0"/>
          </w:rPr>
          <w:t xml:space="preserve">https://doi.org/10.1182/blood-2024-210632</w:t>
        </w:r>
      </w:hyperlink>
      <w:r w:rsidDel="00000000" w:rsidR="00000000" w:rsidRPr="00000000">
        <w:rPr>
          <w:rFonts w:ascii="Times New Roman" w:cs="Times New Roman" w:eastAsia="Times New Roman" w:hAnsi="Times New Roman"/>
          <w:sz w:val="20"/>
          <w:szCs w:val="20"/>
          <w:highlight w:val="white"/>
          <w:rtl w:val="0"/>
        </w:rPr>
        <w:t xml:space="preserve">.</w:t>
      </w:r>
    </w:p>
    <w:p w:rsidR="00000000" w:rsidDel="00000000" w:rsidP="00000000" w:rsidRDefault="00000000" w:rsidRPr="00000000" w14:paraId="000000D5">
      <w:pPr>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D6">
      <w:pPr>
        <w:ind w:right="80"/>
        <w:jc w:val="both"/>
        <w:rPr>
          <w:rFonts w:ascii="Times New Roman" w:cs="Times New Roman" w:eastAsia="Times New Roman" w:hAnsi="Times New Roman"/>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Beas F, Novoa Jáuregui S, Gabarrós-Subirà M, et al. Evaluation of the Prognostic Impact of STAG2 in the Molecular International Prognostic Scoring System for Myelodysplastic Syndromes. </w:t>
      </w:r>
      <w:r w:rsidDel="00000000" w:rsidR="00000000" w:rsidRPr="00000000">
        <w:rPr>
          <w:rFonts w:ascii="Times New Roman" w:cs="Times New Roman" w:eastAsia="Times New Roman" w:hAnsi="Times New Roman"/>
          <w:i w:val="1"/>
          <w:sz w:val="20"/>
          <w:szCs w:val="20"/>
          <w:highlight w:val="white"/>
          <w:rtl w:val="0"/>
        </w:rPr>
        <w:t xml:space="preserve">Blood</w:t>
      </w:r>
      <w:r w:rsidDel="00000000" w:rsidR="00000000" w:rsidRPr="00000000">
        <w:rPr>
          <w:rFonts w:ascii="Times New Roman" w:cs="Times New Roman" w:eastAsia="Times New Roman" w:hAnsi="Times New Roman"/>
          <w:sz w:val="20"/>
          <w:szCs w:val="20"/>
          <w:highlight w:val="white"/>
          <w:rtl w:val="0"/>
        </w:rPr>
        <w:t xml:space="preserve">. 2024;144(Supplement 1):6742. doi:</w:t>
      </w:r>
      <w:hyperlink r:id="rId19">
        <w:r w:rsidDel="00000000" w:rsidR="00000000" w:rsidRPr="00000000">
          <w:rPr>
            <w:rFonts w:ascii="Times New Roman" w:cs="Times New Roman" w:eastAsia="Times New Roman" w:hAnsi="Times New Roman"/>
            <w:sz w:val="20"/>
            <w:szCs w:val="20"/>
            <w:highlight w:val="white"/>
            <w:u w:val="single"/>
            <w:rtl w:val="0"/>
          </w:rPr>
          <w:t xml:space="preserve">10.1182/blood-2024-206758</w:t>
        </w:r>
      </w:hyperlink>
      <w:r w:rsidDel="00000000" w:rsidR="00000000" w:rsidRPr="00000000">
        <w:rPr>
          <w:rtl w:val="0"/>
        </w:rPr>
      </w:r>
    </w:p>
    <w:p w:rsidR="00000000" w:rsidDel="00000000" w:rsidP="00000000" w:rsidRDefault="00000000" w:rsidRPr="00000000" w14:paraId="000000D7">
      <w:pPr>
        <w:ind w:right="80"/>
        <w:jc w:val="both"/>
        <w:rPr>
          <w:rFonts w:ascii="Times New Roman" w:cs="Times New Roman" w:eastAsia="Times New Roman" w:hAnsi="Times New Roman"/>
          <w:sz w:val="20"/>
          <w:szCs w:val="20"/>
          <w:highlight w:val="white"/>
          <w:u w:val="single"/>
        </w:rPr>
      </w:pPr>
      <w:r w:rsidDel="00000000" w:rsidR="00000000" w:rsidRPr="00000000">
        <w:rPr>
          <w:rtl w:val="0"/>
        </w:rPr>
      </w:r>
    </w:p>
    <w:p w:rsidR="00000000" w:rsidDel="00000000" w:rsidP="00000000" w:rsidRDefault="00000000" w:rsidRPr="00000000" w14:paraId="000000D8">
      <w:pPr>
        <w:ind w:right="8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Perusini MA, Andrews C, Atenafu EG, et al. Real-World Experience with CPX-351 for Secondary Acute Myeloid Leukemia: Comparison with FLAG-IDA in a Propensity Score Matching Analysis. </w:t>
      </w:r>
      <w:r w:rsidDel="00000000" w:rsidR="00000000" w:rsidRPr="00000000">
        <w:rPr>
          <w:rFonts w:ascii="Times New Roman" w:cs="Times New Roman" w:eastAsia="Times New Roman" w:hAnsi="Times New Roman"/>
          <w:i w:val="1"/>
          <w:sz w:val="20"/>
          <w:szCs w:val="20"/>
          <w:highlight w:val="white"/>
          <w:rtl w:val="0"/>
        </w:rPr>
        <w:t xml:space="preserve">Blood</w:t>
      </w:r>
      <w:r w:rsidDel="00000000" w:rsidR="00000000" w:rsidRPr="00000000">
        <w:rPr>
          <w:rFonts w:ascii="Times New Roman" w:cs="Times New Roman" w:eastAsia="Times New Roman" w:hAnsi="Times New Roman"/>
          <w:sz w:val="20"/>
          <w:szCs w:val="20"/>
          <w:highlight w:val="white"/>
          <w:rtl w:val="0"/>
        </w:rPr>
        <w:t xml:space="preserve">. 2024;144(Supplement 1):1506. doi:</w:t>
      </w:r>
      <w:hyperlink r:id="rId20">
        <w:r w:rsidDel="00000000" w:rsidR="00000000" w:rsidRPr="00000000">
          <w:rPr>
            <w:rFonts w:ascii="Times New Roman" w:cs="Times New Roman" w:eastAsia="Times New Roman" w:hAnsi="Times New Roman"/>
            <w:sz w:val="20"/>
            <w:szCs w:val="20"/>
            <w:highlight w:val="white"/>
            <w:rtl w:val="0"/>
          </w:rPr>
          <w:t xml:space="preserve">10.1182/blood-2024-204004</w:t>
        </w:r>
      </w:hyperlink>
      <w:r w:rsidDel="00000000" w:rsidR="00000000" w:rsidRPr="00000000">
        <w:rPr>
          <w:rFonts w:ascii="Times New Roman" w:cs="Times New Roman" w:eastAsia="Times New Roman" w:hAnsi="Times New Roman"/>
          <w:sz w:val="20"/>
          <w:szCs w:val="20"/>
          <w:highlight w:val="white"/>
          <w:rtl w:val="0"/>
        </w:rPr>
        <w:t xml:space="preserve">. </w:t>
      </w:r>
    </w:p>
    <w:p w:rsidR="00000000" w:rsidDel="00000000" w:rsidP="00000000" w:rsidRDefault="00000000" w:rsidRPr="00000000" w14:paraId="000000D9">
      <w:pPr>
        <w:ind w:right="80"/>
        <w:jc w:val="both"/>
        <w:rPr>
          <w:rFonts w:ascii="Times New Roman" w:cs="Times New Roman" w:eastAsia="Times New Roman" w:hAnsi="Times New Roman"/>
          <w:sz w:val="20"/>
          <w:szCs w:val="20"/>
          <w:highlight w:val="white"/>
          <w:u w:val="single"/>
        </w:rPr>
      </w:pP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Kubota Y, Gu X, Terkawi L, Bodo J, Przychodzen BP, Awada H, et al. Molecular and clinical analyses of </w:t>
      </w:r>
      <w:r w:rsidDel="00000000" w:rsidR="00000000" w:rsidRPr="00000000">
        <w:rPr>
          <w:rFonts w:ascii="Times New Roman" w:cs="Times New Roman" w:eastAsia="Times New Roman" w:hAnsi="Times New Roman"/>
          <w:i w:val="1"/>
          <w:sz w:val="20"/>
          <w:szCs w:val="20"/>
          <w:rtl w:val="0"/>
        </w:rPr>
        <w:t xml:space="preserve">PHF6</w:t>
      </w:r>
      <w:r w:rsidDel="00000000" w:rsidR="00000000" w:rsidRPr="00000000">
        <w:rPr>
          <w:rFonts w:ascii="Times New Roman" w:cs="Times New Roman" w:eastAsia="Times New Roman" w:hAnsi="Times New Roman"/>
          <w:sz w:val="20"/>
          <w:szCs w:val="20"/>
          <w:rtl w:val="0"/>
        </w:rPr>
        <w:t xml:space="preserve"> mutant myeloid neoplasia provide their pathogenesis and therapeutic targeting. Nat Commun. 2024 Feb 28;15(1):1832. doi: 10.1038/s41467-024-46134-w.</w:t>
      </w:r>
    </w:p>
    <w:p w:rsidR="00000000" w:rsidDel="00000000" w:rsidP="00000000" w:rsidRDefault="00000000" w:rsidRPr="00000000" w14:paraId="000000D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Fathima S, Alsugair A, He R, et al. Myeloid neoplasms with PHF6 mutations: context-dependent genomic and prognostic characterization in 176 informative cases. </w:t>
      </w:r>
      <w:r w:rsidDel="00000000" w:rsidR="00000000" w:rsidRPr="00000000">
        <w:rPr>
          <w:rFonts w:ascii="Times New Roman" w:cs="Times New Roman" w:eastAsia="Times New Roman" w:hAnsi="Times New Roman"/>
          <w:i w:val="1"/>
          <w:sz w:val="20"/>
          <w:szCs w:val="20"/>
          <w:highlight w:val="white"/>
          <w:rtl w:val="0"/>
        </w:rPr>
        <w:t xml:space="preserve">Blood Cancer J</w:t>
      </w:r>
      <w:r w:rsidDel="00000000" w:rsidR="00000000" w:rsidRPr="00000000">
        <w:rPr>
          <w:rFonts w:ascii="Times New Roman" w:cs="Times New Roman" w:eastAsia="Times New Roman" w:hAnsi="Times New Roman"/>
          <w:sz w:val="20"/>
          <w:szCs w:val="20"/>
          <w:highlight w:val="white"/>
          <w:rtl w:val="0"/>
        </w:rPr>
        <w:t xml:space="preserve">. 2025;15(1):28. Published 2025 Mar 1. doi:10.1038/s41408-025-01231-x.</w:t>
      </w:r>
    </w:p>
    <w:p w:rsidR="00000000" w:rsidDel="00000000" w:rsidP="00000000" w:rsidRDefault="00000000" w:rsidRPr="00000000" w14:paraId="000000DD">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w:t>
      </w:r>
    </w:p>
    <w:p w:rsidR="00000000" w:rsidDel="00000000" w:rsidP="00000000" w:rsidRDefault="00000000" w:rsidRPr="00000000" w14:paraId="000000DE">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A">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C">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E">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0">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2">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A">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C">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color w:val="1a1a1a"/>
          <w:sz w:val="24"/>
          <w:szCs w:val="24"/>
          <w:highlight w:val="white"/>
          <w:rtl w:val="0"/>
        </w:rPr>
        <w:t xml:space="preserve">  Table S2. Multivariate analysis 1: </w:t>
      </w:r>
      <w:r w:rsidDel="00000000" w:rsidR="00000000" w:rsidRPr="00000000">
        <w:rPr>
          <w:rFonts w:ascii="Times New Roman" w:cs="Times New Roman" w:eastAsia="Times New Roman" w:hAnsi="Times New Roman"/>
          <w:color w:val="1a1a1a"/>
          <w:sz w:val="24"/>
          <w:szCs w:val="24"/>
          <w:highlight w:val="white"/>
          <w:rtl w:val="0"/>
        </w:rPr>
        <w:t xml:space="preserve">Cox proportional hazards model for overall survival. </w:t>
      </w:r>
      <w:r w:rsidDel="00000000" w:rsidR="00000000" w:rsidRPr="00000000">
        <w:rPr>
          <w:rtl w:val="0"/>
        </w:rPr>
      </w:r>
    </w:p>
    <w:p w:rsidR="00000000" w:rsidDel="00000000" w:rsidP="00000000" w:rsidRDefault="00000000" w:rsidRPr="00000000" w14:paraId="000000FD">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0FE">
      <w:pPr>
        <w:spacing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tbl>
      <w:tblPr>
        <w:tblStyle w:val="Table2"/>
        <w:tblpPr w:leftFromText="180" w:rightFromText="180" w:topFromText="180" w:bottomFromText="180" w:vertAnchor="text" w:horzAnchor="text" w:tblpX="0" w:tblpY="0"/>
        <w:tblW w:w="8400.0" w:type="dxa"/>
        <w:jc w:val="left"/>
        <w:tblBorders>
          <w:top w:color="a8a8a8" w:space="0" w:sz="12" w:val="single"/>
          <w:left w:color="000000" w:space="0" w:sz="0" w:val="nil"/>
          <w:bottom w:color="a8a8a8" w:space="0" w:sz="12" w:val="single"/>
          <w:right w:color="000000" w:space="0" w:sz="0" w:val="nil"/>
          <w:insideH w:color="a8a8a8" w:space="0" w:sz="12" w:val="single"/>
          <w:insideV w:color="000000" w:space="0" w:sz="0" w:val="nil"/>
        </w:tblBorders>
        <w:tblLayout w:type="fixed"/>
        <w:tblLook w:val="0600"/>
      </w:tblPr>
      <w:tblGrid>
        <w:gridCol w:w="5460"/>
        <w:gridCol w:w="645"/>
        <w:gridCol w:w="1260"/>
        <w:gridCol w:w="1035"/>
        <w:tblGridChange w:id="0">
          <w:tblGrid>
            <w:gridCol w:w="5460"/>
            <w:gridCol w:w="645"/>
            <w:gridCol w:w="1260"/>
            <w:gridCol w:w="1035"/>
          </w:tblGrid>
        </w:tblGridChange>
      </w:tblGrid>
      <w:tr>
        <w:trPr>
          <w:cantSplit w:val="0"/>
          <w:trHeight w:val="480" w:hRule="atLeast"/>
          <w:tblHeader w:val="0"/>
        </w:trPr>
        <w:tc>
          <w:tcPr>
            <w:tcBorders>
              <w:top w:color="000000" w:space="0" w:sz="0" w:val="nil"/>
              <w:bottom w:color="d3d3d3" w:space="0" w:sz="6" w:val="single"/>
            </w:tcBorders>
            <w:tcMar>
              <w:top w:w="80.0" w:type="dxa"/>
              <w:left w:w="80.0" w:type="dxa"/>
              <w:right w:w="80.0" w:type="dxa"/>
            </w:tcMar>
            <w:vAlign w:val="bottom"/>
          </w:tcPr>
          <w:p w:rsidR="00000000" w:rsidDel="00000000" w:rsidP="00000000" w:rsidRDefault="00000000" w:rsidRPr="00000000" w14:paraId="000000FF">
            <w:pPr>
              <w:spacing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Variable</w:t>
            </w:r>
            <w:r w:rsidDel="00000000" w:rsidR="00000000" w:rsidRPr="00000000">
              <w:rPr>
                <w:rtl w:val="0"/>
              </w:rPr>
            </w:r>
          </w:p>
        </w:tc>
        <w:tc>
          <w:tcPr>
            <w:tcBorders>
              <w:top w:color="000000" w:space="0" w:sz="0" w:val="nil"/>
              <w:bottom w:color="d3d3d3" w:space="0" w:sz="6" w:val="single"/>
            </w:tcBorders>
            <w:tcMar>
              <w:top w:w="80.0" w:type="dxa"/>
              <w:left w:w="80.0" w:type="dxa"/>
              <w:right w:w="80.0" w:type="dxa"/>
            </w:tcMar>
            <w:vAlign w:val="bottom"/>
          </w:tcPr>
          <w:p w:rsidR="00000000" w:rsidDel="00000000" w:rsidP="00000000" w:rsidRDefault="00000000" w:rsidRPr="00000000" w14:paraId="00000100">
            <w:pPr>
              <w:spacing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HR</w:t>
            </w:r>
            <w:r w:rsidDel="00000000" w:rsidR="00000000" w:rsidRPr="00000000">
              <w:rPr>
                <w:rtl w:val="0"/>
              </w:rPr>
            </w:r>
          </w:p>
        </w:tc>
        <w:tc>
          <w:tcPr>
            <w:tcBorders>
              <w:top w:color="000000" w:space="0" w:sz="0" w:val="nil"/>
              <w:bottom w:color="d3d3d3" w:space="0" w:sz="6" w:val="single"/>
            </w:tcBorders>
            <w:tcMar>
              <w:top w:w="80.0" w:type="dxa"/>
              <w:left w:w="80.0" w:type="dxa"/>
              <w:right w:w="80.0" w:type="dxa"/>
            </w:tcMar>
            <w:vAlign w:val="bottom"/>
          </w:tcPr>
          <w:p w:rsidR="00000000" w:rsidDel="00000000" w:rsidP="00000000" w:rsidRDefault="00000000" w:rsidRPr="00000000" w14:paraId="00000101">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95% CI</w:t>
            </w:r>
            <w:r w:rsidDel="00000000" w:rsidR="00000000" w:rsidRPr="00000000">
              <w:rPr>
                <w:rtl w:val="0"/>
              </w:rPr>
            </w:r>
          </w:p>
        </w:tc>
        <w:tc>
          <w:tcPr>
            <w:tcBorders>
              <w:top w:color="000000" w:space="0" w:sz="0" w:val="nil"/>
              <w:bottom w:color="d3d3d3" w:space="0" w:sz="6" w:val="single"/>
            </w:tcBorders>
            <w:tcMar>
              <w:top w:w="80.0" w:type="dxa"/>
              <w:left w:w="80.0" w:type="dxa"/>
              <w:right w:w="80.0" w:type="dxa"/>
            </w:tcMar>
            <w:vAlign w:val="bottom"/>
          </w:tcPr>
          <w:p w:rsidR="00000000" w:rsidDel="00000000" w:rsidP="00000000" w:rsidRDefault="00000000" w:rsidRPr="00000000" w14:paraId="00000102">
            <w:pPr>
              <w:spacing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p-value</w:t>
            </w:r>
            <w:r w:rsidDel="00000000" w:rsidR="00000000" w:rsidRPr="00000000">
              <w:rPr>
                <w:rtl w:val="0"/>
              </w:rPr>
            </w:r>
          </w:p>
        </w:tc>
      </w:tr>
      <w:tr>
        <w:trPr>
          <w:cantSplit w:val="0"/>
          <w:trHeight w:val="555"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3">
            <w:pPr>
              <w:spacing w:line="240" w:lineRule="auto"/>
              <w:rPr>
                <w:rFonts w:ascii="Times New Roman" w:cs="Times New Roman" w:eastAsia="Times New Roman" w:hAnsi="Times New Roman"/>
                <w:i w:val="1"/>
                <w:sz w:val="24"/>
                <w:szCs w:val="24"/>
                <w:highlight w:val="white"/>
                <w:vertAlign w:val="superscript"/>
              </w:rPr>
            </w:pPr>
            <w:r w:rsidDel="00000000" w:rsidR="00000000" w:rsidRPr="00000000">
              <w:rPr>
                <w:rFonts w:ascii="Times New Roman" w:cs="Times New Roman" w:eastAsia="Times New Roman" w:hAnsi="Times New Roman"/>
                <w:i w:val="1"/>
                <w:sz w:val="24"/>
                <w:szCs w:val="24"/>
                <w:highlight w:val="white"/>
                <w:rtl w:val="0"/>
              </w:rPr>
              <w:t xml:space="preserve">PHF6</w:t>
            </w:r>
            <w:r w:rsidDel="00000000" w:rsidR="00000000" w:rsidRPr="00000000">
              <w:rPr>
                <w:rFonts w:ascii="Times New Roman" w:cs="Times New Roman" w:eastAsia="Times New Roman" w:hAnsi="Times New Roman"/>
                <w:i w:val="1"/>
                <w:sz w:val="24"/>
                <w:szCs w:val="24"/>
                <w:highlight w:val="white"/>
                <w:vertAlign w:val="superscript"/>
                <w:rtl w:val="0"/>
              </w:rPr>
              <w:t xml:space="preserve">MUT </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4">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5">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1.00 - 1.05</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6">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0.075</w:t>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7">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Age at diagnosis</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8">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0.98</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9">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0.93 - 1.02</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A">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0.3</w:t>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B">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Sex</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C">
            <w:pPr>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D">
            <w:pPr>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E">
            <w:pPr>
              <w:spacing w:lin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0F">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Male</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0">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1">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2">
            <w:pPr>
              <w:spacing w:lin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3">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Female</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4">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1.51</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5">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0.68 - 3.34</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6">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0.3</w:t>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7">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WHO-5 Category</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8">
            <w:pPr>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9">
            <w:pPr>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A">
            <w:pPr>
              <w:spacing w:lin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B">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AML</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C">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D">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E">
            <w:pPr>
              <w:spacing w:lin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1F">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MDS</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0">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0.41</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1">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0.15 - 1.14</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2">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0.088</w:t>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3">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MDS/MPN (CMML)</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4">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0.23</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5">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0.07 - 0.76</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6">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0.016</w:t>
            </w:r>
            <w:r w:rsidDel="00000000" w:rsidR="00000000" w:rsidRPr="00000000">
              <w:rPr>
                <w:rtl w:val="0"/>
              </w:rPr>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7">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MPN</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8">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0.03</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9">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0.00 - 0.22</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A">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&lt;0.001</w:t>
            </w:r>
            <w:r w:rsidDel="00000000" w:rsidR="00000000" w:rsidRPr="00000000">
              <w:rPr>
                <w:rtl w:val="0"/>
              </w:rPr>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B">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Blasts PB</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C">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0.99</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D">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0.97 - 1.01</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E">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0.5</w:t>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2F">
            <w:pPr>
              <w:spacing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Performance status</w:t>
            </w:r>
            <w:r w:rsidDel="00000000" w:rsidR="00000000" w:rsidRPr="00000000">
              <w:rPr>
                <w:rFonts w:ascii="Times New Roman" w:cs="Times New Roman" w:eastAsia="Times New Roman" w:hAnsi="Times New Roman"/>
                <w:i w:val="1"/>
                <w:sz w:val="24"/>
                <w:szCs w:val="24"/>
                <w:highlight w:val="white"/>
                <w:rtl w:val="0"/>
              </w:rPr>
              <w:t xml:space="preserve">* </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30">
            <w:pPr>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31">
            <w:pPr>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32">
            <w:pPr>
              <w:spacing w:lin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33">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ECOG 3</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34">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2.05</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35">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0.43 - 9.86</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36">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0.4</w:t>
            </w:r>
          </w:p>
        </w:tc>
      </w:tr>
      <w:tr>
        <w:trPr>
          <w:cantSplit w:val="0"/>
          <w:trHeight w:val="540" w:hRule="atLeast"/>
          <w:tblHeader w:val="0"/>
        </w:trPr>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37">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ECOG 2</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38">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2.46</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39">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0.74 - 8.25</w:t>
            </w:r>
          </w:p>
        </w:tc>
        <w:tc>
          <w:tcPr>
            <w:tcBorders>
              <w:top w:color="d3d3d3" w:space="0" w:sz="6" w:val="single"/>
              <w:bottom w:color="d3d3d3" w:space="0" w:sz="6" w:val="single"/>
            </w:tcBorders>
            <w:tcMar>
              <w:top w:w="120.0" w:type="dxa"/>
              <w:left w:w="80.0" w:type="dxa"/>
              <w:bottom w:w="120.0" w:type="dxa"/>
              <w:right w:w="80.0" w:type="dxa"/>
            </w:tcMar>
            <w:vAlign w:val="center"/>
          </w:tcPr>
          <w:p w:rsidR="00000000" w:rsidDel="00000000" w:rsidP="00000000" w:rsidRDefault="00000000" w:rsidRPr="00000000" w14:paraId="0000013A">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0.14</w:t>
            </w:r>
          </w:p>
        </w:tc>
      </w:tr>
      <w:tr>
        <w:trPr>
          <w:cantSplit w:val="0"/>
          <w:trHeight w:val="555" w:hRule="atLeast"/>
          <w:tblHeader w:val="0"/>
        </w:trPr>
        <w:tc>
          <w:tcPr>
            <w:tcBorders>
              <w:top w:color="d3d3d3" w:space="0" w:sz="6" w:val="single"/>
              <w:bottom w:color="000000" w:space="0" w:sz="0" w:val="nil"/>
            </w:tcBorders>
            <w:tcMar>
              <w:top w:w="120.0" w:type="dxa"/>
              <w:left w:w="80.0" w:type="dxa"/>
              <w:bottom w:w="120.0" w:type="dxa"/>
              <w:right w:w="80.0" w:type="dxa"/>
            </w:tcMar>
            <w:vAlign w:val="center"/>
          </w:tcPr>
          <w:p w:rsidR="00000000" w:rsidDel="00000000" w:rsidP="00000000" w:rsidRDefault="00000000" w:rsidRPr="00000000" w14:paraId="0000013B">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ECOG 1</w:t>
            </w:r>
          </w:p>
        </w:tc>
        <w:tc>
          <w:tcPr>
            <w:tcBorders>
              <w:top w:color="d3d3d3" w:space="0" w:sz="6" w:val="single"/>
              <w:bottom w:color="000000" w:space="0" w:sz="0" w:val="nil"/>
            </w:tcBorders>
            <w:tcMar>
              <w:top w:w="120.0" w:type="dxa"/>
              <w:left w:w="80.0" w:type="dxa"/>
              <w:bottom w:w="120.0" w:type="dxa"/>
              <w:right w:w="80.0" w:type="dxa"/>
            </w:tcMar>
            <w:vAlign w:val="center"/>
          </w:tcPr>
          <w:p w:rsidR="00000000" w:rsidDel="00000000" w:rsidP="00000000" w:rsidRDefault="00000000" w:rsidRPr="00000000" w14:paraId="0000013C">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1.04</w:t>
            </w:r>
          </w:p>
        </w:tc>
        <w:tc>
          <w:tcPr>
            <w:tcBorders>
              <w:top w:color="d3d3d3" w:space="0" w:sz="6" w:val="single"/>
              <w:bottom w:color="000000" w:space="0" w:sz="0" w:val="nil"/>
            </w:tcBorders>
            <w:tcMar>
              <w:top w:w="120.0" w:type="dxa"/>
              <w:left w:w="80.0" w:type="dxa"/>
              <w:bottom w:w="120.0" w:type="dxa"/>
              <w:right w:w="80.0" w:type="dxa"/>
            </w:tcMar>
            <w:vAlign w:val="center"/>
          </w:tcPr>
          <w:p w:rsidR="00000000" w:rsidDel="00000000" w:rsidP="00000000" w:rsidRDefault="00000000" w:rsidRPr="00000000" w14:paraId="0000013D">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0.43 - 2.47</w:t>
            </w:r>
          </w:p>
        </w:tc>
        <w:tc>
          <w:tcPr>
            <w:tcBorders>
              <w:top w:color="d3d3d3" w:space="0" w:sz="6" w:val="single"/>
              <w:bottom w:color="000000" w:space="0" w:sz="0" w:val="nil"/>
            </w:tcBorders>
            <w:tcMar>
              <w:top w:w="120.0" w:type="dxa"/>
              <w:left w:w="80.0" w:type="dxa"/>
              <w:bottom w:w="120.0" w:type="dxa"/>
              <w:right w:w="80.0" w:type="dxa"/>
            </w:tcMar>
            <w:vAlign w:val="center"/>
          </w:tcPr>
          <w:p w:rsidR="00000000" w:rsidDel="00000000" w:rsidP="00000000" w:rsidRDefault="00000000" w:rsidRPr="00000000" w14:paraId="0000013E">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&gt;0.9</w:t>
            </w:r>
          </w:p>
        </w:tc>
      </w:tr>
      <w:tr>
        <w:trPr>
          <w:cantSplit w:val="0"/>
          <w:trHeight w:val="405" w:hRule="atLeast"/>
          <w:tblHeader w:val="0"/>
        </w:trPr>
        <w:tc>
          <w:tcPr>
            <w:gridSpan w:val="4"/>
            <w:tcBorders>
              <w:top w:color="000000" w:space="0" w:sz="0" w:val="nil"/>
              <w:left w:color="000000" w:space="0" w:sz="0" w:val="nil"/>
              <w:bottom w:color="000000" w:space="0" w:sz="0" w:val="nil"/>
              <w:right w:color="000000" w:space="0" w:sz="0" w:val="nil"/>
            </w:tcBorders>
            <w:tcMar>
              <w:top w:w="60.0" w:type="dxa"/>
              <w:left w:w="80.0" w:type="dxa"/>
              <w:bottom w:w="60.0" w:type="dxa"/>
              <w:right w:w="80.0" w:type="dxa"/>
            </w:tcMar>
          </w:tcPr>
          <w:p w:rsidR="00000000" w:rsidDel="00000000" w:rsidP="00000000" w:rsidRDefault="00000000" w:rsidRPr="00000000" w14:paraId="0000013F">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CI: Confidence interval; HR: Hazard Ratio; WHO-5: Fifth Classification of the World Health Organization; </w:t>
            </w:r>
            <w:r w:rsidDel="00000000" w:rsidR="00000000" w:rsidRPr="00000000">
              <w:rPr>
                <w:rFonts w:ascii="Times New Roman" w:cs="Times New Roman" w:eastAsia="Times New Roman" w:hAnsi="Times New Roman"/>
                <w:sz w:val="20"/>
                <w:szCs w:val="20"/>
                <w:rtl w:val="0"/>
              </w:rPr>
              <w:t xml:space="preserve">AML: Acute Myeloid Leukemia; MDS: Myelodiplastic Syndrome; MPN: Chronic Myeloproliferative Neoplasm; MDS/MPN: overlap MDS and MPN; PB: Peripheral Blood; CMML: Chronic Myelomonocytic Leukemia: </w:t>
            </w:r>
            <w:r w:rsidDel="00000000" w:rsidR="00000000" w:rsidRPr="00000000">
              <w:rPr>
                <w:rFonts w:ascii="Times New Roman" w:cs="Times New Roman" w:eastAsia="Times New Roman" w:hAnsi="Times New Roman"/>
                <w:sz w:val="20"/>
                <w:szCs w:val="20"/>
                <w:highlight w:val="white"/>
                <w:rtl w:val="0"/>
              </w:rPr>
              <w:t xml:space="preserve">ECOG:  Eastern Cooperative Oncology Group.  </w:t>
            </w:r>
          </w:p>
          <w:p w:rsidR="00000000" w:rsidDel="00000000" w:rsidP="00000000" w:rsidRDefault="00000000" w:rsidRPr="00000000" w14:paraId="00000140">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ECOG = 0 is the comparison contrast.</w:t>
            </w:r>
          </w:p>
          <w:p w:rsidR="00000000" w:rsidDel="00000000" w:rsidP="00000000" w:rsidRDefault="00000000" w:rsidRPr="00000000" w14:paraId="00000141">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42">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43">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44">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45">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46">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47">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color w:val="1a1a1a"/>
                <w:sz w:val="24"/>
                <w:szCs w:val="24"/>
                <w:highlight w:val="white"/>
                <w:rtl w:val="0"/>
              </w:rPr>
              <w:t xml:space="preserve">Table S3. Multivariate analysis 2: </w:t>
            </w:r>
            <w:r w:rsidDel="00000000" w:rsidR="00000000" w:rsidRPr="00000000">
              <w:rPr>
                <w:rFonts w:ascii="Times New Roman" w:cs="Times New Roman" w:eastAsia="Times New Roman" w:hAnsi="Times New Roman"/>
                <w:color w:val="1a1a1a"/>
                <w:sz w:val="24"/>
                <w:szCs w:val="24"/>
                <w:highlight w:val="white"/>
                <w:rtl w:val="0"/>
              </w:rPr>
              <w:t xml:space="preserve">Cox proportional hazards model for overall survival. Including age, sex, hemoglobin, co-mutational profile, and cytogenetic profile.</w:t>
            </w:r>
            <w:r w:rsidDel="00000000" w:rsidR="00000000" w:rsidRPr="00000000">
              <w:rPr>
                <w:rtl w:val="0"/>
              </w:rPr>
            </w:r>
          </w:p>
          <w:p w:rsidR="00000000" w:rsidDel="00000000" w:rsidP="00000000" w:rsidRDefault="00000000" w:rsidRPr="00000000" w14:paraId="00000148">
            <w:pPr>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3"/>
              <w:tblW w:w="8220.0" w:type="dxa"/>
              <w:jc w:val="left"/>
              <w:tblBorders>
                <w:top w:color="a8a8a8" w:space="0" w:sz="12" w:val="single"/>
                <w:left w:color="000000" w:space="0" w:sz="0" w:val="nil"/>
                <w:bottom w:color="a8a8a8" w:space="0" w:sz="12" w:val="single"/>
                <w:right w:color="000000" w:space="0" w:sz="0" w:val="nil"/>
                <w:insideH w:color="a8a8a8" w:space="0" w:sz="12" w:val="single"/>
                <w:insideV w:color="000000" w:space="0" w:sz="0" w:val="nil"/>
              </w:tblBorders>
              <w:tblLayout w:type="fixed"/>
              <w:tblLook w:val="0600"/>
            </w:tblPr>
            <w:tblGrid>
              <w:gridCol w:w="5340"/>
              <w:gridCol w:w="690"/>
              <w:gridCol w:w="1290"/>
              <w:gridCol w:w="900"/>
              <w:tblGridChange w:id="0">
                <w:tblGrid>
                  <w:gridCol w:w="5340"/>
                  <w:gridCol w:w="690"/>
                  <w:gridCol w:w="1290"/>
                  <w:gridCol w:w="90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149">
                  <w:pPr>
                    <w:spacing w:line="240" w:lineRule="auto"/>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Variable</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14A">
                  <w:pPr>
                    <w:spacing w:line="240" w:lineRule="auto"/>
                    <w:jc w:val="center"/>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HR</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14B">
                  <w:pPr>
                    <w:spacing w:line="240" w:lineRule="auto"/>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95% CI</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14C">
                  <w:pPr>
                    <w:spacing w:line="240" w:lineRule="auto"/>
                    <w:jc w:val="center"/>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p-value</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4D">
                  <w:pPr>
                    <w:spacing w:line="240" w:lineRule="auto"/>
                    <w:rPr>
                      <w:rFonts w:ascii="Times New Roman" w:cs="Times New Roman" w:eastAsia="Times New Roman" w:hAnsi="Times New Roman"/>
                      <w:i w:val="1"/>
                      <w:color w:val="333333"/>
                      <w:sz w:val="24"/>
                      <w:szCs w:val="24"/>
                      <w:vertAlign w:val="superscript"/>
                    </w:rPr>
                  </w:pPr>
                  <w:r w:rsidDel="00000000" w:rsidR="00000000" w:rsidRPr="00000000">
                    <w:rPr>
                      <w:rFonts w:ascii="Times New Roman" w:cs="Times New Roman" w:eastAsia="Times New Roman" w:hAnsi="Times New Roman"/>
                      <w:i w:val="1"/>
                      <w:color w:val="333333"/>
                      <w:sz w:val="24"/>
                      <w:szCs w:val="24"/>
                      <w:rtl w:val="0"/>
                    </w:rPr>
                    <w:t xml:space="preserve">PHF6</w:t>
                  </w:r>
                  <w:r w:rsidDel="00000000" w:rsidR="00000000" w:rsidRPr="00000000">
                    <w:rPr>
                      <w:rFonts w:ascii="Times New Roman" w:cs="Times New Roman" w:eastAsia="Times New Roman" w:hAnsi="Times New Roman"/>
                      <w:i w:val="1"/>
                      <w:color w:val="333333"/>
                      <w:sz w:val="24"/>
                      <w:szCs w:val="24"/>
                      <w:vertAlign w:val="superscript"/>
                      <w:rtl w:val="0"/>
                    </w:rPr>
                    <w:t xml:space="preserve">MUT</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4E">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1.03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4F">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1.00 - 1.06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0">
                  <w:pPr>
                    <w:spacing w:line="240" w:lineRule="auto"/>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0.024</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1">
                  <w:pPr>
                    <w:spacing w:line="24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sz w:val="24"/>
                      <w:szCs w:val="24"/>
                      <w:highlight w:val="white"/>
                      <w:rtl w:val="0"/>
                    </w:rPr>
                    <w:t xml:space="preserve">Age at diagnosis</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2">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1.00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3">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0.96 - 1.04</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4">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0.8</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5">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Sex</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6">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7">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8">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9">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Male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A">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B">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C">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D">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Female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E">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2.10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5F">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0.95 - 4.63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0">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0.066</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1">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Hemoglobin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2">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0.96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3">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0.77 - 1.19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4">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0.7</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5">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Cytogenetic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6">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7">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8">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9">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Abnormal Karyotype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A">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B">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C">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D">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Complex Karyotype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E">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2.68</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6F">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0.67 - 10.7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0">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0.2</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1">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DNMT3A</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2">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1.25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3">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0.52 - 3.01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4">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0.6</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5">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NRAS</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6">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1.83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7">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0.68 - 4.91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8">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0.2</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9">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ASXL1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A">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0.41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B">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0.17 - 1.01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C">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0.052</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D">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U2AF1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E">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1.41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7F">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0.42 - 4.79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80">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0.6</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81">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TP53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82">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0.53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83">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0.18 - 1.55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84">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0.2</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85">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RUNX1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86">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1.86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87">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0.82 - 4.19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88">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0.14</w:t>
                  </w:r>
                </w:p>
              </w:tc>
            </w:tr>
          </w:tbl>
          <w:p w:rsidR="00000000" w:rsidDel="00000000" w:rsidP="00000000" w:rsidRDefault="00000000" w:rsidRPr="00000000" w14:paraId="00000189">
            <w:pPr>
              <w:spacing w:line="24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4"/>
              <w:tblW w:w="5280.0" w:type="dxa"/>
              <w:jc w:val="left"/>
              <w:tblInd w:w="20.000000000000142" w:type="dxa"/>
              <w:tblBorders>
                <w:top w:color="a8a8a8" w:space="0" w:sz="12" w:val="single"/>
                <w:left w:color="000000" w:space="0" w:sz="0" w:val="nil"/>
                <w:bottom w:color="a8a8a8" w:space="0" w:sz="12" w:val="single"/>
                <w:right w:color="000000" w:space="0" w:sz="0" w:val="nil"/>
                <w:insideH w:color="a8a8a8" w:space="0" w:sz="12" w:val="single"/>
                <w:insideV w:color="000000" w:space="0" w:sz="0" w:val="nil"/>
              </w:tblBorders>
              <w:tblLayout w:type="fixed"/>
              <w:tblLook w:val="0600"/>
            </w:tblPr>
            <w:tblGrid>
              <w:gridCol w:w="5440"/>
              <w:gridCol w:w="1"/>
              <w:gridCol w:w="1"/>
              <w:gridCol w:w="1"/>
              <w:tblGridChange w:id="0">
                <w:tblGrid>
                  <w:gridCol w:w="5440"/>
                  <w:gridCol w:w="1"/>
                  <w:gridCol w:w="1"/>
                  <w:gridCol w:w="1"/>
                </w:tblGrid>
              </w:tblGridChange>
            </w:tblGrid>
            <w:tr>
              <w:trPr>
                <w:cantSplit w:val="0"/>
                <w:trHeight w:val="60" w:hRule="atLeast"/>
                <w:tblHeader w:val="0"/>
              </w:trPr>
              <w:tc>
                <w:tcPr>
                  <w:gridSpan w:val="4"/>
                  <w:tcBorders>
                    <w:top w:color="000000" w:space="0" w:sz="0" w:val="nil"/>
                    <w:left w:color="000000" w:space="0" w:sz="0" w:val="nil"/>
                    <w:bottom w:color="000000" w:space="0" w:sz="0" w:val="nil"/>
                    <w:right w:color="000000" w:space="0" w:sz="0" w:val="nil"/>
                  </w:tcBorders>
                  <w:tcMar>
                    <w:top w:w="60.0" w:type="dxa"/>
                    <w:left w:w="80.0" w:type="dxa"/>
                    <w:bottom w:w="60.0" w:type="dxa"/>
                    <w:right w:w="80.0" w:type="dxa"/>
                  </w:tcMar>
                  <w:vAlign w:val="top"/>
                </w:tcPr>
                <w:p w:rsidR="00000000" w:rsidDel="00000000" w:rsidP="00000000" w:rsidRDefault="00000000" w:rsidRPr="00000000" w14:paraId="0000018A">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CI: Confidence interval; HR: Hazard Ratio.</w:t>
                  </w:r>
                </w:p>
                <w:p w:rsidR="00000000" w:rsidDel="00000000" w:rsidP="00000000" w:rsidRDefault="00000000" w:rsidRPr="00000000" w14:paraId="0000018B">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8C">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tc>
            </w:tr>
          </w:tbl>
          <w:p w:rsidR="00000000" w:rsidDel="00000000" w:rsidP="00000000" w:rsidRDefault="00000000" w:rsidRPr="00000000" w14:paraId="00000190">
            <w:pPr>
              <w:spacing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91">
            <w:pPr>
              <w:spacing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92">
            <w:pPr>
              <w:spacing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93">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194">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195">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196">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color w:val="1a1a1a"/>
                <w:sz w:val="24"/>
                <w:szCs w:val="24"/>
                <w:highlight w:val="white"/>
                <w:rtl w:val="0"/>
              </w:rPr>
              <w:t xml:space="preserve">Table S4. Multivariate analysis: </w:t>
            </w:r>
            <w:r w:rsidDel="00000000" w:rsidR="00000000" w:rsidRPr="00000000">
              <w:rPr>
                <w:rFonts w:ascii="Times New Roman" w:cs="Times New Roman" w:eastAsia="Times New Roman" w:hAnsi="Times New Roman"/>
                <w:color w:val="1a1a1a"/>
                <w:sz w:val="24"/>
                <w:szCs w:val="24"/>
                <w:highlight w:val="white"/>
                <w:rtl w:val="0"/>
              </w:rPr>
              <w:t xml:space="preserve">Cox proportional hazards model for time-to-next treatment.</w:t>
            </w:r>
            <w:r w:rsidDel="00000000" w:rsidR="00000000" w:rsidRPr="00000000">
              <w:rPr>
                <w:rtl w:val="0"/>
              </w:rPr>
            </w:r>
          </w:p>
          <w:p w:rsidR="00000000" w:rsidDel="00000000" w:rsidP="00000000" w:rsidRDefault="00000000" w:rsidRPr="00000000" w14:paraId="00000197">
            <w:pPr>
              <w:spacing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tbl>
            <w:tblPr>
              <w:tblStyle w:val="Table5"/>
              <w:tblW w:w="8385.0" w:type="dxa"/>
              <w:jc w:val="left"/>
              <w:tblBorders>
                <w:top w:color="a8a8a8" w:space="0" w:sz="12" w:val="single"/>
                <w:left w:color="000000" w:space="0" w:sz="0" w:val="nil"/>
                <w:bottom w:color="a8a8a8" w:space="0" w:sz="12" w:val="single"/>
                <w:right w:color="000000" w:space="0" w:sz="0" w:val="nil"/>
                <w:insideH w:color="a8a8a8" w:space="0" w:sz="12" w:val="single"/>
                <w:insideV w:color="000000" w:space="0" w:sz="0" w:val="nil"/>
              </w:tblBorders>
              <w:tblLayout w:type="fixed"/>
              <w:tblLook w:val="0600"/>
            </w:tblPr>
            <w:tblGrid>
              <w:gridCol w:w="5460"/>
              <w:gridCol w:w="645"/>
              <w:gridCol w:w="1245"/>
              <w:gridCol w:w="1035"/>
              <w:tblGridChange w:id="0">
                <w:tblGrid>
                  <w:gridCol w:w="5460"/>
                  <w:gridCol w:w="645"/>
                  <w:gridCol w:w="1245"/>
                  <w:gridCol w:w="103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198">
                  <w:pPr>
                    <w:spacing w:line="240" w:lineRule="auto"/>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Variable</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199">
                  <w:pPr>
                    <w:spacing w:line="240" w:lineRule="auto"/>
                    <w:jc w:val="center"/>
                    <w:rPr>
                      <w:rFonts w:ascii="Times New Roman" w:cs="Times New Roman" w:eastAsia="Times New Roman" w:hAnsi="Times New Roman"/>
                      <w:b w:val="1"/>
                      <w:i w:val="1"/>
                      <w:color w:val="333333"/>
                      <w:sz w:val="24"/>
                      <w:szCs w:val="24"/>
                      <w:highlight w:val="white"/>
                    </w:rPr>
                  </w:pPr>
                  <w:r w:rsidDel="00000000" w:rsidR="00000000" w:rsidRPr="00000000">
                    <w:rPr>
                      <w:rFonts w:ascii="Times New Roman" w:cs="Times New Roman" w:eastAsia="Times New Roman" w:hAnsi="Times New Roman"/>
                      <w:b w:val="1"/>
                      <w:i w:val="1"/>
                      <w:color w:val="333333"/>
                      <w:sz w:val="24"/>
                      <w:szCs w:val="24"/>
                      <w:highlight w:val="white"/>
                      <w:rtl w:val="0"/>
                    </w:rPr>
                    <w:t xml:space="preserve">HR</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19A">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95% CI</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19B">
                  <w:pPr>
                    <w:spacing w:line="240" w:lineRule="auto"/>
                    <w:jc w:val="center"/>
                    <w:rPr>
                      <w:rFonts w:ascii="Times New Roman" w:cs="Times New Roman" w:eastAsia="Times New Roman" w:hAnsi="Times New Roman"/>
                      <w:b w:val="1"/>
                      <w:i w:val="1"/>
                      <w:color w:val="333333"/>
                      <w:sz w:val="24"/>
                      <w:szCs w:val="24"/>
                      <w:highlight w:val="white"/>
                    </w:rPr>
                  </w:pPr>
                  <w:r w:rsidDel="00000000" w:rsidR="00000000" w:rsidRPr="00000000">
                    <w:rPr>
                      <w:rFonts w:ascii="Times New Roman" w:cs="Times New Roman" w:eastAsia="Times New Roman" w:hAnsi="Times New Roman"/>
                      <w:b w:val="1"/>
                      <w:i w:val="1"/>
                      <w:color w:val="333333"/>
                      <w:sz w:val="24"/>
                      <w:szCs w:val="24"/>
                      <w:highlight w:val="white"/>
                      <w:rtl w:val="0"/>
                    </w:rPr>
                    <w:t xml:space="preserve">p-value</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9C">
                  <w:pPr>
                    <w:spacing w:line="240" w:lineRule="auto"/>
                    <w:jc w:val="both"/>
                    <w:rPr>
                      <w:rFonts w:ascii="Times New Roman" w:cs="Times New Roman" w:eastAsia="Times New Roman" w:hAnsi="Times New Roman"/>
                      <w:i w:val="1"/>
                      <w:color w:val="333333"/>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PHF6</w:t>
                  </w:r>
                  <w:r w:rsidDel="00000000" w:rsidR="00000000" w:rsidRPr="00000000">
                    <w:rPr>
                      <w:rFonts w:ascii="Times New Roman" w:cs="Times New Roman" w:eastAsia="Times New Roman" w:hAnsi="Times New Roman"/>
                      <w:i w:val="1"/>
                      <w:sz w:val="24"/>
                      <w:szCs w:val="24"/>
                      <w:highlight w:val="white"/>
                      <w:vertAlign w:val="superscript"/>
                      <w:rtl w:val="0"/>
                    </w:rPr>
                    <w:t xml:space="preserve">MUT </w:t>
                  </w: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9D">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0.97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9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0.91 </w:t>
                  </w:r>
                  <w:r w:rsidDel="00000000" w:rsidR="00000000" w:rsidRPr="00000000">
                    <w:rPr>
                      <w:rFonts w:ascii="Times New Roman" w:cs="Times New Roman" w:eastAsia="Times New Roman" w:hAnsi="Times New Roman"/>
                      <w:b w:val="1"/>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1.05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9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0.5</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0">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Age at diagnosis</w:t>
                  </w:r>
                  <w:r w:rsidDel="00000000" w:rsidR="00000000" w:rsidRPr="00000000">
                    <w:rPr>
                      <w:rFonts w:ascii="Times New Roman" w:cs="Times New Roman" w:eastAsia="Times New Roman" w:hAnsi="Times New Roman"/>
                      <w:color w:val="333333"/>
                      <w:sz w:val="24"/>
                      <w:szCs w:val="24"/>
                      <w:highlight w:val="white"/>
                      <w:rtl w:val="0"/>
                    </w:rPr>
                    <w:t xml:space="preserve">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1">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0.96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0.91 </w:t>
                  </w:r>
                  <w:r w:rsidDel="00000000" w:rsidR="00000000" w:rsidRPr="00000000">
                    <w:rPr>
                      <w:rFonts w:ascii="Times New Roman" w:cs="Times New Roman" w:eastAsia="Times New Roman" w:hAnsi="Times New Roman"/>
                      <w:b w:val="1"/>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1.02</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3">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0.2</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4">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Sex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5">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8">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Male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9">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C">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Female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D">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0.80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0.35 </w:t>
                  </w:r>
                  <w:r w:rsidDel="00000000" w:rsidR="00000000" w:rsidRPr="00000000">
                    <w:rPr>
                      <w:rFonts w:ascii="Times New Roman" w:cs="Times New Roman" w:eastAsia="Times New Roman" w:hAnsi="Times New Roman"/>
                      <w:b w:val="1"/>
                      <w:color w:val="333333"/>
                      <w:sz w:val="24"/>
                      <w:szCs w:val="24"/>
                      <w:highlight w:val="white"/>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1.86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A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0.6</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0">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WHO-5 Category</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1">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3">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4">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AML</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5">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8">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MDS</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9">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0.00 </w:t>
                  </w:r>
                  <w:r w:rsidDel="00000000" w:rsidR="00000000" w:rsidRPr="00000000">
                    <w:rPr>
                      <w:rFonts w:ascii="Times New Roman" w:cs="Times New Roman" w:eastAsia="Times New Roman" w:hAnsi="Times New Roman"/>
                      <w:b w:val="1"/>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1.26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0.070</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C">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MDS/MPN</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D">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0.08</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0.00 </w:t>
                  </w:r>
                  <w:r w:rsidDel="00000000" w:rsidR="00000000" w:rsidRPr="00000000">
                    <w:rPr>
                      <w:rFonts w:ascii="Times New Roman" w:cs="Times New Roman" w:eastAsia="Times New Roman" w:hAnsi="Times New Roman"/>
                      <w:b w:val="1"/>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1.80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B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0.11</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0">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MPN</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1">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0.00 </w:t>
                  </w:r>
                  <w:r w:rsidDel="00000000" w:rsidR="00000000" w:rsidRPr="00000000">
                    <w:rPr>
                      <w:rFonts w:ascii="Times New Roman" w:cs="Times New Roman" w:eastAsia="Times New Roman" w:hAnsi="Times New Roman"/>
                      <w:b w:val="1"/>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0.35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3">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0.009</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4">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Blasts PB</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5">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1.00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0.96 </w:t>
                  </w:r>
                  <w:r w:rsidDel="00000000" w:rsidR="00000000" w:rsidRPr="00000000">
                    <w:rPr>
                      <w:rFonts w:ascii="Times New Roman" w:cs="Times New Roman" w:eastAsia="Times New Roman" w:hAnsi="Times New Roman"/>
                      <w:b w:val="1"/>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1.05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&gt;0.9</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8">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Performance status*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9">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C">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ECOG 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D">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0.00 </w:t>
                  </w:r>
                  <w:r w:rsidDel="00000000" w:rsidR="00000000" w:rsidRPr="00000000">
                    <w:rPr>
                      <w:rFonts w:ascii="Times New Roman" w:cs="Times New Roman" w:eastAsia="Times New Roman" w:hAnsi="Times New Roman"/>
                      <w:b w:val="1"/>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2.37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C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0.089</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D0">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ECOG 2</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D1">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D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0.00 - 0.84</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D3">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0.039</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D4">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ECOG 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D5">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D6">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D7">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tl w:val="0"/>
                    </w:rPr>
                  </w:r>
                </w:p>
              </w:tc>
            </w:tr>
          </w:tbl>
          <w:p w:rsidR="00000000" w:rsidDel="00000000" w:rsidP="00000000" w:rsidRDefault="00000000" w:rsidRPr="00000000" w14:paraId="000001D8">
            <w:pPr>
              <w:spacing w:line="240" w:lineRule="auto"/>
              <w:jc w:val="both"/>
              <w:rPr>
                <w:rFonts w:ascii="Times New Roman" w:cs="Times New Roman" w:eastAsia="Times New Roman" w:hAnsi="Times New Roman"/>
                <w:b w:val="1"/>
                <w:sz w:val="18"/>
                <w:szCs w:val="18"/>
                <w:highlight w:val="white"/>
              </w:rPr>
            </w:pPr>
            <w:r w:rsidDel="00000000" w:rsidR="00000000" w:rsidRPr="00000000">
              <w:rPr>
                <w:rtl w:val="0"/>
              </w:rPr>
            </w:r>
          </w:p>
          <w:p w:rsidR="00000000" w:rsidDel="00000000" w:rsidP="00000000" w:rsidRDefault="00000000" w:rsidRPr="00000000" w14:paraId="000001D9">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DA">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CI: Confidence interval; HR: Hazard Ratio; WHO-5: Fifth Classification of the World Health Organization; </w:t>
            </w:r>
            <w:r w:rsidDel="00000000" w:rsidR="00000000" w:rsidRPr="00000000">
              <w:rPr>
                <w:rFonts w:ascii="Times New Roman" w:cs="Times New Roman" w:eastAsia="Times New Roman" w:hAnsi="Times New Roman"/>
                <w:sz w:val="20"/>
                <w:szCs w:val="20"/>
                <w:rtl w:val="0"/>
              </w:rPr>
              <w:t xml:space="preserve">AML: Acute Myeloid Leukemia; MDS: Myelodiplastic Syndrome; MPN: Chronic Myeloproliferative Neoplasm; MDS/MPN: overlap MDS and MPN; PB: Peripheral Blood; CMML: Chronic Myelomonocytic Leukemia: </w:t>
            </w:r>
            <w:r w:rsidDel="00000000" w:rsidR="00000000" w:rsidRPr="00000000">
              <w:rPr>
                <w:rFonts w:ascii="Times New Roman" w:cs="Times New Roman" w:eastAsia="Times New Roman" w:hAnsi="Times New Roman"/>
                <w:sz w:val="20"/>
                <w:szCs w:val="20"/>
                <w:highlight w:val="white"/>
                <w:rtl w:val="0"/>
              </w:rPr>
              <w:t xml:space="preserve">ECOG:  Eastern Cooperative Oncology Group.  </w:t>
            </w:r>
          </w:p>
          <w:p w:rsidR="00000000" w:rsidDel="00000000" w:rsidP="00000000" w:rsidRDefault="00000000" w:rsidRPr="00000000" w14:paraId="000001DB">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ECOG = 0 is the comparison contrast.</w:t>
            </w:r>
          </w:p>
          <w:p w:rsidR="00000000" w:rsidDel="00000000" w:rsidP="00000000" w:rsidRDefault="00000000" w:rsidRPr="00000000" w14:paraId="000001DC">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DD">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1DE">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1DF">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color w:val="1a1a1a"/>
                <w:sz w:val="24"/>
                <w:szCs w:val="24"/>
                <w:highlight w:val="white"/>
                <w:rtl w:val="0"/>
              </w:rPr>
              <w:t xml:space="preserve">Table S5. Multivariate analysis: </w:t>
            </w:r>
            <w:r w:rsidDel="00000000" w:rsidR="00000000" w:rsidRPr="00000000">
              <w:rPr>
                <w:rFonts w:ascii="Times New Roman" w:cs="Times New Roman" w:eastAsia="Times New Roman" w:hAnsi="Times New Roman"/>
                <w:color w:val="1a1a1a"/>
                <w:sz w:val="24"/>
                <w:szCs w:val="24"/>
                <w:highlight w:val="white"/>
                <w:rtl w:val="0"/>
              </w:rPr>
              <w:t xml:space="preserve">Cox proportional hazards model for time-to-next treatment. Including age, sex, hemoglobin, co-mutational profile, and cytogenetic profile.</w:t>
            </w:r>
            <w:r w:rsidDel="00000000" w:rsidR="00000000" w:rsidRPr="00000000">
              <w:rPr>
                <w:rtl w:val="0"/>
              </w:rPr>
            </w:r>
          </w:p>
          <w:p w:rsidR="00000000" w:rsidDel="00000000" w:rsidP="00000000" w:rsidRDefault="00000000" w:rsidRPr="00000000" w14:paraId="000001E0">
            <w:pPr>
              <w:spacing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tbl>
            <w:tblPr>
              <w:tblStyle w:val="Table6"/>
              <w:tblW w:w="8595.0" w:type="dxa"/>
              <w:jc w:val="left"/>
              <w:tblBorders>
                <w:top w:color="a8a8a8" w:space="0" w:sz="12" w:val="single"/>
                <w:left w:color="000000" w:space="0" w:sz="0" w:val="nil"/>
                <w:bottom w:color="a8a8a8" w:space="0" w:sz="12" w:val="single"/>
                <w:right w:color="000000" w:space="0" w:sz="0" w:val="nil"/>
                <w:insideH w:color="a8a8a8" w:space="0" w:sz="12" w:val="single"/>
                <w:insideV w:color="000000" w:space="0" w:sz="0" w:val="nil"/>
              </w:tblBorders>
              <w:tblLayout w:type="fixed"/>
              <w:tblLook w:val="0600"/>
            </w:tblPr>
            <w:tblGrid>
              <w:gridCol w:w="5330.000000000001"/>
              <w:gridCol w:w="774.9999999999994"/>
              <w:gridCol w:w="1305"/>
              <w:gridCol w:w="1185"/>
              <w:tblGridChange w:id="0">
                <w:tblGrid>
                  <w:gridCol w:w="5330.000000000001"/>
                  <w:gridCol w:w="774.9999999999994"/>
                  <w:gridCol w:w="1305"/>
                  <w:gridCol w:w="118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1E1">
                  <w:pPr>
                    <w:spacing w:line="240" w:lineRule="auto"/>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Variable</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1E2">
                  <w:pPr>
                    <w:spacing w:line="240" w:lineRule="auto"/>
                    <w:jc w:val="center"/>
                    <w:rPr>
                      <w:rFonts w:ascii="Times New Roman" w:cs="Times New Roman" w:eastAsia="Times New Roman" w:hAnsi="Times New Roman"/>
                      <w:b w:val="1"/>
                      <w:i w:val="1"/>
                      <w:color w:val="333333"/>
                      <w:sz w:val="24"/>
                      <w:szCs w:val="24"/>
                      <w:highlight w:val="white"/>
                    </w:rPr>
                  </w:pPr>
                  <w:r w:rsidDel="00000000" w:rsidR="00000000" w:rsidRPr="00000000">
                    <w:rPr>
                      <w:rFonts w:ascii="Times New Roman" w:cs="Times New Roman" w:eastAsia="Times New Roman" w:hAnsi="Times New Roman"/>
                      <w:b w:val="1"/>
                      <w:i w:val="1"/>
                      <w:color w:val="333333"/>
                      <w:sz w:val="24"/>
                      <w:szCs w:val="24"/>
                      <w:highlight w:val="white"/>
                      <w:rtl w:val="0"/>
                    </w:rPr>
                    <w:t xml:space="preserve">HR</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1E3">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95% CI </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1E4">
                  <w:pPr>
                    <w:spacing w:line="240" w:lineRule="auto"/>
                    <w:jc w:val="center"/>
                    <w:rPr>
                      <w:rFonts w:ascii="Times New Roman" w:cs="Times New Roman" w:eastAsia="Times New Roman" w:hAnsi="Times New Roman"/>
                      <w:b w:val="1"/>
                      <w:i w:val="1"/>
                      <w:color w:val="333333"/>
                      <w:sz w:val="24"/>
                      <w:szCs w:val="24"/>
                      <w:highlight w:val="white"/>
                    </w:rPr>
                  </w:pPr>
                  <w:r w:rsidDel="00000000" w:rsidR="00000000" w:rsidRPr="00000000">
                    <w:rPr>
                      <w:rFonts w:ascii="Times New Roman" w:cs="Times New Roman" w:eastAsia="Times New Roman" w:hAnsi="Times New Roman"/>
                      <w:b w:val="1"/>
                      <w:i w:val="1"/>
                      <w:color w:val="333333"/>
                      <w:sz w:val="24"/>
                      <w:szCs w:val="24"/>
                      <w:highlight w:val="white"/>
                      <w:rtl w:val="0"/>
                    </w:rPr>
                    <w:t xml:space="preserve">p-value</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E5">
                  <w:pPr>
                    <w:spacing w:line="240" w:lineRule="auto"/>
                    <w:rPr>
                      <w:rFonts w:ascii="Times New Roman" w:cs="Times New Roman" w:eastAsia="Times New Roman" w:hAnsi="Times New Roman"/>
                      <w:i w:val="1"/>
                      <w:color w:val="333333"/>
                      <w:sz w:val="24"/>
                      <w:szCs w:val="24"/>
                      <w:vertAlign w:val="superscript"/>
                    </w:rPr>
                  </w:pPr>
                  <w:r w:rsidDel="00000000" w:rsidR="00000000" w:rsidRPr="00000000">
                    <w:rPr>
                      <w:rFonts w:ascii="Times New Roman" w:cs="Times New Roman" w:eastAsia="Times New Roman" w:hAnsi="Times New Roman"/>
                      <w:i w:val="1"/>
                      <w:color w:val="333333"/>
                      <w:sz w:val="24"/>
                      <w:szCs w:val="24"/>
                      <w:rtl w:val="0"/>
                    </w:rPr>
                    <w:t xml:space="preserve">PHF6</w:t>
                  </w:r>
                  <w:r w:rsidDel="00000000" w:rsidR="00000000" w:rsidRPr="00000000">
                    <w:rPr>
                      <w:rFonts w:ascii="Times New Roman" w:cs="Times New Roman" w:eastAsia="Times New Roman" w:hAnsi="Times New Roman"/>
                      <w:i w:val="1"/>
                      <w:color w:val="333333"/>
                      <w:sz w:val="24"/>
                      <w:szCs w:val="24"/>
                      <w:vertAlign w:val="superscript"/>
                      <w:rtl w:val="0"/>
                    </w:rPr>
                    <w:t xml:space="preserve">MUT</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E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1.02</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E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0.96 - 1.09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E8">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0.5</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E9">
                  <w:pPr>
                    <w:spacing w:line="24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sz w:val="24"/>
                      <w:szCs w:val="24"/>
                      <w:highlight w:val="white"/>
                      <w:rtl w:val="0"/>
                    </w:rPr>
                    <w:t xml:space="preserve">Age at diagnosis</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E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1.03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E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0.98 - 1.08</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EC">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0.3</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ED">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Sex</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E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E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0">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1">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Male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3">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4">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5">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Female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1.85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0.68 - 5.05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8">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0.2</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9">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Hemoglobin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1.09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0.91 - 1.30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C">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0.3</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D">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Cytogenetic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1F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0">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1">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Abnormal Karyotype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3">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4">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5">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Complex Karyotype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237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11.5 - 4.89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8">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&lt;0.001</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9">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DNMT3A</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0.89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0.32 - 2.50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C">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0.8</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D">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NRAS</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2.58</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0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0.72 - 9.24</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0">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0.15</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1">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ASXL1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1.99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3">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0.69 - 5.77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4">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0.2</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5">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U2AF1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1.13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0.33 - 3.87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8">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0.8</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9">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TP53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0.55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0.09 - 3.28</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C">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0.5</w:t>
                  </w:r>
                </w:p>
              </w:tc>
            </w:tr>
            <w:tr>
              <w:trPr>
                <w:cantSplit w:val="0"/>
                <w:trHeight w:val="545.0000000000091"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D">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RUNX1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1.33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1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0.36 - 4.96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20">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0.7</w:t>
                  </w:r>
                </w:p>
              </w:tc>
            </w:tr>
          </w:tbl>
          <w:p w:rsidR="00000000" w:rsidDel="00000000" w:rsidP="00000000" w:rsidRDefault="00000000" w:rsidRPr="00000000" w14:paraId="00000221">
            <w:pPr>
              <w:spacing w:line="240" w:lineRule="auto"/>
              <w:jc w:val="both"/>
              <w:rPr>
                <w:rFonts w:ascii="Times New Roman" w:cs="Times New Roman" w:eastAsia="Times New Roman" w:hAnsi="Times New Roman"/>
                <w:b w:val="1"/>
                <w:sz w:val="20"/>
                <w:szCs w:val="20"/>
              </w:rPr>
            </w:pPr>
            <w:r w:rsidDel="00000000" w:rsidR="00000000" w:rsidRPr="00000000">
              <w:rPr>
                <w:rtl w:val="0"/>
              </w:rPr>
            </w:r>
          </w:p>
          <w:tbl>
            <w:tblPr>
              <w:tblStyle w:val="Table7"/>
              <w:tblW w:w="9445.0" w:type="dxa"/>
              <w:jc w:val="left"/>
              <w:tblInd w:w="-67.32283464566976" w:type="dxa"/>
              <w:tblBorders>
                <w:top w:color="a8a8a8" w:space="0" w:sz="12" w:val="single"/>
                <w:left w:color="000000" w:space="0" w:sz="0" w:val="nil"/>
                <w:bottom w:color="a8a8a8" w:space="0" w:sz="12" w:val="single"/>
                <w:right w:color="000000" w:space="0" w:sz="0" w:val="nil"/>
                <w:insideH w:color="a8a8a8" w:space="0" w:sz="12" w:val="single"/>
                <w:insideV w:color="000000" w:space="0" w:sz="0" w:val="nil"/>
              </w:tblBorders>
              <w:tblLayout w:type="fixed"/>
              <w:tblLook w:val="0600"/>
            </w:tblPr>
            <w:tblGrid>
              <w:gridCol w:w="5530"/>
              <w:gridCol w:w="1305"/>
              <w:gridCol w:w="1305"/>
              <w:gridCol w:w="1305"/>
              <w:tblGridChange w:id="0">
                <w:tblGrid>
                  <w:gridCol w:w="5530"/>
                  <w:gridCol w:w="1305"/>
                  <w:gridCol w:w="1305"/>
                  <w:gridCol w:w="1305"/>
                </w:tblGrid>
              </w:tblGridChange>
            </w:tblGrid>
            <w:tr>
              <w:trPr>
                <w:cantSplit w:val="0"/>
                <w:trHeight w:val="139.98046875" w:hRule="atLeast"/>
                <w:tblHeader w:val="0"/>
              </w:trPr>
              <w:tc>
                <w:tcPr>
                  <w:gridSpan w:val="4"/>
                  <w:tcBorders>
                    <w:top w:color="000000" w:space="0" w:sz="0" w:val="nil"/>
                    <w:left w:color="000000" w:space="0" w:sz="0" w:val="nil"/>
                    <w:bottom w:color="000000" w:space="0" w:sz="0" w:val="nil"/>
                    <w:right w:color="000000" w:space="0" w:sz="0" w:val="nil"/>
                  </w:tcBorders>
                  <w:tcMar>
                    <w:top w:w="60.0" w:type="dxa"/>
                    <w:left w:w="80.0" w:type="dxa"/>
                    <w:bottom w:w="60.0" w:type="dxa"/>
                    <w:right w:w="80.0" w:type="dxa"/>
                  </w:tcMar>
                </w:tcPr>
                <w:p w:rsidR="00000000" w:rsidDel="00000000" w:rsidP="00000000" w:rsidRDefault="00000000" w:rsidRPr="00000000" w14:paraId="00000222">
                  <w:pPr>
                    <w:spacing w:line="240" w:lineRule="auto"/>
                    <w:jc w:val="both"/>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CI: Confidence interval; HR: Hazard Ratio.</w:t>
                  </w:r>
                  <w:r w:rsidDel="00000000" w:rsidR="00000000" w:rsidRPr="00000000">
                    <w:rPr>
                      <w:rtl w:val="0"/>
                    </w:rPr>
                  </w:r>
                </w:p>
              </w:tc>
            </w:tr>
          </w:tbl>
          <w:p w:rsidR="00000000" w:rsidDel="00000000" w:rsidP="00000000" w:rsidRDefault="00000000" w:rsidRPr="00000000" w14:paraId="00000226">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227">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228">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229">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22A">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22B">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22C">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22D">
            <w:pPr>
              <w:spacing w:line="240" w:lineRule="auto"/>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b w:val="1"/>
                <w:color w:val="1a1a1a"/>
                <w:sz w:val="24"/>
                <w:szCs w:val="24"/>
                <w:highlight w:val="white"/>
                <w:rtl w:val="0"/>
              </w:rPr>
              <w:t xml:space="preserve">Table S6. Multivariate analysis: </w:t>
            </w:r>
            <w:r w:rsidDel="00000000" w:rsidR="00000000" w:rsidRPr="00000000">
              <w:rPr>
                <w:rFonts w:ascii="Times New Roman" w:cs="Times New Roman" w:eastAsia="Times New Roman" w:hAnsi="Times New Roman"/>
                <w:color w:val="1a1a1a"/>
                <w:sz w:val="24"/>
                <w:szCs w:val="24"/>
                <w:highlight w:val="white"/>
                <w:rtl w:val="0"/>
              </w:rPr>
              <w:t xml:space="preserve">Cox proportional hazards model for time-to- blast transformation. </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22E">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22F">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tbl>
            <w:tblPr>
              <w:tblStyle w:val="Table8"/>
              <w:tblW w:w="8205.0" w:type="dxa"/>
              <w:jc w:val="left"/>
              <w:tblBorders>
                <w:top w:color="a8a8a8" w:space="0" w:sz="12" w:val="single"/>
                <w:left w:color="000000" w:space="0" w:sz="0" w:val="nil"/>
                <w:bottom w:color="a8a8a8" w:space="0" w:sz="12" w:val="single"/>
                <w:right w:color="000000" w:space="0" w:sz="0" w:val="nil"/>
                <w:insideH w:color="a8a8a8" w:space="0" w:sz="12" w:val="single"/>
                <w:insideV w:color="000000" w:space="0" w:sz="0" w:val="nil"/>
              </w:tblBorders>
              <w:tblLayout w:type="fixed"/>
              <w:tblLook w:val="0600"/>
            </w:tblPr>
            <w:tblGrid>
              <w:gridCol w:w="5460"/>
              <w:gridCol w:w="600"/>
              <w:gridCol w:w="1230"/>
              <w:gridCol w:w="915"/>
              <w:tblGridChange w:id="0">
                <w:tblGrid>
                  <w:gridCol w:w="5460"/>
                  <w:gridCol w:w="600"/>
                  <w:gridCol w:w="1230"/>
                  <w:gridCol w:w="91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230">
                  <w:pPr>
                    <w:spacing w:line="240" w:lineRule="auto"/>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Variable</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231">
                  <w:pPr>
                    <w:spacing w:line="240" w:lineRule="auto"/>
                    <w:jc w:val="center"/>
                    <w:rPr>
                      <w:rFonts w:ascii="Times New Roman" w:cs="Times New Roman" w:eastAsia="Times New Roman" w:hAnsi="Times New Roman"/>
                      <w:b w:val="1"/>
                      <w:i w:val="1"/>
                      <w:color w:val="333333"/>
                      <w:sz w:val="24"/>
                      <w:szCs w:val="24"/>
                      <w:highlight w:val="white"/>
                    </w:rPr>
                  </w:pPr>
                  <w:r w:rsidDel="00000000" w:rsidR="00000000" w:rsidRPr="00000000">
                    <w:rPr>
                      <w:rFonts w:ascii="Times New Roman" w:cs="Times New Roman" w:eastAsia="Times New Roman" w:hAnsi="Times New Roman"/>
                      <w:b w:val="1"/>
                      <w:i w:val="1"/>
                      <w:color w:val="333333"/>
                      <w:sz w:val="24"/>
                      <w:szCs w:val="24"/>
                      <w:highlight w:val="white"/>
                      <w:rtl w:val="0"/>
                    </w:rPr>
                    <w:t xml:space="preserve">HR</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232">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95% CI</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233">
                  <w:pPr>
                    <w:spacing w:line="240" w:lineRule="auto"/>
                    <w:jc w:val="center"/>
                    <w:rPr>
                      <w:rFonts w:ascii="Times New Roman" w:cs="Times New Roman" w:eastAsia="Times New Roman" w:hAnsi="Times New Roman"/>
                      <w:b w:val="1"/>
                      <w:i w:val="1"/>
                      <w:color w:val="333333"/>
                      <w:sz w:val="24"/>
                      <w:szCs w:val="24"/>
                      <w:highlight w:val="white"/>
                    </w:rPr>
                  </w:pPr>
                  <w:r w:rsidDel="00000000" w:rsidR="00000000" w:rsidRPr="00000000">
                    <w:rPr>
                      <w:rFonts w:ascii="Times New Roman" w:cs="Times New Roman" w:eastAsia="Times New Roman" w:hAnsi="Times New Roman"/>
                      <w:b w:val="1"/>
                      <w:i w:val="1"/>
                      <w:color w:val="333333"/>
                      <w:sz w:val="24"/>
                      <w:szCs w:val="24"/>
                      <w:highlight w:val="white"/>
                      <w:rtl w:val="0"/>
                    </w:rPr>
                    <w:t xml:space="preserve">p-value</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34">
                  <w:pPr>
                    <w:spacing w:line="240" w:lineRule="auto"/>
                    <w:jc w:val="both"/>
                    <w:rPr>
                      <w:rFonts w:ascii="Times New Roman" w:cs="Times New Roman" w:eastAsia="Times New Roman" w:hAnsi="Times New Roman"/>
                      <w:i w:val="1"/>
                      <w:color w:val="333333"/>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PHF6</w:t>
                  </w:r>
                  <w:r w:rsidDel="00000000" w:rsidR="00000000" w:rsidRPr="00000000">
                    <w:rPr>
                      <w:rFonts w:ascii="Times New Roman" w:cs="Times New Roman" w:eastAsia="Times New Roman" w:hAnsi="Times New Roman"/>
                      <w:i w:val="1"/>
                      <w:sz w:val="24"/>
                      <w:szCs w:val="24"/>
                      <w:highlight w:val="white"/>
                      <w:vertAlign w:val="superscript"/>
                      <w:rtl w:val="0"/>
                    </w:rPr>
                    <w:t xml:space="preserve">MUT </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35">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36">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37">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38">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Age at diagnosis</w:t>
                  </w:r>
                  <w:r w:rsidDel="00000000" w:rsidR="00000000" w:rsidRPr="00000000">
                    <w:rPr>
                      <w:rFonts w:ascii="Times New Roman" w:cs="Times New Roman" w:eastAsia="Times New Roman" w:hAnsi="Times New Roman"/>
                      <w:color w:val="333333"/>
                      <w:sz w:val="24"/>
                      <w:szCs w:val="24"/>
                      <w:highlight w:val="white"/>
                      <w:rtl w:val="0"/>
                    </w:rPr>
                    <w:t xml:space="preserve">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39">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0.99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3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0.73 - 1.34</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3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&gt;0.9</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3C">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Sex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3D">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3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3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0">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Male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1">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3">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4">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Female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5">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2.26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0.16 - 32.4</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0.5</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8">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WHO-5 Category</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9">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C">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AML</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D">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4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0">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MDS</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1">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3.19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0.03 - 355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3">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0.6</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4">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MDS/MPN</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5">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1.60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0.02 - 114</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0.8</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8">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MPN</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9">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C">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Blasts PB</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D">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0.55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0.23 - 1.29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5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0.2</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0">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Performance status*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1">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3">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4">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ECOG 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5">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0.11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0.00 - 226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0.6</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8">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ECOG 2</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9">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C">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ECOG 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D">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6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bl>
          <w:p w:rsidR="00000000" w:rsidDel="00000000" w:rsidP="00000000" w:rsidRDefault="00000000" w:rsidRPr="00000000" w14:paraId="00000270">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271">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CI: Confidence interval; HR: Hazard Ratio; WHO-5: Fifth Classification of the World Health Organization; </w:t>
            </w:r>
            <w:r w:rsidDel="00000000" w:rsidR="00000000" w:rsidRPr="00000000">
              <w:rPr>
                <w:rFonts w:ascii="Times New Roman" w:cs="Times New Roman" w:eastAsia="Times New Roman" w:hAnsi="Times New Roman"/>
                <w:sz w:val="20"/>
                <w:szCs w:val="20"/>
                <w:rtl w:val="0"/>
              </w:rPr>
              <w:t xml:space="preserve">AML: Acute Myeloid Leukemia; MDS: Myelodiplastic Syndrome; MPN: Chronic Myeloproliferative Neoplasm; MDS/MPN: overlap MDS and MPN; PB: Peripheral Blood; CMML: Chronic Myelomonocytic Leukemia: </w:t>
            </w:r>
            <w:r w:rsidDel="00000000" w:rsidR="00000000" w:rsidRPr="00000000">
              <w:rPr>
                <w:rFonts w:ascii="Times New Roman" w:cs="Times New Roman" w:eastAsia="Times New Roman" w:hAnsi="Times New Roman"/>
                <w:sz w:val="20"/>
                <w:szCs w:val="20"/>
                <w:highlight w:val="white"/>
                <w:rtl w:val="0"/>
              </w:rPr>
              <w:t xml:space="preserve">ECOG:  Eastern Cooperative Oncology Group.  </w:t>
            </w:r>
          </w:p>
          <w:p w:rsidR="00000000" w:rsidDel="00000000" w:rsidP="00000000" w:rsidRDefault="00000000" w:rsidRPr="00000000" w14:paraId="00000272">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ECOG = 0 is the comparison contrast.</w:t>
            </w:r>
          </w:p>
          <w:p w:rsidR="00000000" w:rsidDel="00000000" w:rsidP="00000000" w:rsidRDefault="00000000" w:rsidRPr="00000000" w14:paraId="00000273">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274">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275">
            <w:pPr>
              <w:spacing w:line="240" w:lineRule="auto"/>
              <w:jc w:val="both"/>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276">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color w:val="1a1a1a"/>
                <w:sz w:val="24"/>
                <w:szCs w:val="24"/>
                <w:highlight w:val="white"/>
                <w:rtl w:val="0"/>
              </w:rPr>
              <w:t xml:space="preserve">Table S7. Multivariate analysis: </w:t>
            </w:r>
            <w:r w:rsidDel="00000000" w:rsidR="00000000" w:rsidRPr="00000000">
              <w:rPr>
                <w:rFonts w:ascii="Times New Roman" w:cs="Times New Roman" w:eastAsia="Times New Roman" w:hAnsi="Times New Roman"/>
                <w:color w:val="1a1a1a"/>
                <w:sz w:val="24"/>
                <w:szCs w:val="24"/>
                <w:highlight w:val="white"/>
                <w:rtl w:val="0"/>
              </w:rPr>
              <w:t xml:space="preserve">Cox proportional hazards model for time-to-blast transformation. Including age, sex, hemoglobin, co-mutational profile, and cytogenetic profile.</w:t>
            </w:r>
            <w:r w:rsidDel="00000000" w:rsidR="00000000" w:rsidRPr="00000000">
              <w:rPr>
                <w:rtl w:val="0"/>
              </w:rPr>
            </w:r>
          </w:p>
          <w:p w:rsidR="00000000" w:rsidDel="00000000" w:rsidP="00000000" w:rsidRDefault="00000000" w:rsidRPr="00000000" w14:paraId="00000277">
            <w:pPr>
              <w:spacing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8">
            <w:pPr>
              <w:spacing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tbl>
            <w:tblPr>
              <w:tblStyle w:val="Table9"/>
              <w:tblW w:w="8745.0" w:type="dxa"/>
              <w:jc w:val="left"/>
              <w:tblBorders>
                <w:top w:color="a8a8a8" w:space="0" w:sz="12" w:val="single"/>
                <w:left w:color="000000" w:space="0" w:sz="0" w:val="nil"/>
                <w:bottom w:color="a8a8a8" w:space="0" w:sz="12" w:val="single"/>
                <w:right w:color="000000" w:space="0" w:sz="0" w:val="nil"/>
                <w:insideH w:color="a8a8a8" w:space="0" w:sz="12" w:val="single"/>
                <w:insideV w:color="000000" w:space="0" w:sz="0" w:val="nil"/>
              </w:tblBorders>
              <w:tblLayout w:type="fixed"/>
              <w:tblLook w:val="0600"/>
            </w:tblPr>
            <w:tblGrid>
              <w:gridCol w:w="4610.000000000001"/>
              <w:gridCol w:w="1674.9999999999995"/>
              <w:gridCol w:w="1245"/>
              <w:gridCol w:w="1215"/>
              <w:tblGridChange w:id="0">
                <w:tblGrid>
                  <w:gridCol w:w="4610.000000000001"/>
                  <w:gridCol w:w="1674.9999999999995"/>
                  <w:gridCol w:w="1245"/>
                  <w:gridCol w:w="121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279">
                  <w:pPr>
                    <w:spacing w:line="240" w:lineRule="auto"/>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Variable</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27A">
                  <w:pPr>
                    <w:spacing w:line="240" w:lineRule="auto"/>
                    <w:jc w:val="center"/>
                    <w:rPr>
                      <w:rFonts w:ascii="Times New Roman" w:cs="Times New Roman" w:eastAsia="Times New Roman" w:hAnsi="Times New Roman"/>
                      <w:b w:val="1"/>
                      <w:i w:val="1"/>
                      <w:color w:val="333333"/>
                      <w:sz w:val="24"/>
                      <w:szCs w:val="24"/>
                      <w:highlight w:val="white"/>
                    </w:rPr>
                  </w:pPr>
                  <w:r w:rsidDel="00000000" w:rsidR="00000000" w:rsidRPr="00000000">
                    <w:rPr>
                      <w:rFonts w:ascii="Times New Roman" w:cs="Times New Roman" w:eastAsia="Times New Roman" w:hAnsi="Times New Roman"/>
                      <w:b w:val="1"/>
                      <w:i w:val="1"/>
                      <w:color w:val="333333"/>
                      <w:sz w:val="24"/>
                      <w:szCs w:val="24"/>
                      <w:highlight w:val="white"/>
                      <w:rtl w:val="0"/>
                    </w:rPr>
                    <w:t xml:space="preserve">HR</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27B">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95% CI</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27C">
                  <w:pPr>
                    <w:spacing w:line="240" w:lineRule="auto"/>
                    <w:jc w:val="center"/>
                    <w:rPr>
                      <w:rFonts w:ascii="Times New Roman" w:cs="Times New Roman" w:eastAsia="Times New Roman" w:hAnsi="Times New Roman"/>
                      <w:b w:val="1"/>
                      <w:i w:val="1"/>
                      <w:color w:val="333333"/>
                      <w:sz w:val="24"/>
                      <w:szCs w:val="24"/>
                      <w:highlight w:val="white"/>
                    </w:rPr>
                  </w:pPr>
                  <w:r w:rsidDel="00000000" w:rsidR="00000000" w:rsidRPr="00000000">
                    <w:rPr>
                      <w:rFonts w:ascii="Times New Roman" w:cs="Times New Roman" w:eastAsia="Times New Roman" w:hAnsi="Times New Roman"/>
                      <w:b w:val="1"/>
                      <w:i w:val="1"/>
                      <w:color w:val="333333"/>
                      <w:sz w:val="24"/>
                      <w:szCs w:val="24"/>
                      <w:highlight w:val="white"/>
                      <w:rtl w:val="0"/>
                    </w:rPr>
                    <w:t xml:space="preserve">p-value</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7D">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PHF6</w:t>
                  </w:r>
                  <w:r w:rsidDel="00000000" w:rsidR="00000000" w:rsidRPr="00000000">
                    <w:rPr>
                      <w:rFonts w:ascii="Times New Roman" w:cs="Times New Roman" w:eastAsia="Times New Roman" w:hAnsi="Times New Roman"/>
                      <w:i w:val="1"/>
                      <w:color w:val="333333"/>
                      <w:sz w:val="24"/>
                      <w:szCs w:val="24"/>
                      <w:vertAlign w:val="superscript"/>
                      <w:rtl w:val="0"/>
                    </w:rPr>
                    <w:t xml:space="preserve">MUT</w:t>
                  </w:r>
                  <w:r w:rsidDel="00000000" w:rsidR="00000000" w:rsidRPr="00000000">
                    <w:rPr>
                      <w:rFonts w:ascii="Times New Roman" w:cs="Times New Roman" w:eastAsia="Times New Roman" w:hAnsi="Times New Roman"/>
                      <w:i w:val="1"/>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7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7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0">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1">
                  <w:pPr>
                    <w:spacing w:line="24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sz w:val="24"/>
                      <w:szCs w:val="24"/>
                      <w:highlight w:val="white"/>
                      <w:rtl w:val="0"/>
                    </w:rPr>
                    <w:t xml:space="preserve">Age at diagnosis</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0.90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3">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0.74 - 1.09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4">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0.3</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5">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Sex</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6">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8">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9">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Male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C">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D">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Female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1.42</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8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0.04 - 46.5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0">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0.8</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1">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Hemoglobin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1.48</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3">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0.71 - 3.10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4">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0.3</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5">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Cytogenetic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8">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9">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Abnormal Karyotype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C">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D">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Complex Karyotype**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9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0.00 - Inf</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0">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&gt;0.9</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1">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DNMT3A</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3">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4">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5">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NRAS</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0.00 - 5.51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8">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0.2</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9">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ASXL1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A">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B">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0.00 - 0.50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C">
                  <w:pPr>
                    <w:spacing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0.022</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D">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U2AF1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E">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AF">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B0">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B1">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TP53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B2">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0.48</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B3">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0.01 - 3.4</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B4">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0.7</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B5">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RUNX1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B6">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B7">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B8">
                  <w:pPr>
                    <w:spacing w:line="240"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tc>
            </w:tr>
          </w:tbl>
          <w:p w:rsidR="00000000" w:rsidDel="00000000" w:rsidP="00000000" w:rsidRDefault="00000000" w:rsidRPr="00000000" w14:paraId="000002B9">
            <w:pPr>
              <w:spacing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BA">
            <w:pPr>
              <w:spacing w:line="24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0"/>
              <w:tblW w:w="5300.0" w:type="dxa"/>
              <w:jc w:val="left"/>
              <w:tblBorders>
                <w:top w:color="a8a8a8" w:space="0" w:sz="12" w:val="single"/>
                <w:left w:color="000000" w:space="0" w:sz="0" w:val="nil"/>
                <w:bottom w:color="a8a8a8" w:space="0" w:sz="12" w:val="single"/>
                <w:right w:color="000000" w:space="0" w:sz="0" w:val="nil"/>
                <w:insideH w:color="a8a8a8" w:space="0" w:sz="12" w:val="single"/>
                <w:insideV w:color="000000" w:space="0" w:sz="0" w:val="nil"/>
              </w:tblBorders>
              <w:tblLayout w:type="fixed"/>
              <w:tblLook w:val="0600"/>
            </w:tblPr>
            <w:tblGrid>
              <w:gridCol w:w="5460"/>
              <w:gridCol w:w="1"/>
              <w:gridCol w:w="1"/>
              <w:gridCol w:w="1"/>
              <w:tblGridChange w:id="0">
                <w:tblGrid>
                  <w:gridCol w:w="5460"/>
                  <w:gridCol w:w="1"/>
                  <w:gridCol w:w="1"/>
                  <w:gridCol w:w="1"/>
                </w:tblGrid>
              </w:tblGridChange>
            </w:tblGrid>
            <w:tr>
              <w:trPr>
                <w:cantSplit w:val="0"/>
                <w:trHeight w:val="45" w:hRule="atLeast"/>
                <w:tblHeader w:val="0"/>
              </w:trPr>
              <w:tc>
                <w:tcPr>
                  <w:gridSpan w:val="4"/>
                  <w:tcBorders>
                    <w:top w:color="000000" w:space="0" w:sz="0" w:val="nil"/>
                    <w:left w:color="000000" w:space="0" w:sz="0" w:val="nil"/>
                    <w:bottom w:color="000000" w:space="0" w:sz="0" w:val="nil"/>
                    <w:right w:color="000000" w:space="0" w:sz="0" w:val="nil"/>
                  </w:tcBorders>
                  <w:tcMar>
                    <w:top w:w="60.0" w:type="dxa"/>
                    <w:left w:w="80.0" w:type="dxa"/>
                    <w:bottom w:w="60.0" w:type="dxa"/>
                    <w:right w:w="80.0" w:type="dxa"/>
                  </w:tcMar>
                  <w:vAlign w:val="top"/>
                </w:tcPr>
                <w:p w:rsidR="00000000" w:rsidDel="00000000" w:rsidP="00000000" w:rsidRDefault="00000000" w:rsidRPr="00000000" w14:paraId="000002BB">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CI: Confidence interval; HR: Hazard Ratio.</w:t>
                  </w:r>
                </w:p>
                <w:p w:rsidR="00000000" w:rsidDel="00000000" w:rsidP="00000000" w:rsidRDefault="00000000" w:rsidRPr="00000000" w14:paraId="000002BC">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 HR cannot be calculated, probably due to the small sample size.</w:t>
                  </w:r>
                </w:p>
                <w:p w:rsidR="00000000" w:rsidDel="00000000" w:rsidP="00000000" w:rsidRDefault="00000000" w:rsidRPr="00000000" w14:paraId="000002BD">
                  <w:pPr>
                    <w:spacing w:line="240" w:lineRule="auto"/>
                    <w:jc w:val="both"/>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**Extreme HR and CI estimates, probably due to small sample size (separation problem; Heinze G. A comparative investigation of methods for logistic regression with separated or nearly separated data. </w:t>
                  </w:r>
                  <w:r w:rsidDel="00000000" w:rsidR="00000000" w:rsidRPr="00000000">
                    <w:rPr>
                      <w:rFonts w:ascii="Times New Roman" w:cs="Times New Roman" w:eastAsia="Times New Roman" w:hAnsi="Times New Roman"/>
                      <w:i w:val="1"/>
                      <w:sz w:val="20"/>
                      <w:szCs w:val="20"/>
                      <w:rtl w:val="0"/>
                    </w:rPr>
                    <w:t xml:space="preserve">Stat Med</w:t>
                  </w:r>
                  <w:r w:rsidDel="00000000" w:rsidR="00000000" w:rsidRPr="00000000">
                    <w:rPr>
                      <w:rFonts w:ascii="Times New Roman" w:cs="Times New Roman" w:eastAsia="Times New Roman" w:hAnsi="Times New Roman"/>
                      <w:sz w:val="20"/>
                      <w:szCs w:val="20"/>
                      <w:highlight w:val="white"/>
                      <w:rtl w:val="0"/>
                    </w:rPr>
                    <w:t xml:space="preserve">. 2006;25(24):4216-4226. doi:10.1002/sim.2687).</w:t>
                  </w:r>
                  <w:r w:rsidDel="00000000" w:rsidR="00000000" w:rsidRPr="00000000">
                    <w:rPr>
                      <w:rtl w:val="0"/>
                    </w:rPr>
                  </w:r>
                </w:p>
              </w:tc>
            </w:tr>
          </w:tbl>
          <w:p w:rsidR="00000000" w:rsidDel="00000000" w:rsidP="00000000" w:rsidRDefault="00000000" w:rsidRPr="00000000" w14:paraId="000002C1">
            <w:pPr>
              <w:spacing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C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a1a1a"/>
                <w:sz w:val="24"/>
                <w:szCs w:val="24"/>
                <w:highlight w:val="white"/>
                <w:rtl w:val="0"/>
              </w:rPr>
              <w:t xml:space="preserve">Table S8. Multivariate analysis: </w:t>
            </w:r>
            <w:r w:rsidDel="00000000" w:rsidR="00000000" w:rsidRPr="00000000">
              <w:rPr>
                <w:rFonts w:ascii="Times New Roman" w:cs="Times New Roman" w:eastAsia="Times New Roman" w:hAnsi="Times New Roman"/>
                <w:color w:val="1a1a1a"/>
                <w:sz w:val="24"/>
                <w:szCs w:val="24"/>
                <w:highlight w:val="white"/>
                <w:rtl w:val="0"/>
              </w:rPr>
              <w:t xml:space="preserve">Cox proportional hazards model for progression-free survival. </w:t>
            </w:r>
            <w:r w:rsidDel="00000000" w:rsidR="00000000" w:rsidRPr="00000000">
              <w:rPr>
                <w:rtl w:val="0"/>
              </w:rPr>
            </w:r>
          </w:p>
          <w:tbl>
            <w:tblPr>
              <w:tblStyle w:val="Table11"/>
              <w:tblW w:w="8385.0" w:type="dxa"/>
              <w:jc w:val="left"/>
              <w:tblBorders>
                <w:top w:color="a8a8a8" w:space="0" w:sz="12" w:val="single"/>
                <w:left w:color="000000" w:space="0" w:sz="0" w:val="nil"/>
                <w:bottom w:color="a8a8a8" w:space="0" w:sz="12" w:val="single"/>
                <w:right w:color="000000" w:space="0" w:sz="0" w:val="nil"/>
                <w:insideH w:color="a8a8a8" w:space="0" w:sz="12" w:val="single"/>
                <w:insideV w:color="000000" w:space="0" w:sz="0" w:val="nil"/>
              </w:tblBorders>
              <w:tblLayout w:type="fixed"/>
              <w:tblLook w:val="0600"/>
            </w:tblPr>
            <w:tblGrid>
              <w:gridCol w:w="5460"/>
              <w:gridCol w:w="645"/>
              <w:gridCol w:w="1245"/>
              <w:gridCol w:w="1035"/>
              <w:tblGridChange w:id="0">
                <w:tblGrid>
                  <w:gridCol w:w="5460"/>
                  <w:gridCol w:w="645"/>
                  <w:gridCol w:w="1245"/>
                  <w:gridCol w:w="103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2C3">
                  <w:pPr>
                    <w:spacing w:line="240" w:lineRule="auto"/>
                    <w:rPr>
                      <w:rFonts w:ascii="Times New Roman" w:cs="Times New Roman" w:eastAsia="Times New Roman" w:hAnsi="Times New Roman"/>
                      <w:b w:val="1"/>
                      <w:color w:val="333333"/>
                      <w:sz w:val="24"/>
                      <w:szCs w:val="24"/>
                    </w:rPr>
                  </w:pPr>
                  <w:r w:rsidDel="00000000" w:rsidR="00000000" w:rsidRPr="00000000">
                    <w:rPr>
                      <w:rtl w:val="0"/>
                    </w:rPr>
                  </w:r>
                </w:p>
                <w:p w:rsidR="00000000" w:rsidDel="00000000" w:rsidP="00000000" w:rsidRDefault="00000000" w:rsidRPr="00000000" w14:paraId="000002C4">
                  <w:pPr>
                    <w:spacing w:line="240" w:lineRule="auto"/>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Variable</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2C5">
                  <w:pPr>
                    <w:spacing w:line="240" w:lineRule="auto"/>
                    <w:jc w:val="center"/>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HR</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2C6">
                  <w:pPr>
                    <w:spacing w:line="240" w:lineRule="auto"/>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95% CI</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2C7">
                  <w:pPr>
                    <w:spacing w:line="240" w:lineRule="auto"/>
                    <w:jc w:val="center"/>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p-value</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C8">
                  <w:pPr>
                    <w:spacing w:line="240" w:lineRule="auto"/>
                    <w:jc w:val="both"/>
                    <w:rPr>
                      <w:rFonts w:ascii="Times New Roman" w:cs="Times New Roman" w:eastAsia="Times New Roman" w:hAnsi="Times New Roman"/>
                      <w:i w:val="1"/>
                      <w:color w:val="333333"/>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PHF6</w:t>
                  </w:r>
                  <w:r w:rsidDel="00000000" w:rsidR="00000000" w:rsidRPr="00000000">
                    <w:rPr>
                      <w:rFonts w:ascii="Times New Roman" w:cs="Times New Roman" w:eastAsia="Times New Roman" w:hAnsi="Times New Roman"/>
                      <w:i w:val="1"/>
                      <w:sz w:val="24"/>
                      <w:szCs w:val="24"/>
                      <w:highlight w:val="white"/>
                      <w:vertAlign w:val="superscript"/>
                      <w:rtl w:val="0"/>
                    </w:rPr>
                    <w:t xml:space="preserve">MUT </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C9">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1.02</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CA">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1.00 - 1.05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CB">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0,082</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CC">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Age at diagnosis</w:t>
                  </w:r>
                  <w:r w:rsidDel="00000000" w:rsidR="00000000" w:rsidRPr="00000000">
                    <w:rPr>
                      <w:rFonts w:ascii="Times New Roman" w:cs="Times New Roman" w:eastAsia="Times New Roman" w:hAnsi="Times New Roman"/>
                      <w:color w:val="333333"/>
                      <w:sz w:val="24"/>
                      <w:szCs w:val="24"/>
                      <w:highlight w:val="white"/>
                      <w:rtl w:val="0"/>
                    </w:rPr>
                    <w:t xml:space="preserve">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CD">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0.99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CE">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0.96 - 1.03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CF">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0.7</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0">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Sex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1">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2">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3">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4">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Male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5">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6">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7">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8">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Female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9">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1.15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A">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0.68 - 1.93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B">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0.6</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C">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WHO-5 Category</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D">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E">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DF">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0">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AML</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1">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2">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3">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4">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MDS</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5">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0.44</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6">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0.18 - 1.07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7">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0.071</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8">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MDS/MPN</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9">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0.36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A">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0.14 - 0.97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B">
                  <w:pPr>
                    <w:spacing w:line="240" w:lineRule="auto"/>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0.043</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C">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MPN</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D">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0.10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E">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0.03 - 0.33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EF">
                  <w:pPr>
                    <w:spacing w:line="240" w:lineRule="auto"/>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&lt;0.001</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0">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Blasts PB</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1">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1.00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2">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0.99 - 1.02</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3">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0.7</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4">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Performance status*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5">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6">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7">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8">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ECOG 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9">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2.00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A">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0.44 - 8.97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B">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0.4</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C">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ECOG 2</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D">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1.59</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E">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0.52 - 4.86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2FF">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0.4</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00">
                  <w:pPr>
                    <w:spacing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ECOG 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01">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1.13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02">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0.55 - 2.33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03">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0.7</w:t>
                  </w:r>
                </w:p>
              </w:tc>
            </w:tr>
            <w:tr>
              <w:trPr>
                <w:cantSplit w:val="0"/>
                <w:trHeight w:val="405" w:hRule="atLeast"/>
                <w:tblHeader w:val="0"/>
              </w:trPr>
              <w:tc>
                <w:tcPr>
                  <w:gridSpan w:val="4"/>
                  <w:tcBorders>
                    <w:top w:color="000000" w:space="0" w:sz="0" w:val="nil"/>
                    <w:left w:color="000000" w:space="0" w:sz="0" w:val="nil"/>
                    <w:bottom w:color="000000" w:space="0" w:sz="0" w:val="nil"/>
                    <w:right w:color="000000" w:space="0" w:sz="0" w:val="nil"/>
                  </w:tcBorders>
                  <w:tcMar>
                    <w:top w:w="60.0" w:type="dxa"/>
                    <w:left w:w="80.0" w:type="dxa"/>
                    <w:bottom w:w="60.0" w:type="dxa"/>
                    <w:right w:w="80.0" w:type="dxa"/>
                  </w:tcMar>
                  <w:vAlign w:val="top"/>
                </w:tcPr>
                <w:p w:rsidR="00000000" w:rsidDel="00000000" w:rsidP="00000000" w:rsidRDefault="00000000" w:rsidRPr="00000000" w14:paraId="00000304">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CI: Confidence interval; HR: Hazard Ratio; WHO-5: Fifth Classification of the World Health Organization; </w:t>
                  </w:r>
                  <w:r w:rsidDel="00000000" w:rsidR="00000000" w:rsidRPr="00000000">
                    <w:rPr>
                      <w:rFonts w:ascii="Times New Roman" w:cs="Times New Roman" w:eastAsia="Times New Roman" w:hAnsi="Times New Roman"/>
                      <w:sz w:val="20"/>
                      <w:szCs w:val="20"/>
                      <w:rtl w:val="0"/>
                    </w:rPr>
                    <w:t xml:space="preserve">AML: Acute Myeloid Leukemia; MDS: Myelodiplastic Syndrome; MPN: Chronic Myeloproliferative Neoplasm; MDS/MPN: overlap MDS and MPN; PB: Peripheral Blood; CMML: Chronic Myelomonocytic Leukemia: </w:t>
                  </w:r>
                  <w:r w:rsidDel="00000000" w:rsidR="00000000" w:rsidRPr="00000000">
                    <w:rPr>
                      <w:rFonts w:ascii="Times New Roman" w:cs="Times New Roman" w:eastAsia="Times New Roman" w:hAnsi="Times New Roman"/>
                      <w:sz w:val="20"/>
                      <w:szCs w:val="20"/>
                      <w:highlight w:val="white"/>
                      <w:rtl w:val="0"/>
                    </w:rPr>
                    <w:t xml:space="preserve">ECOG:  Eastern Cooperative Oncology Group.  </w:t>
                  </w:r>
                </w:p>
                <w:p w:rsidR="00000000" w:rsidDel="00000000" w:rsidP="00000000" w:rsidRDefault="00000000" w:rsidRPr="00000000" w14:paraId="00000305">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ECOG = 0 is the comparison contrast.</w:t>
                  </w:r>
                </w:p>
                <w:p w:rsidR="00000000" w:rsidDel="00000000" w:rsidP="00000000" w:rsidRDefault="00000000" w:rsidRPr="00000000" w14:paraId="00000306">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307">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308">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tc>
            </w:tr>
          </w:tbl>
          <w:p w:rsidR="00000000" w:rsidDel="00000000" w:rsidP="00000000" w:rsidRDefault="00000000" w:rsidRPr="00000000" w14:paraId="0000030C">
            <w:pPr>
              <w:spacing w:line="240" w:lineRule="auto"/>
              <w:rPr>
                <w:rFonts w:ascii="Times New Roman" w:cs="Times New Roman" w:eastAsia="Times New Roman" w:hAnsi="Times New Roman"/>
                <w:b w:val="1"/>
                <w:color w:val="1a1a1a"/>
                <w:sz w:val="24"/>
                <w:szCs w:val="24"/>
                <w:highlight w:val="white"/>
              </w:rPr>
            </w:pPr>
            <w:r w:rsidDel="00000000" w:rsidR="00000000" w:rsidRPr="00000000">
              <w:rPr>
                <w:rtl w:val="0"/>
              </w:rPr>
            </w:r>
          </w:p>
          <w:p w:rsidR="00000000" w:rsidDel="00000000" w:rsidP="00000000" w:rsidRDefault="00000000" w:rsidRPr="00000000" w14:paraId="0000030D">
            <w:pPr>
              <w:spacing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30E">
            <w:pPr>
              <w:spacing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30F">
            <w:pPr>
              <w:spacing w:line="240" w:lineRule="auto"/>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310">
            <w:pPr>
              <w:spacing w:line="240" w:lineRule="auto"/>
              <w:rPr>
                <w:rFonts w:ascii="Times New Roman" w:cs="Times New Roman" w:eastAsia="Times New Roman" w:hAnsi="Times New Roman"/>
                <w:sz w:val="16"/>
                <w:szCs w:val="16"/>
                <w:highlight w:val="white"/>
              </w:rPr>
            </w:pPr>
            <w:r w:rsidDel="00000000" w:rsidR="00000000" w:rsidRPr="00000000">
              <w:rPr>
                <w:rtl w:val="0"/>
              </w:rPr>
            </w:r>
          </w:p>
        </w:tc>
      </w:tr>
    </w:tbl>
    <w:p w:rsidR="00000000" w:rsidDel="00000000" w:rsidP="00000000" w:rsidRDefault="00000000" w:rsidRPr="00000000" w14:paraId="00000314">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315">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color w:val="1a1a1a"/>
          <w:sz w:val="24"/>
          <w:szCs w:val="24"/>
          <w:highlight w:val="white"/>
          <w:rtl w:val="0"/>
        </w:rPr>
        <w:t xml:space="preserve">Table S9. Multivariate analysis: </w:t>
      </w:r>
      <w:r w:rsidDel="00000000" w:rsidR="00000000" w:rsidRPr="00000000">
        <w:rPr>
          <w:rFonts w:ascii="Times New Roman" w:cs="Times New Roman" w:eastAsia="Times New Roman" w:hAnsi="Times New Roman"/>
          <w:color w:val="1a1a1a"/>
          <w:sz w:val="24"/>
          <w:szCs w:val="24"/>
          <w:highlight w:val="white"/>
          <w:rtl w:val="0"/>
        </w:rPr>
        <w:t xml:space="preserve">Cox proportional hazards model for progression-free survival. Including age, sex, hemoglobin, co-mutational profile, and cytogenetic profile.</w:t>
      </w:r>
      <w:r w:rsidDel="00000000" w:rsidR="00000000" w:rsidRPr="00000000">
        <w:rPr>
          <w:rtl w:val="0"/>
        </w:rPr>
      </w:r>
    </w:p>
    <w:p w:rsidR="00000000" w:rsidDel="00000000" w:rsidP="00000000" w:rsidRDefault="00000000" w:rsidRPr="00000000" w14:paraId="00000316">
      <w:pPr>
        <w:spacing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tbl>
      <w:tblPr>
        <w:tblStyle w:val="Table12"/>
        <w:tblW w:w="8700.0" w:type="dxa"/>
        <w:jc w:val="left"/>
        <w:tblBorders>
          <w:top w:color="a8a8a8" w:space="0" w:sz="12" w:val="single"/>
          <w:left w:color="000000" w:space="0" w:sz="0" w:val="nil"/>
          <w:bottom w:color="a8a8a8" w:space="0" w:sz="12" w:val="single"/>
          <w:right w:color="000000" w:space="0" w:sz="0" w:val="nil"/>
          <w:insideH w:color="a8a8a8" w:space="0" w:sz="12" w:val="single"/>
          <w:insideV w:color="000000" w:space="0" w:sz="0" w:val="nil"/>
        </w:tblBorders>
        <w:tblLayout w:type="fixed"/>
        <w:tblLook w:val="0600"/>
      </w:tblPr>
      <w:tblGrid>
        <w:gridCol w:w="5539.999999999999"/>
        <w:gridCol w:w="595.0000000000011"/>
        <w:gridCol w:w="1215"/>
        <w:gridCol w:w="1350"/>
        <w:tblGridChange w:id="0">
          <w:tblGrid>
            <w:gridCol w:w="5539.999999999999"/>
            <w:gridCol w:w="595.0000000000011"/>
            <w:gridCol w:w="1215"/>
            <w:gridCol w:w="13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317">
            <w:pPr>
              <w:spacing w:line="240" w:lineRule="auto"/>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Variable</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318">
            <w:pPr>
              <w:spacing w:line="240" w:lineRule="auto"/>
              <w:jc w:val="center"/>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HR</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319">
            <w:pPr>
              <w:spacing w:line="240" w:lineRule="auto"/>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95% CI</w:t>
            </w:r>
          </w:p>
        </w:tc>
        <w:tc>
          <w:tcPr>
            <w:tcBorders>
              <w:top w:color="000000" w:space="0" w:sz="0" w:val="nil"/>
              <w:left w:color="000000" w:space="0" w:sz="0" w:val="nil"/>
              <w:bottom w:color="000000" w:space="0" w:sz="0" w:val="nil"/>
              <w:right w:color="000000" w:space="0" w:sz="0" w:val="nil"/>
            </w:tcBorders>
            <w:tcMar>
              <w:top w:w="80.0" w:type="dxa"/>
              <w:left w:w="80.0" w:type="dxa"/>
              <w:bottom w:w="100.0" w:type="dxa"/>
              <w:right w:w="80.0" w:type="dxa"/>
            </w:tcMar>
            <w:vAlign w:val="bottom"/>
          </w:tcPr>
          <w:p w:rsidR="00000000" w:rsidDel="00000000" w:rsidP="00000000" w:rsidRDefault="00000000" w:rsidRPr="00000000" w14:paraId="0000031A">
            <w:pPr>
              <w:spacing w:line="240" w:lineRule="auto"/>
              <w:jc w:val="center"/>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p-value</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1B">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PHF6</w:t>
            </w:r>
            <w:r w:rsidDel="00000000" w:rsidR="00000000" w:rsidRPr="00000000">
              <w:rPr>
                <w:rFonts w:ascii="Times New Roman" w:cs="Times New Roman" w:eastAsia="Times New Roman" w:hAnsi="Times New Roman"/>
                <w:i w:val="1"/>
                <w:color w:val="333333"/>
                <w:sz w:val="24"/>
                <w:szCs w:val="24"/>
                <w:vertAlign w:val="superscript"/>
                <w:rtl w:val="0"/>
              </w:rPr>
              <w:t xml:space="preserve">MUT</w:t>
            </w: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1C">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1.02</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1D">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1.00 - 1.05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1E">
            <w:pPr>
              <w:spacing w:line="240" w:lineRule="auto"/>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0.039</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1F">
            <w:pPr>
              <w:spacing w:line="24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sz w:val="24"/>
                <w:szCs w:val="24"/>
                <w:highlight w:val="white"/>
                <w:rtl w:val="0"/>
              </w:rPr>
              <w:t xml:space="preserve">Age at diagnosis</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0">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1.02</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1">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0.99 - 1.04</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2">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0.2</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3">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Sex</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4">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5">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6">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7">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Male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8">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9">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A">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B">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Female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C">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1.07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D">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0.63 - 1.82</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E">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0.8</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2F">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Hemoglobin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0">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0.94</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1">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0.84 - 1.04</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2">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0.2</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3">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Cytogenetic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4">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5">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6">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7">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Abnormal Karyotype </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8">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9">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A">
            <w:pPr>
              <w:spacing w:line="240" w:lineRule="auto"/>
              <w:jc w:val="center"/>
              <w:rPr>
                <w:rFonts w:ascii="Times New Roman" w:cs="Times New Roman" w:eastAsia="Times New Roman" w:hAnsi="Times New Roman"/>
                <w:color w:val="333333"/>
                <w:sz w:val="24"/>
                <w:szCs w:val="24"/>
              </w:rPr>
            </w:pPr>
            <w:r w:rsidDel="00000000" w:rsidR="00000000" w:rsidRPr="00000000">
              <w:rPr>
                <w:rtl w:val="0"/>
              </w:rPr>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B">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Complex Karyotype</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C">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5.17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D">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1.53 - 17.5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E">
            <w:pPr>
              <w:spacing w:line="240" w:lineRule="auto"/>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0.008</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3F">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DNMT3A</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0">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1.20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1">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0.61 - 2.37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2">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0.6</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3">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NRAS</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4">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2.15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5">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0.97 - 4.77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6">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0.059</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7">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ASXL1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8">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0.76</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9">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0.44 - 1.33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A">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0.3</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B">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U2AF1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C">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1.30</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D">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0.59 - 2.88</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E">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0.5</w:t>
            </w:r>
          </w:p>
        </w:tc>
      </w:tr>
      <w:tr>
        <w:trPr>
          <w:cantSplit w:val="0"/>
          <w:trHeight w:val="540"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4F">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TP53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50">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0.47</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51">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0.19 - 1.15</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52">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0.10</w:t>
            </w:r>
          </w:p>
        </w:tc>
      </w:tr>
      <w:tr>
        <w:trPr>
          <w:cantSplit w:val="0"/>
          <w:trHeight w:val="555" w:hRule="atLeast"/>
          <w:tblHeader w:val="0"/>
        </w:trPr>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53">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RUNX1</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54">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1.13</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55">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0.60 - 2.12</w:t>
            </w:r>
          </w:p>
        </w:tc>
        <w:tc>
          <w:tcPr>
            <w:tcBorders>
              <w:top w:color="d3d3d3" w:space="0" w:sz="6" w:val="single"/>
              <w:left w:color="000000" w:space="0" w:sz="0" w:val="nil"/>
              <w:bottom w:color="000000" w:space="0" w:sz="0" w:val="nil"/>
              <w:right w:color="000000" w:space="0" w:sz="0" w:val="nil"/>
            </w:tcBorders>
            <w:tcMar>
              <w:top w:w="120.0" w:type="dxa"/>
              <w:left w:w="80.0" w:type="dxa"/>
              <w:bottom w:w="120.0" w:type="dxa"/>
              <w:right w:w="80.0" w:type="dxa"/>
            </w:tcMar>
            <w:vAlign w:val="center"/>
          </w:tcPr>
          <w:p w:rsidR="00000000" w:rsidDel="00000000" w:rsidP="00000000" w:rsidRDefault="00000000" w:rsidRPr="00000000" w14:paraId="00000356">
            <w:pPr>
              <w:spacing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0.7</w:t>
            </w:r>
          </w:p>
        </w:tc>
      </w:tr>
    </w:tbl>
    <w:p w:rsidR="00000000" w:rsidDel="00000000" w:rsidP="00000000" w:rsidRDefault="00000000" w:rsidRPr="00000000" w14:paraId="00000357">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8">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highlight w:val="white"/>
          <w:rtl w:val="0"/>
        </w:rPr>
        <w:t xml:space="preserve">CI: Confidence interval; HR: Hazard Ratio.</w:t>
      </w:r>
      <w:r w:rsidDel="00000000" w:rsidR="00000000" w:rsidRPr="00000000">
        <w:rPr>
          <w:rtl w:val="0"/>
        </w:rPr>
      </w:r>
    </w:p>
    <w:p w:rsidR="00000000" w:rsidDel="00000000" w:rsidP="00000000" w:rsidRDefault="00000000" w:rsidRPr="00000000" w14:paraId="00000359">
      <w:pPr>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35A">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5B">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5C">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5D">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5E">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5F">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60">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61">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62">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Figures. </w:t>
      </w:r>
    </w:p>
    <w:p w:rsidR="00000000" w:rsidDel="00000000" w:rsidP="00000000" w:rsidRDefault="00000000" w:rsidRPr="00000000" w14:paraId="00000363">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64">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Figure S1. Genomic position of different</w:t>
      </w:r>
      <w:r w:rsidDel="00000000" w:rsidR="00000000" w:rsidRPr="00000000">
        <w:rPr>
          <w:rFonts w:ascii="Times New Roman" w:cs="Times New Roman" w:eastAsia="Times New Roman" w:hAnsi="Times New Roman"/>
          <w:b w:val="1"/>
          <w:i w:val="1"/>
          <w:sz w:val="24"/>
          <w:szCs w:val="24"/>
          <w:highlight w:val="white"/>
          <w:rtl w:val="0"/>
        </w:rPr>
        <w:t xml:space="preserve"> PHF6</w:t>
      </w:r>
      <w:r w:rsidDel="00000000" w:rsidR="00000000" w:rsidRPr="00000000">
        <w:rPr>
          <w:rFonts w:ascii="Times New Roman" w:cs="Times New Roman" w:eastAsia="Times New Roman" w:hAnsi="Times New Roman"/>
          <w:b w:val="1"/>
          <w:sz w:val="24"/>
          <w:szCs w:val="24"/>
          <w:highlight w:val="white"/>
          <w:rtl w:val="0"/>
        </w:rPr>
        <w:t xml:space="preserve"> mutations. </w:t>
      </w:r>
    </w:p>
    <w:p w:rsidR="00000000" w:rsidDel="00000000" w:rsidP="00000000" w:rsidRDefault="00000000" w:rsidRPr="00000000" w14:paraId="00000365">
      <w:pPr>
        <w:spacing w:line="240" w:lineRule="auto"/>
        <w:rPr>
          <w:rFonts w:ascii="Times New Roman" w:cs="Times New Roman" w:eastAsia="Times New Roman" w:hAnsi="Times New Roman"/>
          <w:b w:val="1"/>
          <w:i w:val="1"/>
          <w:sz w:val="24"/>
          <w:szCs w:val="24"/>
          <w:vertAlign w:val="superscript"/>
        </w:rPr>
      </w:pPr>
      <w:r w:rsidDel="00000000" w:rsidR="00000000" w:rsidRPr="00000000">
        <w:rPr>
          <w:rFonts w:ascii="Times New Roman" w:cs="Times New Roman" w:eastAsia="Times New Roman" w:hAnsi="Times New Roman"/>
          <w:b w:val="1"/>
          <w:i w:val="1"/>
          <w:sz w:val="24"/>
          <w:szCs w:val="24"/>
          <w:vertAlign w:val="superscript"/>
        </w:rPr>
        <w:drawing>
          <wp:inline distB="114300" distT="114300" distL="114300" distR="114300">
            <wp:extent cx="5943600" cy="3594100"/>
            <wp:effectExtent b="0" l="0" r="0" t="0"/>
            <wp:docPr id="29"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7">
      <w:pPr>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Lollipop plot of </w:t>
      </w:r>
      <w:r w:rsidDel="00000000" w:rsidR="00000000" w:rsidRPr="00000000">
        <w:rPr>
          <w:rFonts w:ascii="Times New Roman" w:cs="Times New Roman" w:eastAsia="Times New Roman" w:hAnsi="Times New Roman"/>
          <w:i w:val="1"/>
          <w:sz w:val="16"/>
          <w:szCs w:val="16"/>
          <w:rtl w:val="0"/>
        </w:rPr>
        <w:t xml:space="preserve">PHF6</w:t>
      </w:r>
      <w:r w:rsidDel="00000000" w:rsidR="00000000" w:rsidRPr="00000000">
        <w:rPr>
          <w:rFonts w:ascii="Times New Roman" w:cs="Times New Roman" w:eastAsia="Times New Roman" w:hAnsi="Times New Roman"/>
          <w:sz w:val="16"/>
          <w:szCs w:val="16"/>
          <w:rtl w:val="0"/>
        </w:rPr>
        <w:t xml:space="preserve"> mutations.</w:t>
      </w:r>
    </w:p>
    <w:p w:rsidR="00000000" w:rsidDel="00000000" w:rsidP="00000000" w:rsidRDefault="00000000" w:rsidRPr="00000000" w14:paraId="00000368">
      <w:pPr>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*pGly226Arg: missing in read coverage, therefore no corresponding green circle is observed (nonsense).</w:t>
      </w:r>
    </w:p>
    <w:p w:rsidR="00000000" w:rsidDel="00000000" w:rsidP="00000000" w:rsidRDefault="00000000" w:rsidRPr="00000000" w14:paraId="00000369">
      <w:pPr>
        <w:spacing w:line="240" w:lineRule="auto"/>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36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S2. Cases with mutated PHF6 and its co-mutations.</w:t>
      </w:r>
    </w:p>
    <w:p w:rsidR="00000000" w:rsidDel="00000000" w:rsidP="00000000" w:rsidRDefault="00000000" w:rsidRPr="00000000" w14:paraId="00000379">
      <w:pPr>
        <w:spacing w:line="360" w:lineRule="auto"/>
        <w:jc w:val="both"/>
        <w:rPr>
          <w:rFonts w:ascii="Times New Roman" w:cs="Times New Roman" w:eastAsia="Times New Roman" w:hAnsi="Times New Roman"/>
          <w:b w:val="1"/>
          <w:sz w:val="24"/>
          <w:szCs w:val="24"/>
        </w:rPr>
        <w:sectPr>
          <w:footerReference r:id="rId22"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37A">
      <w:pPr>
        <w:spacing w:line="240" w:lineRule="auto"/>
        <w:rPr>
          <w:rFonts w:ascii="Times New Roman" w:cs="Times New Roman" w:eastAsia="Times New Roman" w:hAnsi="Times New Roman"/>
          <w:b w:val="1"/>
          <w:sz w:val="24"/>
          <w:szCs w:val="24"/>
        </w:rPr>
        <w:sectPr>
          <w:type w:val="nextPage"/>
          <w:pgSz w:h="12240" w:w="15840" w:orient="landscape"/>
          <w:pgMar w:bottom="1440" w:top="1440" w:left="1440" w:right="1440" w:header="720" w:footer="720"/>
        </w:sectPr>
      </w:pPr>
      <w:r w:rsidDel="00000000" w:rsidR="00000000" w:rsidRPr="00000000">
        <w:rPr>
          <w:rFonts w:ascii="Times New Roman" w:cs="Times New Roman" w:eastAsia="Times New Roman" w:hAnsi="Times New Roman"/>
          <w:b w:val="1"/>
          <w:sz w:val="24"/>
          <w:szCs w:val="24"/>
        </w:rPr>
        <w:drawing>
          <wp:inline distB="114300" distT="114300" distL="114300" distR="114300">
            <wp:extent cx="8229600" cy="6057900"/>
            <wp:effectExtent b="0" l="0" r="0" t="0"/>
            <wp:docPr id="26"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822960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16"/>
          <w:szCs w:val="16"/>
          <w:rtl w:val="0"/>
        </w:rPr>
        <w:t xml:space="preserve">WHO5: The 5th edition of the World Health Organization Classification of Haematolymphoid Tumours (Myeloid and Histiocytic/Dendritic Neoplasms); LB-MDS: Low Blast count-Myelodisplastic Syndrome; Inactiv.: Inactivation; CMML: Chronic Myelomonocytic Leukemia; CML: Chronic Myeloid Leukemia; AML-MCR: Acute Myeloid Leukemia - Myelodisplastic Changes Related; MPAL: Mixed-Phenotype Acute Leukemia; MDS-HB-1: Myelodisplastic Syndrome - High Blast count-1; PMF: Primary Myelofibrosis; LOH: Loss ff Heterozygosity; CNV: Copy Number Variations;  K: Karyotype; FISH: Fluorescense in situ hybridization; del.: Deletion; FISH-1: 5q, 7q; FISH-2: 5q, 7q,  MLL, t(3;3); FISH-3: MLL, t(3;3). </w:t>
      </w:r>
      <w:r w:rsidDel="00000000" w:rsidR="00000000" w:rsidRPr="00000000">
        <w:rPr>
          <w:rFonts w:ascii="Times New Roman" w:cs="Times New Roman" w:eastAsia="Times New Roman" w:hAnsi="Times New Roman"/>
          <w:sz w:val="16"/>
          <w:szCs w:val="16"/>
          <w:rtl w:val="0"/>
        </w:rPr>
        <w:t xml:space="preserve">Neg.: negative; Favorab.: favorable; Inter: intermediate risk; </w:t>
      </w:r>
      <w:r w:rsidDel="00000000" w:rsidR="00000000" w:rsidRPr="00000000">
        <w:rPr>
          <w:rFonts w:ascii="Times New Roman" w:cs="Times New Roman" w:eastAsia="Times New Roman" w:hAnsi="Times New Roman"/>
          <w:i w:val="1"/>
          <w:sz w:val="16"/>
          <w:szCs w:val="16"/>
          <w:rtl w:val="0"/>
        </w:rPr>
        <w:t xml:space="preserve">SCORE: </w:t>
      </w:r>
      <w:r w:rsidDel="00000000" w:rsidR="00000000" w:rsidRPr="00000000">
        <w:rPr>
          <w:rFonts w:ascii="Times New Roman" w:cs="Times New Roman" w:eastAsia="Times New Roman" w:hAnsi="Times New Roman"/>
          <w:sz w:val="16"/>
          <w:szCs w:val="16"/>
          <w:rtl w:val="0"/>
        </w:rPr>
        <w:t xml:space="preserve">refers to the validated and corresponding risk scale for myeloid neoplasms (IPSS-Mol: MDS; CPSS-Mol: CMML; Sokal index: CML; ELN2022: AML;; DIPSS plus and MIPSS70 v2.0: PMF); * For ELN-2022, not for ELN 2024 FRAIL.. **By DIPSS plus. *** By MIPSS70 v2.0. </w:t>
      </w:r>
      <w:r w:rsidDel="00000000" w:rsidR="00000000" w:rsidRPr="00000000">
        <w:rPr>
          <w:rtl w:val="0"/>
        </w:rPr>
      </w:r>
    </w:p>
    <w:p w:rsidR="00000000" w:rsidDel="00000000" w:rsidP="00000000" w:rsidRDefault="00000000" w:rsidRPr="00000000" w14:paraId="0000037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S3. Corrplot matrix of </w:t>
      </w:r>
      <w:r w:rsidDel="00000000" w:rsidR="00000000" w:rsidRPr="00000000">
        <w:rPr>
          <w:rFonts w:ascii="Times New Roman" w:cs="Times New Roman" w:eastAsia="Times New Roman" w:hAnsi="Times New Roman"/>
          <w:b w:val="1"/>
          <w:i w:val="1"/>
          <w:sz w:val="24"/>
          <w:szCs w:val="24"/>
          <w:rtl w:val="0"/>
        </w:rPr>
        <w:t xml:space="preserve">PHF6 </w:t>
      </w:r>
      <w:r w:rsidDel="00000000" w:rsidR="00000000" w:rsidRPr="00000000">
        <w:rPr>
          <w:rFonts w:ascii="Times New Roman" w:cs="Times New Roman" w:eastAsia="Times New Roman" w:hAnsi="Times New Roman"/>
          <w:b w:val="1"/>
          <w:sz w:val="24"/>
          <w:szCs w:val="24"/>
          <w:rtl w:val="0"/>
        </w:rPr>
        <w:t xml:space="preserve">mutation and co-mutations in all myeloid neoplasms. </w:t>
      </w:r>
    </w:p>
    <w:p w:rsidR="00000000" w:rsidDel="00000000" w:rsidP="00000000" w:rsidRDefault="00000000" w:rsidRPr="00000000" w14:paraId="000003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943600" cy="4749800"/>
            <wp:effectExtent b="0" l="0" r="0" t="0"/>
            <wp:docPr id="30"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38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NGS: next-generation sequencing; NGS1: detection of the mutation in the first NGS; NGS2: second NGS; NGS3: third NGS. VAF1: variant allele frequency. </w:t>
      </w:r>
      <w:r w:rsidDel="00000000" w:rsidR="00000000" w:rsidRPr="00000000">
        <w:rPr>
          <w:rtl w:val="0"/>
        </w:rPr>
      </w:r>
    </w:p>
    <w:p w:rsidR="00000000" w:rsidDel="00000000" w:rsidP="00000000" w:rsidRDefault="00000000" w:rsidRPr="00000000" w14:paraId="0000038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S4.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Corrplot matrix of </w:t>
      </w:r>
      <w:r w:rsidDel="00000000" w:rsidR="00000000" w:rsidRPr="00000000">
        <w:rPr>
          <w:rFonts w:ascii="Times New Roman" w:cs="Times New Roman" w:eastAsia="Times New Roman" w:hAnsi="Times New Roman"/>
          <w:b w:val="1"/>
          <w:i w:val="1"/>
          <w:sz w:val="24"/>
          <w:szCs w:val="24"/>
          <w:rtl w:val="0"/>
        </w:rPr>
        <w:t xml:space="preserve">PHF6</w:t>
      </w:r>
      <w:r w:rsidDel="00000000" w:rsidR="00000000" w:rsidRPr="00000000">
        <w:rPr>
          <w:rFonts w:ascii="Times New Roman" w:cs="Times New Roman" w:eastAsia="Times New Roman" w:hAnsi="Times New Roman"/>
          <w:b w:val="1"/>
          <w:sz w:val="24"/>
          <w:szCs w:val="24"/>
          <w:rtl w:val="0"/>
        </w:rPr>
        <w:t xml:space="preserve"> mutation and co-mutations in each subgroup of myeloid neoplasm. </w:t>
      </w:r>
    </w:p>
    <w:p w:rsidR="00000000" w:rsidDel="00000000" w:rsidP="00000000" w:rsidRDefault="00000000" w:rsidRPr="00000000" w14:paraId="0000038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5054600"/>
            <wp:effectExtent b="0" l="0" r="0" t="0"/>
            <wp:docPr id="24"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5943600" cy="5054600"/>
                    </a:xfrm>
                    <a:prstGeom prst="rect"/>
                    <a:ln/>
                  </pic:spPr>
                </pic:pic>
              </a:graphicData>
            </a:graphic>
          </wp:inline>
        </w:drawing>
      </w:r>
      <w:r w:rsidDel="00000000" w:rsidR="00000000" w:rsidRPr="00000000">
        <w:rPr>
          <w:rtl w:val="0"/>
        </w:rPr>
      </w:r>
    </w:p>
    <w:p w:rsidR="00000000" w:rsidDel="00000000" w:rsidP="00000000" w:rsidRDefault="00000000" w:rsidRPr="00000000" w14:paraId="0000038B">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MPN: Chronic Myeloproliferative Neoplasm; MDS: Myelodisplastic Syndrome; MDS/MPN: overlap MDS and MPN; AML: Acute Myeloid Leukemia. </w:t>
      </w:r>
    </w:p>
    <w:p w:rsidR="00000000" w:rsidDel="00000000" w:rsidP="00000000" w:rsidRDefault="00000000" w:rsidRPr="00000000" w14:paraId="0000038C">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D">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S5. </w:t>
      </w:r>
      <w:r w:rsidDel="00000000" w:rsidR="00000000" w:rsidRPr="00000000">
        <w:rPr>
          <w:rFonts w:ascii="Times New Roman" w:cs="Times New Roman" w:eastAsia="Times New Roman" w:hAnsi="Times New Roman"/>
          <w:b w:val="1"/>
          <w:i w:val="1"/>
          <w:sz w:val="24"/>
          <w:szCs w:val="24"/>
          <w:rtl w:val="0"/>
        </w:rPr>
        <w:t xml:space="preserve">Random Forest Model: </w:t>
      </w:r>
      <w:r w:rsidDel="00000000" w:rsidR="00000000" w:rsidRPr="00000000">
        <w:rPr>
          <w:rFonts w:ascii="Times New Roman" w:cs="Times New Roman" w:eastAsia="Times New Roman" w:hAnsi="Times New Roman"/>
          <w:b w:val="1"/>
          <w:sz w:val="24"/>
          <w:szCs w:val="24"/>
          <w:rtl w:val="0"/>
        </w:rPr>
        <w:t xml:space="preserve">importance of each mutation and its variant allelic frequency in mortality.</w:t>
      </w:r>
    </w:p>
    <w:p w:rsidR="00000000" w:rsidDel="00000000" w:rsidP="00000000" w:rsidRDefault="00000000" w:rsidRPr="00000000" w14:paraId="0000038F">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90">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91">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2">
      <w:pPr>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5943600" cy="4038600"/>
            <wp:effectExtent b="0" l="0" r="0" t="0"/>
            <wp:docPr id="28"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NGS: next-generation sequencing; NGS1: detection of the mutation in the first NGS; NGS2: second NGS; NGS3:  third NGS. VAF1: variant allele frequency.</w:t>
      </w:r>
    </w:p>
    <w:p w:rsidR="00000000" w:rsidDel="00000000" w:rsidP="00000000" w:rsidRDefault="00000000" w:rsidRPr="00000000" w14:paraId="0000039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Gini metric: measure of total variance; measure of purity of the “node” (bifurcation); see methodology, statistics section. </w:t>
      </w:r>
    </w:p>
    <w:p w:rsidR="00000000" w:rsidDel="00000000" w:rsidP="00000000" w:rsidRDefault="00000000" w:rsidRPr="00000000" w14:paraId="00000397">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9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spacing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Figure S6.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Overall survival according to </w:t>
      </w:r>
      <w:r w:rsidDel="00000000" w:rsidR="00000000" w:rsidRPr="00000000">
        <w:rPr>
          <w:rFonts w:ascii="Times New Roman" w:cs="Times New Roman" w:eastAsia="Times New Roman" w:hAnsi="Times New Roman"/>
          <w:b w:val="1"/>
          <w:i w:val="1"/>
          <w:sz w:val="24"/>
          <w:szCs w:val="24"/>
          <w:rtl w:val="0"/>
        </w:rPr>
        <w:t xml:space="preserve">PHF6</w:t>
      </w:r>
      <w:r w:rsidDel="00000000" w:rsidR="00000000" w:rsidRPr="00000000">
        <w:rPr>
          <w:rFonts w:ascii="Times New Roman" w:cs="Times New Roman" w:eastAsia="Times New Roman" w:hAnsi="Times New Roman"/>
          <w:b w:val="1"/>
          <w:sz w:val="24"/>
          <w:szCs w:val="24"/>
          <w:rtl w:val="0"/>
        </w:rPr>
        <w:t xml:space="preserve"> gene status </w:t>
      </w:r>
      <w:r w:rsidDel="00000000" w:rsidR="00000000" w:rsidRPr="00000000">
        <w:rPr>
          <w:rtl w:val="0"/>
        </w:rPr>
      </w:r>
    </w:p>
    <w:p w:rsidR="00000000" w:rsidDel="00000000" w:rsidP="00000000" w:rsidRDefault="00000000" w:rsidRPr="00000000" w14:paraId="000003A1">
      <w:pP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943600" cy="3200400"/>
            <wp:effectExtent b="0" l="0" r="0" t="0"/>
            <wp:docPr id="27"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A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S7. Progression-free survival according to </w:t>
      </w:r>
      <w:r w:rsidDel="00000000" w:rsidR="00000000" w:rsidRPr="00000000">
        <w:rPr>
          <w:rFonts w:ascii="Times New Roman" w:cs="Times New Roman" w:eastAsia="Times New Roman" w:hAnsi="Times New Roman"/>
          <w:b w:val="1"/>
          <w:i w:val="1"/>
          <w:sz w:val="24"/>
          <w:szCs w:val="24"/>
          <w:rtl w:val="0"/>
        </w:rPr>
        <w:t xml:space="preserve">PHF6</w:t>
      </w:r>
      <w:r w:rsidDel="00000000" w:rsidR="00000000" w:rsidRPr="00000000">
        <w:rPr>
          <w:rFonts w:ascii="Times New Roman" w:cs="Times New Roman" w:eastAsia="Times New Roman" w:hAnsi="Times New Roman"/>
          <w:b w:val="1"/>
          <w:sz w:val="24"/>
          <w:szCs w:val="24"/>
          <w:rtl w:val="0"/>
        </w:rPr>
        <w:t xml:space="preserve"> gene status</w:t>
      </w:r>
    </w:p>
    <w:p w:rsidR="00000000" w:rsidDel="00000000" w:rsidP="00000000" w:rsidRDefault="00000000" w:rsidRPr="00000000" w14:paraId="000003B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F">
      <w:pPr>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5943600" cy="3683000"/>
            <wp:effectExtent b="0" l="0" r="0" t="0"/>
            <wp:docPr id="25"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3C0">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C1">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C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S8. PRISMA. </w:t>
      </w:r>
    </w:p>
    <w:p w:rsidR="00000000" w:rsidDel="00000000" w:rsidP="00000000" w:rsidRDefault="00000000" w:rsidRPr="00000000" w14:paraId="000003C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B">
      <w:pPr>
        <w:spacing w:line="360" w:lineRule="auto"/>
        <w:jc w:val="both"/>
        <w:rPr>
          <w:rFonts w:ascii="Times New Roman" w:cs="Times New Roman" w:eastAsia="Times New Roman" w:hAnsi="Times New Roman"/>
          <w:b w:val="1"/>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C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114300" distR="114300">
                <wp:extent cx="4357929" cy="275666"/>
                <wp:effectExtent b="0" l="0" r="0" t="0"/>
                <wp:docPr id="6" name=""/>
                <a:graphic>
                  <a:graphicData uri="http://schemas.microsoft.com/office/word/2010/wordprocessingShape">
                    <wps:wsp>
                      <wps:cNvSpPr/>
                      <wps:cNvPr id="7" name="Shape 7"/>
                      <wps:spPr>
                        <a:xfrm>
                          <a:off x="3173386" y="3648517"/>
                          <a:ext cx="4345229" cy="262966"/>
                        </a:xfrm>
                        <a:prstGeom prst="flowChartAlternateProcess">
                          <a:avLst/>
                        </a:prstGeom>
                        <a:solidFill>
                          <a:schemeClr val="accent4"/>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Identification of studies via databases and registers</w:t>
                            </w:r>
                          </w:p>
                        </w:txbxContent>
                      </wps:txbx>
                      <wps:bodyPr anchorCtr="0" anchor="ctr" bIns="45700" lIns="91425" spcFirstLastPara="1" rIns="91425" wrap="square" tIns="45700">
                        <a:noAutofit/>
                      </wps:bodyPr>
                    </wps:wsp>
                  </a:graphicData>
                </a:graphic>
              </wp:inline>
            </w:drawing>
          </mc:Choice>
          <mc:Fallback>
            <w:drawing>
              <wp:inline distB="0" distT="0" distL="114300" distR="114300">
                <wp:extent cx="4357929" cy="275666"/>
                <wp:effectExtent b="0" l="0" r="0" t="0"/>
                <wp:docPr id="6"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4357929" cy="275666"/>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4648200</wp:posOffset>
                </wp:positionH>
                <wp:positionV relativeFrom="paragraph">
                  <wp:posOffset>6350</wp:posOffset>
                </wp:positionV>
                <wp:extent cx="4357370" cy="275590"/>
                <wp:effectExtent b="0" l="0" r="0" t="0"/>
                <wp:wrapNone/>
                <wp:docPr id="10" name=""/>
                <a:graphic>
                  <a:graphicData uri="http://schemas.microsoft.com/office/word/2010/wordprocessingShape">
                    <wps:wsp>
                      <wps:cNvSpPr/>
                      <wps:cNvPr id="11" name="Shape 11"/>
                      <wps:spPr>
                        <a:xfrm>
                          <a:off x="3173665" y="3648555"/>
                          <a:ext cx="4344670" cy="262890"/>
                        </a:xfrm>
                        <a:prstGeom prst="flowChartAlternateProcess">
                          <a:avLst/>
                        </a:prstGeom>
                        <a:solidFill>
                          <a:schemeClr val="accent4"/>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Identification of studies via other methods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4648200</wp:posOffset>
                </wp:positionH>
                <wp:positionV relativeFrom="paragraph">
                  <wp:posOffset>6350</wp:posOffset>
                </wp:positionV>
                <wp:extent cx="4357370" cy="275590"/>
                <wp:effectExtent b="0" l="0" r="0" t="0"/>
                <wp:wrapNone/>
                <wp:docPr id="10"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4357370" cy="275590"/>
                        </a:xfrm>
                        <a:prstGeom prst="rect"/>
                        <a:ln/>
                      </pic:spPr>
                    </pic:pic>
                  </a:graphicData>
                </a:graphic>
              </wp:anchor>
            </w:drawing>
          </mc:Fallback>
        </mc:AlternateContent>
      </w:r>
    </w:p>
    <w:p w:rsidR="00000000" w:rsidDel="00000000" w:rsidP="00000000" w:rsidRDefault="00000000" w:rsidRPr="00000000" w14:paraId="000003CD">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45509</wp:posOffset>
                </wp:positionH>
                <wp:positionV relativeFrom="paragraph">
                  <wp:posOffset>56092</wp:posOffset>
                </wp:positionV>
                <wp:extent cx="1899920" cy="1263447"/>
                <wp:effectExtent b="0" l="0" r="0" t="0"/>
                <wp:wrapNone/>
                <wp:docPr id="22" name=""/>
                <a:graphic>
                  <a:graphicData uri="http://schemas.microsoft.com/office/word/2010/wordprocessingShape">
                    <wps:wsp>
                      <wps:cNvSpPr/>
                      <wps:cNvPr id="23" name="Shape 23"/>
                      <wps:spPr>
                        <a:xfrm>
                          <a:off x="4402390" y="3158208"/>
                          <a:ext cx="1887220" cy="1243584"/>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Records identified from:</w:t>
                            </w:r>
                          </w:p>
                          <w:p w:rsidR="00000000" w:rsidDel="00000000" w:rsidP="00000000" w:rsidRDefault="00000000" w:rsidRPr="00000000">
                            <w:pPr>
                              <w:spacing w:after="0" w:before="0" w:line="240"/>
                              <w:ind w:left="283.99999618530273" w:right="0" w:firstLine="283.9999961853027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Cochrane (n = </w:t>
                            </w:r>
                            <w:r w:rsidDel="00000000" w:rsidR="00000000" w:rsidRPr="00000000">
                              <w:rPr>
                                <w:rFonts w:ascii="Arial" w:cs="Arial" w:eastAsia="Arial" w:hAnsi="Arial"/>
                                <w:b w:val="0"/>
                                <w:i w:val="0"/>
                                <w:smallCaps w:val="0"/>
                                <w:strike w:val="0"/>
                                <w:color w:val="000000"/>
                                <w:sz w:val="18"/>
                                <w:vertAlign w:val="baseline"/>
                              </w:rPr>
                              <w:t xml:space="preserve">7</w:t>
                            </w:r>
                            <w:r w:rsidDel="00000000" w:rsidR="00000000" w:rsidRPr="00000000">
                              <w:rPr>
                                <w:rFonts w:ascii="Arial" w:cs="Arial" w:eastAsia="Arial" w:hAnsi="Arial"/>
                                <w:b w:val="0"/>
                                <w:i w:val="0"/>
                                <w:smallCaps w:val="0"/>
                                <w:strike w:val="0"/>
                                <w:color w:val="000000"/>
                                <w:sz w:val="18"/>
                                <w:vertAlign w:val="baseline"/>
                              </w:rPr>
                              <w:t xml:space="preserve">)</w:t>
                            </w:r>
                          </w:p>
                          <w:p w:rsidR="00000000" w:rsidDel="00000000" w:rsidP="00000000" w:rsidRDefault="00000000" w:rsidRPr="00000000">
                            <w:pPr>
                              <w:spacing w:after="0" w:before="0" w:line="240"/>
                              <w:ind w:left="283.99999618530273" w:right="0" w:firstLine="283.9999961853027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Medline (n = </w:t>
                            </w:r>
                            <w:r w:rsidDel="00000000" w:rsidR="00000000" w:rsidRPr="00000000">
                              <w:rPr>
                                <w:rFonts w:ascii="Arial" w:cs="Arial" w:eastAsia="Arial" w:hAnsi="Arial"/>
                                <w:b w:val="0"/>
                                <w:i w:val="0"/>
                                <w:smallCaps w:val="0"/>
                                <w:strike w:val="0"/>
                                <w:color w:val="000000"/>
                                <w:sz w:val="18"/>
                                <w:vertAlign w:val="baseline"/>
                              </w:rPr>
                              <w:t xml:space="preserve">23</w:t>
                            </w:r>
                            <w:r w:rsidDel="00000000" w:rsidR="00000000" w:rsidRPr="00000000">
                              <w:rPr>
                                <w:rFonts w:ascii="Arial" w:cs="Arial" w:eastAsia="Arial" w:hAnsi="Arial"/>
                                <w:b w:val="0"/>
                                <w:i w:val="0"/>
                                <w:smallCaps w:val="0"/>
                                <w:strike w:val="0"/>
                                <w:color w:val="000000"/>
                                <w:sz w:val="18"/>
                                <w:vertAlign w:val="baseline"/>
                              </w:rPr>
                              <w:t xml:space="preserve">)</w:t>
                            </w:r>
                          </w:p>
                          <w:p w:rsidR="00000000" w:rsidDel="00000000" w:rsidP="00000000" w:rsidRDefault="00000000" w:rsidRPr="00000000">
                            <w:pPr>
                              <w:spacing w:after="0" w:before="0" w:line="240"/>
                              <w:ind w:left="283.99999618530273" w:right="0" w:firstLine="283.9999961853027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Embase (n = </w:t>
                            </w:r>
                            <w:r w:rsidDel="00000000" w:rsidR="00000000" w:rsidRPr="00000000">
                              <w:rPr>
                                <w:rFonts w:ascii="Arial" w:cs="Arial" w:eastAsia="Arial" w:hAnsi="Arial"/>
                                <w:b w:val="0"/>
                                <w:i w:val="0"/>
                                <w:smallCaps w:val="0"/>
                                <w:strike w:val="0"/>
                                <w:color w:val="000000"/>
                                <w:sz w:val="18"/>
                                <w:vertAlign w:val="baseline"/>
                              </w:rPr>
                              <w:t xml:space="preserve">62</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45509</wp:posOffset>
                </wp:positionH>
                <wp:positionV relativeFrom="paragraph">
                  <wp:posOffset>56092</wp:posOffset>
                </wp:positionV>
                <wp:extent cx="1899920" cy="1263447"/>
                <wp:effectExtent b="0" l="0" r="0" t="0"/>
                <wp:wrapNone/>
                <wp:docPr id="22" name="image29.png"/>
                <a:graphic>
                  <a:graphicData uri="http://schemas.openxmlformats.org/drawingml/2006/picture">
                    <pic:pic>
                      <pic:nvPicPr>
                        <pic:cNvPr id="0" name="image29.png"/>
                        <pic:cNvPicPr preferRelativeResize="0"/>
                      </pic:nvPicPr>
                      <pic:blipFill>
                        <a:blip r:embed="rId29"/>
                        <a:srcRect/>
                        <a:stretch>
                          <a:fillRect/>
                        </a:stretch>
                      </pic:blipFill>
                      <pic:spPr>
                        <a:xfrm>
                          <a:off x="0" y="0"/>
                          <a:ext cx="1899920" cy="126344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5788025</wp:posOffset>
                </wp:positionH>
                <wp:positionV relativeFrom="paragraph">
                  <wp:posOffset>55935</wp:posOffset>
                </wp:positionV>
                <wp:extent cx="1899920" cy="1263447"/>
                <wp:effectExtent b="0" l="0" r="0" t="0"/>
                <wp:wrapNone/>
                <wp:docPr id="19" name=""/>
                <a:graphic>
                  <a:graphicData uri="http://schemas.microsoft.com/office/word/2010/wordprocessingShape">
                    <wps:wsp>
                      <wps:cNvSpPr/>
                      <wps:cNvPr id="20" name="Shape 20"/>
                      <wps:spPr>
                        <a:xfrm>
                          <a:off x="4402390" y="3158335"/>
                          <a:ext cx="1887220" cy="124333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Records identified from: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Citation searching (n = </w:t>
                            </w:r>
                            <w:r w:rsidDel="00000000" w:rsidR="00000000" w:rsidRPr="00000000">
                              <w:rPr>
                                <w:rFonts w:ascii="Arial" w:cs="Arial" w:eastAsia="Arial" w:hAnsi="Arial"/>
                                <w:b w:val="0"/>
                                <w:i w:val="0"/>
                                <w:smallCaps w:val="0"/>
                                <w:strike w:val="0"/>
                                <w:color w:val="000000"/>
                                <w:sz w:val="18"/>
                                <w:vertAlign w:val="baseline"/>
                              </w:rPr>
                              <w:t xml:space="preserve">0)</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5788025</wp:posOffset>
                </wp:positionH>
                <wp:positionV relativeFrom="paragraph">
                  <wp:posOffset>55935</wp:posOffset>
                </wp:positionV>
                <wp:extent cx="1899920" cy="1263447"/>
                <wp:effectExtent b="0" l="0" r="0" t="0"/>
                <wp:wrapNone/>
                <wp:docPr id="19" name="image25.png"/>
                <a:graphic>
                  <a:graphicData uri="http://schemas.openxmlformats.org/drawingml/2006/picture">
                    <pic:pic>
                      <pic:nvPicPr>
                        <pic:cNvPr id="0" name="image25.png"/>
                        <pic:cNvPicPr preferRelativeResize="0"/>
                      </pic:nvPicPr>
                      <pic:blipFill>
                        <a:blip r:embed="rId29"/>
                        <a:srcRect/>
                        <a:stretch>
                          <a:fillRect/>
                        </a:stretch>
                      </pic:blipFill>
                      <pic:spPr>
                        <a:xfrm>
                          <a:off x="0" y="0"/>
                          <a:ext cx="1899920" cy="126344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2484967</wp:posOffset>
                </wp:positionH>
                <wp:positionV relativeFrom="paragraph">
                  <wp:posOffset>66675</wp:posOffset>
                </wp:positionV>
                <wp:extent cx="1899920" cy="1253947"/>
                <wp:effectExtent b="0" l="0" r="0" t="0"/>
                <wp:wrapNone/>
                <wp:docPr id="7" name=""/>
                <a:graphic>
                  <a:graphicData uri="http://schemas.microsoft.com/office/word/2010/wordprocessingShape">
                    <wps:wsp>
                      <wps:cNvSpPr/>
                      <wps:cNvPr id="8" name="Shape 8"/>
                      <wps:spPr>
                        <a:xfrm>
                          <a:off x="4402390" y="3158501"/>
                          <a:ext cx="1887220" cy="1242999"/>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Records removed </w:t>
                            </w:r>
                            <w:r w:rsidDel="00000000" w:rsidR="00000000" w:rsidRPr="00000000">
                              <w:rPr>
                                <w:rFonts w:ascii="Arial" w:cs="Arial" w:eastAsia="Arial" w:hAnsi="Arial"/>
                                <w:b w:val="0"/>
                                <w:i w:val="1"/>
                                <w:smallCaps w:val="0"/>
                                <w:strike w:val="0"/>
                                <w:color w:val="000000"/>
                                <w:sz w:val="18"/>
                                <w:vertAlign w:val="baseline"/>
                              </w:rPr>
                              <w:t xml:space="preserve">before screening</w:t>
                            </w:r>
                            <w:r w:rsidDel="00000000" w:rsidR="00000000" w:rsidRPr="00000000">
                              <w:rPr>
                                <w:rFonts w:ascii="Arial" w:cs="Arial" w:eastAsia="Arial" w:hAnsi="Arial"/>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Duplicate records removed (n = </w:t>
                            </w:r>
                            <w:r w:rsidDel="00000000" w:rsidR="00000000" w:rsidRPr="00000000">
                              <w:rPr>
                                <w:rFonts w:ascii="Arial" w:cs="Arial" w:eastAsia="Arial" w:hAnsi="Arial"/>
                                <w:b w:val="0"/>
                                <w:i w:val="0"/>
                                <w:smallCaps w:val="0"/>
                                <w:strike w:val="0"/>
                                <w:color w:val="000000"/>
                                <w:sz w:val="18"/>
                                <w:vertAlign w:val="baseline"/>
                              </w:rPr>
                              <w:t xml:space="preserve">18</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2484967</wp:posOffset>
                </wp:positionH>
                <wp:positionV relativeFrom="paragraph">
                  <wp:posOffset>66675</wp:posOffset>
                </wp:positionV>
                <wp:extent cx="1899920" cy="1253947"/>
                <wp:effectExtent b="0" l="0" r="0" t="0"/>
                <wp:wrapNone/>
                <wp:docPr id="7"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1899920" cy="125394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-255057</wp:posOffset>
                </wp:positionH>
                <wp:positionV relativeFrom="paragraph">
                  <wp:posOffset>53099</wp:posOffset>
                </wp:positionV>
                <wp:extent cx="275590" cy="1289685"/>
                <wp:effectExtent b="0" l="0" r="0" t="0"/>
                <wp:wrapNone/>
                <wp:docPr id="15" name=""/>
                <a:graphic>
                  <a:graphicData uri="http://schemas.microsoft.com/office/word/2010/wordprocessingShape">
                    <wps:wsp>
                      <wps:cNvSpPr/>
                      <wps:cNvPr id="16" name="Shape 16"/>
                      <wps:spPr>
                        <a:xfrm rot="-5400000">
                          <a:off x="4707508" y="3648555"/>
                          <a:ext cx="1276985" cy="262890"/>
                        </a:xfrm>
                        <a:prstGeom prst="flowChartAlternateProcess">
                          <a:avLst/>
                        </a:prstGeom>
                        <a:solidFill>
                          <a:srgbClr val="9CC2E5"/>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Identification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-255057</wp:posOffset>
                </wp:positionH>
                <wp:positionV relativeFrom="paragraph">
                  <wp:posOffset>53099</wp:posOffset>
                </wp:positionV>
                <wp:extent cx="275590" cy="1289685"/>
                <wp:effectExtent b="0" l="0" r="0" t="0"/>
                <wp:wrapNone/>
                <wp:docPr id="15" name="image19.png"/>
                <a:graphic>
                  <a:graphicData uri="http://schemas.openxmlformats.org/drawingml/2006/picture">
                    <pic:pic>
                      <pic:nvPicPr>
                        <pic:cNvPr id="0" name="image19.png"/>
                        <pic:cNvPicPr preferRelativeResize="0"/>
                      </pic:nvPicPr>
                      <pic:blipFill>
                        <a:blip r:embed="rId29"/>
                        <a:srcRect/>
                        <a:stretch>
                          <a:fillRect/>
                        </a:stretch>
                      </pic:blipFill>
                      <pic:spPr>
                        <a:xfrm>
                          <a:off x="0" y="0"/>
                          <a:ext cx="275590" cy="1289685"/>
                        </a:xfrm>
                        <a:prstGeom prst="rect"/>
                        <a:ln/>
                      </pic:spPr>
                    </pic:pic>
                  </a:graphicData>
                </a:graphic>
              </wp:anchor>
            </w:drawing>
          </mc:Fallback>
        </mc:AlternateContent>
      </w:r>
    </w:p>
    <w:p w:rsidR="00000000" w:rsidDel="00000000" w:rsidP="00000000" w:rsidRDefault="00000000" w:rsidRPr="00000000" w14:paraId="000003C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1929342</wp:posOffset>
                </wp:positionH>
                <wp:positionV relativeFrom="paragraph">
                  <wp:posOffset>152400</wp:posOffset>
                </wp:positionV>
                <wp:extent cx="563270" cy="25400"/>
                <wp:effectExtent b="0" l="0" r="0" t="0"/>
                <wp:wrapNone/>
                <wp:docPr id="2" name=""/>
                <a:graphic>
                  <a:graphicData uri="http://schemas.microsoft.com/office/word/2010/wordprocessingShape">
                    <wps:wsp>
                      <wps:cNvCnPr/>
                      <wps:spPr>
                        <a:xfrm>
                          <a:off x="5064365" y="3780000"/>
                          <a:ext cx="563270"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1929342</wp:posOffset>
                </wp:positionH>
                <wp:positionV relativeFrom="paragraph">
                  <wp:posOffset>152400</wp:posOffset>
                </wp:positionV>
                <wp:extent cx="563270" cy="25400"/>
                <wp:effectExtent b="0" l="0" r="0" t="0"/>
                <wp:wrapNone/>
                <wp:docPr id="2" name="image6.png"/>
                <a:graphic>
                  <a:graphicData uri="http://schemas.openxmlformats.org/drawingml/2006/picture">
                    <pic:pic>
                      <pic:nvPicPr>
                        <pic:cNvPr id="0" name="image6.png"/>
                        <pic:cNvPicPr preferRelativeResize="0"/>
                      </pic:nvPicPr>
                      <pic:blipFill>
                        <a:blip r:embed="rId29"/>
                        <a:srcRect/>
                        <a:stretch>
                          <a:fillRect/>
                        </a:stretch>
                      </pic:blipFill>
                      <pic:spPr>
                        <a:xfrm>
                          <a:off x="0" y="0"/>
                          <a:ext cx="563270" cy="25400"/>
                        </a:xfrm>
                        <a:prstGeom prst="rect"/>
                        <a:ln/>
                      </pic:spPr>
                    </pic:pic>
                  </a:graphicData>
                </a:graphic>
              </wp:anchor>
            </w:drawing>
          </mc:Fallback>
        </mc:AlternateContent>
      </w:r>
    </w:p>
    <w:p w:rsidR="00000000" w:rsidDel="00000000" w:rsidP="00000000" w:rsidRDefault="00000000" w:rsidRPr="00000000" w14:paraId="000003D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4">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894292</wp:posOffset>
                </wp:positionH>
                <wp:positionV relativeFrom="paragraph">
                  <wp:posOffset>102658</wp:posOffset>
                </wp:positionV>
                <wp:extent cx="25400" cy="281305"/>
                <wp:effectExtent b="0" l="0" r="0" t="0"/>
                <wp:wrapNone/>
                <wp:docPr id="5" name=""/>
                <a:graphic>
                  <a:graphicData uri="http://schemas.microsoft.com/office/word/2010/wordprocessingShape">
                    <wps:wsp>
                      <wps:cNvCnPr/>
                      <wps:spPr>
                        <a:xfrm>
                          <a:off x="5346000" y="3639348"/>
                          <a:ext cx="0" cy="28130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894292</wp:posOffset>
                </wp:positionH>
                <wp:positionV relativeFrom="paragraph">
                  <wp:posOffset>102658</wp:posOffset>
                </wp:positionV>
                <wp:extent cx="25400" cy="281305"/>
                <wp:effectExtent b="0" l="0" r="0" t="0"/>
                <wp:wrapNone/>
                <wp:docPr id="5" name="image9.png"/>
                <a:graphic>
                  <a:graphicData uri="http://schemas.openxmlformats.org/drawingml/2006/picture">
                    <pic:pic>
                      <pic:nvPicPr>
                        <pic:cNvPr id="0" name="image9.png"/>
                        <pic:cNvPicPr preferRelativeResize="0"/>
                      </pic:nvPicPr>
                      <pic:blipFill>
                        <a:blip r:embed="rId29"/>
                        <a:srcRect/>
                        <a:stretch>
                          <a:fillRect/>
                        </a:stretch>
                      </pic:blipFill>
                      <pic:spPr>
                        <a:xfrm>
                          <a:off x="0" y="0"/>
                          <a:ext cx="25400" cy="281305"/>
                        </a:xfrm>
                        <a:prstGeom prst="rect"/>
                        <a:ln/>
                      </pic:spPr>
                    </pic:pic>
                  </a:graphicData>
                </a:graphic>
              </wp:anchor>
            </w:drawing>
          </mc:Fallback>
        </mc:AlternateContent>
      </w:r>
    </w:p>
    <w:p w:rsidR="00000000" w:rsidDel="00000000" w:rsidP="00000000" w:rsidRDefault="00000000" w:rsidRPr="00000000" w14:paraId="000003D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6">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2498725</wp:posOffset>
                </wp:positionH>
                <wp:positionV relativeFrom="paragraph">
                  <wp:posOffset>56092</wp:posOffset>
                </wp:positionV>
                <wp:extent cx="1899920" cy="541477"/>
                <wp:effectExtent b="0" l="0" r="0" t="0"/>
                <wp:wrapNone/>
                <wp:docPr id="16" name=""/>
                <a:graphic>
                  <a:graphicData uri="http://schemas.microsoft.com/office/word/2010/wordprocessingShape">
                    <wps:wsp>
                      <wps:cNvSpPr/>
                      <wps:cNvPr id="17" name="Shape 17"/>
                      <wps:spPr>
                        <a:xfrm>
                          <a:off x="4402390" y="3516793"/>
                          <a:ext cx="1887220" cy="52641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Records excluded for other reasons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(n = </w:t>
                            </w:r>
                            <w:r w:rsidDel="00000000" w:rsidR="00000000" w:rsidRPr="00000000">
                              <w:rPr>
                                <w:rFonts w:ascii="Arial" w:cs="Arial" w:eastAsia="Arial" w:hAnsi="Arial"/>
                                <w:b w:val="0"/>
                                <w:i w:val="0"/>
                                <w:smallCaps w:val="0"/>
                                <w:strike w:val="0"/>
                                <w:color w:val="000000"/>
                                <w:sz w:val="18"/>
                                <w:vertAlign w:val="baseline"/>
                              </w:rPr>
                              <w:t xml:space="preserve">52</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2498725</wp:posOffset>
                </wp:positionH>
                <wp:positionV relativeFrom="paragraph">
                  <wp:posOffset>56092</wp:posOffset>
                </wp:positionV>
                <wp:extent cx="1899920" cy="541477"/>
                <wp:effectExtent b="0" l="0" r="0" t="0"/>
                <wp:wrapNone/>
                <wp:docPr id="16"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1899920" cy="5414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38100</wp:posOffset>
                </wp:positionV>
                <wp:extent cx="275590" cy="2800035"/>
                <wp:effectExtent b="0" l="0" r="0" t="0"/>
                <wp:wrapNone/>
                <wp:docPr id="13" name=""/>
                <a:graphic>
                  <a:graphicData uri="http://schemas.microsoft.com/office/word/2010/wordprocessingShape">
                    <wps:wsp>
                      <wps:cNvSpPr/>
                      <wps:cNvPr id="14" name="Shape 14"/>
                      <wps:spPr>
                        <a:xfrm rot="-5400000">
                          <a:off x="3952333" y="3648555"/>
                          <a:ext cx="2787335" cy="262890"/>
                        </a:xfrm>
                        <a:prstGeom prst="flowChartAlternateProcess">
                          <a:avLst/>
                        </a:prstGeom>
                        <a:solidFill>
                          <a:srgbClr val="9CC2E5"/>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Screening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38100</wp:posOffset>
                </wp:positionV>
                <wp:extent cx="275590" cy="2800035"/>
                <wp:effectExtent b="0" l="0" r="0" t="0"/>
                <wp:wrapNone/>
                <wp:docPr id="13"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275590" cy="2800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45509</wp:posOffset>
                </wp:positionH>
                <wp:positionV relativeFrom="paragraph">
                  <wp:posOffset>56092</wp:posOffset>
                </wp:positionV>
                <wp:extent cx="1899920" cy="541477"/>
                <wp:effectExtent b="0" l="0" r="0" t="0"/>
                <wp:wrapNone/>
                <wp:docPr id="9" name=""/>
                <a:graphic>
                  <a:graphicData uri="http://schemas.microsoft.com/office/word/2010/wordprocessingShape">
                    <wps:wsp>
                      <wps:cNvSpPr/>
                      <wps:cNvPr id="10" name="Shape 10"/>
                      <wps:spPr>
                        <a:xfrm>
                          <a:off x="4402390" y="3516793"/>
                          <a:ext cx="1887220" cy="52641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Records screened at title/abstract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(n = </w:t>
                            </w:r>
                            <w:r w:rsidDel="00000000" w:rsidR="00000000" w:rsidRPr="00000000">
                              <w:rPr>
                                <w:rFonts w:ascii="Arial" w:cs="Arial" w:eastAsia="Arial" w:hAnsi="Arial"/>
                                <w:b w:val="0"/>
                                <w:i w:val="0"/>
                                <w:smallCaps w:val="0"/>
                                <w:strike w:val="0"/>
                                <w:color w:val="000000"/>
                                <w:sz w:val="18"/>
                                <w:vertAlign w:val="baseline"/>
                              </w:rPr>
                              <w:t xml:space="preserve">92</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45509</wp:posOffset>
                </wp:positionH>
                <wp:positionV relativeFrom="paragraph">
                  <wp:posOffset>56092</wp:posOffset>
                </wp:positionV>
                <wp:extent cx="1899920" cy="541477"/>
                <wp:effectExtent b="0" l="0" r="0" t="0"/>
                <wp:wrapNone/>
                <wp:docPr id="9" name="image13.png"/>
                <a:graphic>
                  <a:graphicData uri="http://schemas.openxmlformats.org/drawingml/2006/picture">
                    <pic:pic>
                      <pic:nvPicPr>
                        <pic:cNvPr id="0" name="image13.png"/>
                        <pic:cNvPicPr preferRelativeResize="0"/>
                      </pic:nvPicPr>
                      <pic:blipFill>
                        <a:blip r:embed="rId29"/>
                        <a:srcRect/>
                        <a:stretch>
                          <a:fillRect/>
                        </a:stretch>
                      </pic:blipFill>
                      <pic:spPr>
                        <a:xfrm>
                          <a:off x="0" y="0"/>
                          <a:ext cx="1899920" cy="541477"/>
                        </a:xfrm>
                        <a:prstGeom prst="rect"/>
                        <a:ln/>
                      </pic:spPr>
                    </pic:pic>
                  </a:graphicData>
                </a:graphic>
              </wp:anchor>
            </w:drawing>
          </mc:Fallback>
        </mc:AlternateContent>
      </w:r>
    </w:p>
    <w:p w:rsidR="00000000" w:rsidDel="00000000" w:rsidP="00000000" w:rsidRDefault="00000000" w:rsidRPr="00000000" w14:paraId="000003D7">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1937808</wp:posOffset>
                </wp:positionH>
                <wp:positionV relativeFrom="paragraph">
                  <wp:posOffset>115358</wp:posOffset>
                </wp:positionV>
                <wp:extent cx="563245" cy="25400"/>
                <wp:effectExtent b="0" l="0" r="0" t="0"/>
                <wp:wrapNone/>
                <wp:docPr id="8" name=""/>
                <a:graphic>
                  <a:graphicData uri="http://schemas.microsoft.com/office/word/2010/wordprocessingShape">
                    <wps:wsp>
                      <wps:cNvCnPr/>
                      <wps:spPr>
                        <a:xfrm>
                          <a:off x="5064378" y="3780000"/>
                          <a:ext cx="563245"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1937808</wp:posOffset>
                </wp:positionH>
                <wp:positionV relativeFrom="paragraph">
                  <wp:posOffset>115358</wp:posOffset>
                </wp:positionV>
                <wp:extent cx="563245" cy="25400"/>
                <wp:effectExtent b="0" l="0" r="0" t="0"/>
                <wp:wrapNone/>
                <wp:docPr id="8"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563245" cy="25400"/>
                        </a:xfrm>
                        <a:prstGeom prst="rect"/>
                        <a:ln/>
                      </pic:spPr>
                    </pic:pic>
                  </a:graphicData>
                </a:graphic>
              </wp:anchor>
            </w:drawing>
          </mc:Fallback>
        </mc:AlternateContent>
      </w:r>
    </w:p>
    <w:p w:rsidR="00000000" w:rsidDel="00000000" w:rsidP="00000000" w:rsidRDefault="00000000" w:rsidRPr="00000000" w14:paraId="000003D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9">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894292</wp:posOffset>
                </wp:positionH>
                <wp:positionV relativeFrom="paragraph">
                  <wp:posOffset>75142</wp:posOffset>
                </wp:positionV>
                <wp:extent cx="25400" cy="281305"/>
                <wp:effectExtent b="0" l="0" r="0" t="0"/>
                <wp:wrapNone/>
                <wp:docPr id="14" name=""/>
                <a:graphic>
                  <a:graphicData uri="http://schemas.microsoft.com/office/word/2010/wordprocessingShape">
                    <wps:wsp>
                      <wps:cNvCnPr/>
                      <wps:spPr>
                        <a:xfrm>
                          <a:off x="5346000" y="3639348"/>
                          <a:ext cx="0" cy="28130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894292</wp:posOffset>
                </wp:positionH>
                <wp:positionV relativeFrom="paragraph">
                  <wp:posOffset>75142</wp:posOffset>
                </wp:positionV>
                <wp:extent cx="25400" cy="281305"/>
                <wp:effectExtent b="0" l="0" r="0" t="0"/>
                <wp:wrapNone/>
                <wp:docPr id="14"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25400" cy="281305"/>
                        </a:xfrm>
                        <a:prstGeom prst="rect"/>
                        <a:ln/>
                      </pic:spPr>
                    </pic:pic>
                  </a:graphicData>
                </a:graphic>
              </wp:anchor>
            </w:drawing>
          </mc:Fallback>
        </mc:AlternateContent>
      </w:r>
    </w:p>
    <w:p w:rsidR="00000000" w:rsidDel="00000000" w:rsidP="00000000" w:rsidRDefault="00000000" w:rsidRPr="00000000" w14:paraId="000003D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B">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45509</wp:posOffset>
                </wp:positionH>
                <wp:positionV relativeFrom="paragraph">
                  <wp:posOffset>27517</wp:posOffset>
                </wp:positionV>
                <wp:extent cx="1899920" cy="541477"/>
                <wp:effectExtent b="0" l="0" r="0" t="0"/>
                <wp:wrapNone/>
                <wp:docPr id="1" name=""/>
                <a:graphic>
                  <a:graphicData uri="http://schemas.microsoft.com/office/word/2010/wordprocessingShape">
                    <wps:wsp>
                      <wps:cNvSpPr/>
                      <wps:cNvPr id="2" name="Shape 2"/>
                      <wps:spPr>
                        <a:xfrm>
                          <a:off x="4402390" y="3516793"/>
                          <a:ext cx="1887220" cy="52641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Reports sought for retrieval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(n = </w:t>
                            </w:r>
                            <w:r w:rsidDel="00000000" w:rsidR="00000000" w:rsidRPr="00000000">
                              <w:rPr>
                                <w:rFonts w:ascii="Arial" w:cs="Arial" w:eastAsia="Arial" w:hAnsi="Arial"/>
                                <w:b w:val="0"/>
                                <w:i w:val="0"/>
                                <w:smallCaps w:val="0"/>
                                <w:strike w:val="0"/>
                                <w:color w:val="000000"/>
                                <w:sz w:val="18"/>
                                <w:vertAlign w:val="baseline"/>
                              </w:rPr>
                              <w:t xml:space="preserve">40</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45509</wp:posOffset>
                </wp:positionH>
                <wp:positionV relativeFrom="paragraph">
                  <wp:posOffset>27517</wp:posOffset>
                </wp:positionV>
                <wp:extent cx="1899920" cy="541477"/>
                <wp:effectExtent b="0" l="0" r="0" t="0"/>
                <wp:wrapNone/>
                <wp:docPr id="1"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1899920" cy="5414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2502958</wp:posOffset>
                </wp:positionH>
                <wp:positionV relativeFrom="paragraph">
                  <wp:posOffset>57150</wp:posOffset>
                </wp:positionV>
                <wp:extent cx="1899920" cy="541477"/>
                <wp:effectExtent b="0" l="0" r="0" t="0"/>
                <wp:wrapNone/>
                <wp:docPr id="18" name=""/>
                <a:graphic>
                  <a:graphicData uri="http://schemas.microsoft.com/office/word/2010/wordprocessingShape">
                    <wps:wsp>
                      <wps:cNvSpPr/>
                      <wps:cNvPr id="19" name="Shape 19"/>
                      <wps:spPr>
                        <a:xfrm>
                          <a:off x="4402390" y="3516793"/>
                          <a:ext cx="1887220" cy="52641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Reports not retrieved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(n = </w:t>
                            </w:r>
                            <w:r w:rsidDel="00000000" w:rsidR="00000000" w:rsidRPr="00000000">
                              <w:rPr>
                                <w:rFonts w:ascii="Arial" w:cs="Arial" w:eastAsia="Arial" w:hAnsi="Arial"/>
                                <w:b w:val="0"/>
                                <w:i w:val="0"/>
                                <w:smallCaps w:val="0"/>
                                <w:strike w:val="0"/>
                                <w:color w:val="000000"/>
                                <w:sz w:val="18"/>
                                <w:vertAlign w:val="baseline"/>
                              </w:rPr>
                              <w:t xml:space="preserve">0</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2502958</wp:posOffset>
                </wp:positionH>
                <wp:positionV relativeFrom="paragraph">
                  <wp:posOffset>57150</wp:posOffset>
                </wp:positionV>
                <wp:extent cx="1899920" cy="541477"/>
                <wp:effectExtent b="0" l="0" r="0" t="0"/>
                <wp:wrapNone/>
                <wp:docPr id="18" name="image22.png"/>
                <a:graphic>
                  <a:graphicData uri="http://schemas.openxmlformats.org/drawingml/2006/picture">
                    <pic:pic>
                      <pic:nvPicPr>
                        <pic:cNvPr id="0" name="image22.png"/>
                        <pic:cNvPicPr preferRelativeResize="0"/>
                      </pic:nvPicPr>
                      <pic:blipFill>
                        <a:blip r:embed="rId29"/>
                        <a:srcRect/>
                        <a:stretch>
                          <a:fillRect/>
                        </a:stretch>
                      </pic:blipFill>
                      <pic:spPr>
                        <a:xfrm>
                          <a:off x="0" y="0"/>
                          <a:ext cx="1899920" cy="541477"/>
                        </a:xfrm>
                        <a:prstGeom prst="rect"/>
                        <a:ln/>
                      </pic:spPr>
                    </pic:pic>
                  </a:graphicData>
                </a:graphic>
              </wp:anchor>
            </w:drawing>
          </mc:Fallback>
        </mc:AlternateContent>
      </w:r>
    </w:p>
    <w:p w:rsidR="00000000" w:rsidDel="00000000" w:rsidP="00000000" w:rsidRDefault="00000000" w:rsidRPr="00000000" w14:paraId="000003DC">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1946275</wp:posOffset>
                </wp:positionH>
                <wp:positionV relativeFrom="paragraph">
                  <wp:posOffset>104775</wp:posOffset>
                </wp:positionV>
                <wp:extent cx="563245" cy="25400"/>
                <wp:effectExtent b="0" l="0" r="0" t="0"/>
                <wp:wrapNone/>
                <wp:docPr id="23" name=""/>
                <a:graphic>
                  <a:graphicData uri="http://schemas.microsoft.com/office/word/2010/wordprocessingShape">
                    <wps:wsp>
                      <wps:cNvCnPr/>
                      <wps:spPr>
                        <a:xfrm>
                          <a:off x="5064378" y="3780000"/>
                          <a:ext cx="563245"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1946275</wp:posOffset>
                </wp:positionH>
                <wp:positionV relativeFrom="paragraph">
                  <wp:posOffset>104775</wp:posOffset>
                </wp:positionV>
                <wp:extent cx="563245" cy="25400"/>
                <wp:effectExtent b="0" l="0" r="0" t="0"/>
                <wp:wrapNone/>
                <wp:docPr id="23" name="image30.png"/>
                <a:graphic>
                  <a:graphicData uri="http://schemas.openxmlformats.org/drawingml/2006/picture">
                    <pic:pic>
                      <pic:nvPicPr>
                        <pic:cNvPr id="0" name="image30.png"/>
                        <pic:cNvPicPr preferRelativeResize="0"/>
                      </pic:nvPicPr>
                      <pic:blipFill>
                        <a:blip r:embed="rId29"/>
                        <a:srcRect/>
                        <a:stretch>
                          <a:fillRect/>
                        </a:stretch>
                      </pic:blipFill>
                      <pic:spPr>
                        <a:xfrm>
                          <a:off x="0" y="0"/>
                          <a:ext cx="563245" cy="25400"/>
                        </a:xfrm>
                        <a:prstGeom prst="rect"/>
                        <a:ln/>
                      </pic:spPr>
                    </pic:pic>
                  </a:graphicData>
                </a:graphic>
              </wp:anchor>
            </w:drawing>
          </mc:Fallback>
        </mc:AlternateContent>
      </w:r>
    </w:p>
    <w:p w:rsidR="00000000" w:rsidDel="00000000" w:rsidP="00000000" w:rsidRDefault="00000000" w:rsidRPr="00000000" w14:paraId="000003D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892175</wp:posOffset>
                </wp:positionH>
                <wp:positionV relativeFrom="paragraph">
                  <wp:posOffset>26458</wp:posOffset>
                </wp:positionV>
                <wp:extent cx="25400" cy="281305"/>
                <wp:effectExtent b="0" l="0" r="0" t="0"/>
                <wp:wrapNone/>
                <wp:docPr id="3" name=""/>
                <a:graphic>
                  <a:graphicData uri="http://schemas.microsoft.com/office/word/2010/wordprocessingShape">
                    <wps:wsp>
                      <wps:cNvCnPr/>
                      <wps:spPr>
                        <a:xfrm>
                          <a:off x="5346000" y="3639348"/>
                          <a:ext cx="0" cy="28130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892175</wp:posOffset>
                </wp:positionH>
                <wp:positionV relativeFrom="paragraph">
                  <wp:posOffset>26458</wp:posOffset>
                </wp:positionV>
                <wp:extent cx="25400" cy="281305"/>
                <wp:effectExtent b="0" l="0" r="0" t="0"/>
                <wp:wrapNone/>
                <wp:docPr id="3" name="image7.png"/>
                <a:graphic>
                  <a:graphicData uri="http://schemas.openxmlformats.org/drawingml/2006/picture">
                    <pic:pic>
                      <pic:nvPicPr>
                        <pic:cNvPr id="0" name="image7.png"/>
                        <pic:cNvPicPr preferRelativeResize="0"/>
                      </pic:nvPicPr>
                      <pic:blipFill>
                        <a:blip r:embed="rId29"/>
                        <a:srcRect/>
                        <a:stretch>
                          <a:fillRect/>
                        </a:stretch>
                      </pic:blipFill>
                      <pic:spPr>
                        <a:xfrm>
                          <a:off x="0" y="0"/>
                          <a:ext cx="25400" cy="281305"/>
                        </a:xfrm>
                        <a:prstGeom prst="rect"/>
                        <a:ln/>
                      </pic:spPr>
                    </pic:pic>
                  </a:graphicData>
                </a:graphic>
              </wp:anchor>
            </w:drawing>
          </mc:Fallback>
        </mc:AlternateContent>
      </w:r>
    </w:p>
    <w:p w:rsidR="00000000" w:rsidDel="00000000" w:rsidP="00000000" w:rsidRDefault="00000000" w:rsidRPr="00000000" w14:paraId="000003DF">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45509</wp:posOffset>
                </wp:positionH>
                <wp:positionV relativeFrom="paragraph">
                  <wp:posOffset>164662</wp:posOffset>
                </wp:positionV>
                <wp:extent cx="1899920" cy="541477"/>
                <wp:effectExtent b="0" l="0" r="0" t="0"/>
                <wp:wrapNone/>
                <wp:docPr id="21" name=""/>
                <a:graphic>
                  <a:graphicData uri="http://schemas.microsoft.com/office/word/2010/wordprocessingShape">
                    <wps:wsp>
                      <wps:cNvSpPr/>
                      <wps:cNvPr id="22" name="Shape 22"/>
                      <wps:spPr>
                        <a:xfrm>
                          <a:off x="4402390" y="3516793"/>
                          <a:ext cx="1887220" cy="52641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Reports assessed for eligibility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(n = </w:t>
                            </w:r>
                            <w:r w:rsidDel="00000000" w:rsidR="00000000" w:rsidRPr="00000000">
                              <w:rPr>
                                <w:rFonts w:ascii="Arial" w:cs="Arial" w:eastAsia="Arial" w:hAnsi="Arial"/>
                                <w:b w:val="0"/>
                                <w:i w:val="0"/>
                                <w:smallCaps w:val="0"/>
                                <w:strike w:val="0"/>
                                <w:color w:val="000000"/>
                                <w:sz w:val="18"/>
                                <w:vertAlign w:val="baseline"/>
                              </w:rPr>
                              <w:t xml:space="preserve">40</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45509</wp:posOffset>
                </wp:positionH>
                <wp:positionV relativeFrom="paragraph">
                  <wp:posOffset>164662</wp:posOffset>
                </wp:positionV>
                <wp:extent cx="1899920" cy="541477"/>
                <wp:effectExtent b="0" l="0" r="0" t="0"/>
                <wp:wrapNone/>
                <wp:docPr id="21" name="image28.png"/>
                <a:graphic>
                  <a:graphicData uri="http://schemas.openxmlformats.org/drawingml/2006/picture">
                    <pic:pic>
                      <pic:nvPicPr>
                        <pic:cNvPr id="0" name="image28.png"/>
                        <pic:cNvPicPr preferRelativeResize="0"/>
                      </pic:nvPicPr>
                      <pic:blipFill>
                        <a:blip r:embed="rId29"/>
                        <a:srcRect/>
                        <a:stretch>
                          <a:fillRect/>
                        </a:stretch>
                      </pic:blipFill>
                      <pic:spPr>
                        <a:xfrm>
                          <a:off x="0" y="0"/>
                          <a:ext cx="1899920" cy="5414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2526242</wp:posOffset>
                </wp:positionH>
                <wp:positionV relativeFrom="paragraph">
                  <wp:posOffset>142875</wp:posOffset>
                </wp:positionV>
                <wp:extent cx="1878125" cy="1303189"/>
                <wp:effectExtent b="0" l="0" r="0" t="0"/>
                <wp:wrapNone/>
                <wp:docPr id="20" name=""/>
                <a:graphic>
                  <a:graphicData uri="http://schemas.microsoft.com/office/word/2010/wordprocessingShape">
                    <wps:wsp>
                      <wps:cNvSpPr/>
                      <wps:cNvPr id="21" name="Shape 21"/>
                      <wps:spPr>
                        <a:xfrm>
                          <a:off x="4422991" y="3141733"/>
                          <a:ext cx="1846019" cy="1276534"/>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Reports excluded:</w:t>
                            </w:r>
                          </w:p>
                          <w:p w:rsidR="00000000" w:rsidDel="00000000" w:rsidP="00000000" w:rsidRDefault="00000000" w:rsidRPr="00000000">
                            <w:pPr>
                              <w:spacing w:after="0" w:before="0" w:line="240"/>
                              <w:ind w:left="283.99999618530273" w:right="0" w:firstLine="283.9999961853027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Population not of interest (n = </w:t>
                            </w:r>
                            <w:r w:rsidDel="00000000" w:rsidR="00000000" w:rsidRPr="00000000">
                              <w:rPr>
                                <w:rFonts w:ascii="Arial" w:cs="Arial" w:eastAsia="Arial" w:hAnsi="Arial"/>
                                <w:b w:val="0"/>
                                <w:i w:val="0"/>
                                <w:smallCaps w:val="0"/>
                                <w:strike w:val="0"/>
                                <w:color w:val="000000"/>
                                <w:sz w:val="18"/>
                                <w:vertAlign w:val="baseline"/>
                              </w:rPr>
                              <w:t xml:space="preserve">4</w:t>
                            </w:r>
                            <w:r w:rsidDel="00000000" w:rsidR="00000000" w:rsidRPr="00000000">
                              <w:rPr>
                                <w:rFonts w:ascii="Arial" w:cs="Arial" w:eastAsia="Arial" w:hAnsi="Arial"/>
                                <w:b w:val="0"/>
                                <w:i w:val="0"/>
                                <w:smallCaps w:val="0"/>
                                <w:strike w:val="0"/>
                                <w:color w:val="000000"/>
                                <w:sz w:val="18"/>
                                <w:vertAlign w:val="baseline"/>
                              </w:rPr>
                              <w:t xml:space="preserve">)</w:t>
                            </w:r>
                          </w:p>
                          <w:p w:rsidR="00000000" w:rsidDel="00000000" w:rsidP="00000000" w:rsidRDefault="00000000" w:rsidRPr="00000000">
                            <w:pPr>
                              <w:spacing w:after="0" w:before="0" w:line="240"/>
                              <w:ind w:left="283.99999618530273" w:right="0" w:firstLine="283.9999961853027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Outcome not of interest (n =</w:t>
                            </w:r>
                            <w:r w:rsidDel="00000000" w:rsidR="00000000" w:rsidRPr="00000000">
                              <w:rPr>
                                <w:rFonts w:ascii="Arial" w:cs="Arial" w:eastAsia="Arial" w:hAnsi="Arial"/>
                                <w:b w:val="0"/>
                                <w:i w:val="0"/>
                                <w:smallCaps w:val="0"/>
                                <w:strike w:val="0"/>
                                <w:color w:val="000000"/>
                                <w:sz w:val="18"/>
                                <w:vertAlign w:val="baseline"/>
                              </w:rPr>
                              <w:t xml:space="preserve">9</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2526242</wp:posOffset>
                </wp:positionH>
                <wp:positionV relativeFrom="paragraph">
                  <wp:posOffset>142875</wp:posOffset>
                </wp:positionV>
                <wp:extent cx="1878125" cy="1303189"/>
                <wp:effectExtent b="0" l="0" r="0" t="0"/>
                <wp:wrapNone/>
                <wp:docPr id="20" name="image27.png"/>
                <a:graphic>
                  <a:graphicData uri="http://schemas.openxmlformats.org/drawingml/2006/picture">
                    <pic:pic>
                      <pic:nvPicPr>
                        <pic:cNvPr id="0" name="image27.png"/>
                        <pic:cNvPicPr preferRelativeResize="0"/>
                      </pic:nvPicPr>
                      <pic:blipFill>
                        <a:blip r:embed="rId29"/>
                        <a:srcRect/>
                        <a:stretch>
                          <a:fillRect/>
                        </a:stretch>
                      </pic:blipFill>
                      <pic:spPr>
                        <a:xfrm>
                          <a:off x="0" y="0"/>
                          <a:ext cx="1878125" cy="1303189"/>
                        </a:xfrm>
                        <a:prstGeom prst="rect"/>
                        <a:ln/>
                      </pic:spPr>
                    </pic:pic>
                  </a:graphicData>
                </a:graphic>
              </wp:anchor>
            </w:drawing>
          </mc:Fallback>
        </mc:AlternateContent>
      </w:r>
    </w:p>
    <w:p w:rsidR="00000000" w:rsidDel="00000000" w:rsidP="00000000" w:rsidRDefault="00000000" w:rsidRPr="00000000" w14:paraId="000003E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1954742</wp:posOffset>
                </wp:positionH>
                <wp:positionV relativeFrom="paragraph">
                  <wp:posOffset>57150</wp:posOffset>
                </wp:positionV>
                <wp:extent cx="563245" cy="25400"/>
                <wp:effectExtent b="0" l="0" r="0" t="0"/>
                <wp:wrapNone/>
                <wp:docPr id="12" name=""/>
                <a:graphic>
                  <a:graphicData uri="http://schemas.microsoft.com/office/word/2010/wordprocessingShape">
                    <wps:wsp>
                      <wps:cNvCnPr/>
                      <wps:spPr>
                        <a:xfrm>
                          <a:off x="5064378" y="3780000"/>
                          <a:ext cx="563245"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1954742</wp:posOffset>
                </wp:positionH>
                <wp:positionV relativeFrom="paragraph">
                  <wp:posOffset>57150</wp:posOffset>
                </wp:positionV>
                <wp:extent cx="563245" cy="25400"/>
                <wp:effectExtent b="0" l="0" r="0" t="0"/>
                <wp:wrapNone/>
                <wp:docPr id="12"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563245" cy="25400"/>
                        </a:xfrm>
                        <a:prstGeom prst="rect"/>
                        <a:ln/>
                      </pic:spPr>
                    </pic:pic>
                  </a:graphicData>
                </a:graphic>
              </wp:anchor>
            </w:drawing>
          </mc:Fallback>
        </mc:AlternateContent>
      </w:r>
    </w:p>
    <w:p w:rsidR="00000000" w:rsidDel="00000000" w:rsidP="00000000" w:rsidRDefault="00000000" w:rsidRPr="00000000" w14:paraId="000003E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3">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904875</wp:posOffset>
                </wp:positionH>
                <wp:positionV relativeFrom="paragraph">
                  <wp:posOffset>7408</wp:posOffset>
                </wp:positionV>
                <wp:extent cx="25400" cy="746151"/>
                <wp:effectExtent b="0" l="0" r="0" t="0"/>
                <wp:wrapNone/>
                <wp:docPr id="11" name=""/>
                <a:graphic>
                  <a:graphicData uri="http://schemas.microsoft.com/office/word/2010/wordprocessingShape">
                    <wps:wsp>
                      <wps:cNvCnPr/>
                      <wps:spPr>
                        <a:xfrm>
                          <a:off x="5346000" y="3406925"/>
                          <a:ext cx="0" cy="746151"/>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904875</wp:posOffset>
                </wp:positionH>
                <wp:positionV relativeFrom="paragraph">
                  <wp:posOffset>7408</wp:posOffset>
                </wp:positionV>
                <wp:extent cx="25400" cy="746151"/>
                <wp:effectExtent b="0" l="0" r="0" t="0"/>
                <wp:wrapNone/>
                <wp:docPr id="11"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25400" cy="746151"/>
                        </a:xfrm>
                        <a:prstGeom prst="rect"/>
                        <a:ln/>
                      </pic:spPr>
                    </pic:pic>
                  </a:graphicData>
                </a:graphic>
              </wp:anchor>
            </w:drawing>
          </mc:Fallback>
        </mc:AlternateContent>
      </w:r>
    </w:p>
    <w:p w:rsidR="00000000" w:rsidDel="00000000" w:rsidP="00000000" w:rsidRDefault="00000000" w:rsidRPr="00000000" w14:paraId="000003E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E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7">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67295</wp:posOffset>
                </wp:positionV>
                <wp:extent cx="275590" cy="776923"/>
                <wp:effectExtent b="0" l="0" r="0" t="0"/>
                <wp:wrapNone/>
                <wp:docPr id="17" name=""/>
                <a:graphic>
                  <a:graphicData uri="http://schemas.microsoft.com/office/word/2010/wordprocessingShape">
                    <wps:wsp>
                      <wps:cNvSpPr/>
                      <wps:cNvPr id="18" name="Shape 18"/>
                      <wps:spPr>
                        <a:xfrm rot="-5400000">
                          <a:off x="4963889" y="3648555"/>
                          <a:ext cx="764223" cy="262890"/>
                        </a:xfrm>
                        <a:prstGeom prst="flowChartAlternateProcess">
                          <a:avLst/>
                        </a:prstGeom>
                        <a:solidFill>
                          <a:srgbClr val="9CC2E5"/>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Included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67295</wp:posOffset>
                </wp:positionV>
                <wp:extent cx="275590" cy="776923"/>
                <wp:effectExtent b="0" l="0" r="0" t="0"/>
                <wp:wrapNone/>
                <wp:docPr id="17" name="image21.png"/>
                <a:graphic>
                  <a:graphicData uri="http://schemas.openxmlformats.org/drawingml/2006/picture">
                    <pic:pic>
                      <pic:nvPicPr>
                        <pic:cNvPr id="0" name="image21.png"/>
                        <pic:cNvPicPr preferRelativeResize="0"/>
                      </pic:nvPicPr>
                      <pic:blipFill>
                        <a:blip r:embed="rId29"/>
                        <a:srcRect/>
                        <a:stretch>
                          <a:fillRect/>
                        </a:stretch>
                      </pic:blipFill>
                      <pic:spPr>
                        <a:xfrm>
                          <a:off x="0" y="0"/>
                          <a:ext cx="275590" cy="7769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57151</wp:posOffset>
                </wp:positionH>
                <wp:positionV relativeFrom="paragraph">
                  <wp:posOffset>83608</wp:posOffset>
                </wp:positionV>
                <wp:extent cx="1899920" cy="740969"/>
                <wp:effectExtent b="0" l="0" r="0" t="0"/>
                <wp:wrapNone/>
                <wp:docPr id="4" name=""/>
                <a:graphic>
                  <a:graphicData uri="http://schemas.microsoft.com/office/word/2010/wordprocessingShape">
                    <wps:wsp>
                      <wps:cNvSpPr/>
                      <wps:cNvPr id="5" name="Shape 5"/>
                      <wps:spPr>
                        <a:xfrm>
                          <a:off x="4402390" y="3418050"/>
                          <a:ext cx="1887220" cy="7239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Studies included in review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(n = </w:t>
                            </w:r>
                            <w:r w:rsidDel="00000000" w:rsidR="00000000" w:rsidRPr="00000000">
                              <w:rPr>
                                <w:rFonts w:ascii="Arial" w:cs="Arial" w:eastAsia="Arial" w:hAnsi="Arial"/>
                                <w:b w:val="0"/>
                                <w:i w:val="0"/>
                                <w:smallCaps w:val="0"/>
                                <w:strike w:val="0"/>
                                <w:color w:val="000000"/>
                                <w:sz w:val="18"/>
                                <w:vertAlign w:val="baseline"/>
                              </w:rPr>
                              <w:t xml:space="preserve">27</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57151</wp:posOffset>
                </wp:positionH>
                <wp:positionV relativeFrom="paragraph">
                  <wp:posOffset>83608</wp:posOffset>
                </wp:positionV>
                <wp:extent cx="1899920" cy="740969"/>
                <wp:effectExtent b="0" l="0" r="0" t="0"/>
                <wp:wrapNone/>
                <wp:docPr id="4" name="image8.png"/>
                <a:graphic>
                  <a:graphicData uri="http://schemas.openxmlformats.org/drawingml/2006/picture">
                    <pic:pic>
                      <pic:nvPicPr>
                        <pic:cNvPr id="0" name="image8.png"/>
                        <pic:cNvPicPr preferRelativeResize="0"/>
                      </pic:nvPicPr>
                      <pic:blipFill>
                        <a:blip r:embed="rId29"/>
                        <a:srcRect/>
                        <a:stretch>
                          <a:fillRect/>
                        </a:stretch>
                      </pic:blipFill>
                      <pic:spPr>
                        <a:xfrm>
                          <a:off x="0" y="0"/>
                          <a:ext cx="1899920" cy="740969"/>
                        </a:xfrm>
                        <a:prstGeom prst="rect"/>
                        <a:ln/>
                      </pic:spPr>
                    </pic:pic>
                  </a:graphicData>
                </a:graphic>
              </wp:anchor>
            </w:drawing>
          </mc:Fallback>
        </mc:AlternateContent>
      </w:r>
    </w:p>
    <w:p w:rsidR="00000000" w:rsidDel="00000000" w:rsidP="00000000" w:rsidRDefault="00000000" w:rsidRPr="00000000" w14:paraId="000003E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B">
      <w:pPr>
        <w:widowControl w:val="0"/>
        <w:spacing w:before="12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C">
      <w:pPr>
        <w:widowControl w:val="0"/>
        <w:spacing w:before="120" w:line="240" w:lineRule="auto"/>
        <w:rPr>
          <w:color w:val="333399"/>
          <w:sz w:val="18"/>
          <w:szCs w:val="18"/>
        </w:rPr>
      </w:pPr>
      <w:r w:rsidDel="00000000" w:rsidR="00000000" w:rsidRPr="00000000">
        <w:rPr>
          <w:i w:val="1"/>
          <w:sz w:val="18"/>
          <w:szCs w:val="18"/>
          <w:rtl w:val="0"/>
        </w:rPr>
        <w:t xml:space="preserve">From: </w:t>
      </w:r>
      <w:r w:rsidDel="00000000" w:rsidR="00000000" w:rsidRPr="00000000">
        <w:rPr>
          <w:sz w:val="18"/>
          <w:szCs w:val="18"/>
          <w:rtl w:val="0"/>
        </w:rPr>
        <w:t xml:space="preserve"> Page MJ, McKenzie JE, Bossuyt PM, Boutron I, Hoffmann TC, Mulrow CD, et al. The PRISMA 2020 statement: an updated guideline for reporting systematic reviews. BMJ 2021;372: n71.  </w:t>
      </w:r>
      <w:hyperlink r:id="rId30">
        <w:r w:rsidDel="00000000" w:rsidR="00000000" w:rsidRPr="00000000">
          <w:rPr>
            <w:color w:val="0563c1"/>
            <w:sz w:val="18"/>
            <w:szCs w:val="18"/>
            <w:u w:val="single"/>
            <w:rtl w:val="0"/>
          </w:rPr>
          <w:t xml:space="preserve">https://doi.org/10.1136/bmj.n71</w:t>
        </w:r>
      </w:hyperlink>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3ED">
      <w:pPr>
        <w:widowControl w:val="0"/>
        <w:spacing w:before="120" w:line="240" w:lineRule="auto"/>
        <w:rPr>
          <w:rFonts w:ascii="Times New Roman" w:cs="Times New Roman" w:eastAsia="Times New Roman" w:hAnsi="Times New Roman"/>
          <w:b w:val="1"/>
          <w:sz w:val="24"/>
          <w:szCs w:val="24"/>
        </w:rPr>
      </w:pPr>
      <w:r w:rsidDel="00000000" w:rsidR="00000000" w:rsidRPr="00000000">
        <w:rPr>
          <w:sz w:val="18"/>
          <w:szCs w:val="18"/>
          <w:rtl w:val="0"/>
        </w:rPr>
        <w:t xml:space="preserve"> </w:t>
      </w: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cPr>
      <w:shd w:fill="ffffff" w:val="clear"/>
    </w:tcPr>
  </w:style>
  <w:style w:type="table" w:styleId="Table3">
    <w:basedOn w:val="TableNormal"/>
    <w:tblPr>
      <w:tblStyleRowBandSize w:val="1"/>
      <w:tblStyleColBandSize w:val="1"/>
      <w:tblCellMar/>
    </w:tblPr>
    <w:tcPr>
      <w:shd w:fill="ffffff" w:val="clear"/>
    </w:tcPr>
  </w:style>
  <w:style w:type="table" w:styleId="Table4">
    <w:basedOn w:val="TableNormal"/>
    <w:tblPr>
      <w:tblStyleRowBandSize w:val="1"/>
      <w:tblStyleColBandSize w:val="1"/>
      <w:tblCellMar/>
    </w:tblPr>
    <w:tcPr>
      <w:shd w:fill="ffffff" w:val="clear"/>
    </w:tcPr>
  </w:style>
  <w:style w:type="table" w:styleId="Table5">
    <w:basedOn w:val="TableNormal"/>
    <w:tblPr>
      <w:tblStyleRowBandSize w:val="1"/>
      <w:tblStyleColBandSize w:val="1"/>
      <w:tblCellMar/>
    </w:tblPr>
    <w:tcPr>
      <w:shd w:fill="ffffff" w:val="clear"/>
    </w:tcPr>
  </w:style>
  <w:style w:type="table" w:styleId="Table6">
    <w:basedOn w:val="TableNormal"/>
    <w:tblPr>
      <w:tblStyleRowBandSize w:val="1"/>
      <w:tblStyleColBandSize w:val="1"/>
      <w:tblCellMar/>
    </w:tblPr>
    <w:tcPr>
      <w:shd w:fill="ffffff" w:val="clear"/>
    </w:tcPr>
  </w:style>
  <w:style w:type="table" w:styleId="Table7">
    <w:basedOn w:val="TableNormal"/>
    <w:tblPr>
      <w:tblStyleRowBandSize w:val="1"/>
      <w:tblStyleColBandSize w:val="1"/>
      <w:tblCellMar/>
    </w:tblPr>
    <w:tcPr>
      <w:shd w:fill="ffffff" w:val="clear"/>
    </w:tcPr>
  </w:style>
  <w:style w:type="table" w:styleId="Table8">
    <w:basedOn w:val="TableNormal"/>
    <w:tblPr>
      <w:tblStyleRowBandSize w:val="1"/>
      <w:tblStyleColBandSize w:val="1"/>
      <w:tblCellMar/>
    </w:tblPr>
    <w:tcPr>
      <w:shd w:fill="ffffff" w:val="clear"/>
    </w:tcPr>
  </w:style>
  <w:style w:type="table" w:styleId="Table9">
    <w:basedOn w:val="TableNormal"/>
    <w:tblPr>
      <w:tblStyleRowBandSize w:val="1"/>
      <w:tblStyleColBandSize w:val="1"/>
      <w:tblCellMar/>
    </w:tblPr>
    <w:tcPr>
      <w:shd w:fill="ffffff" w:val="clear"/>
    </w:tcPr>
  </w:style>
  <w:style w:type="table" w:styleId="Table10">
    <w:basedOn w:val="TableNormal"/>
    <w:tblPr>
      <w:tblStyleRowBandSize w:val="1"/>
      <w:tblStyleColBandSize w:val="1"/>
      <w:tblCellMar/>
    </w:tblPr>
    <w:tcPr>
      <w:shd w:fill="ffffff" w:val="clear"/>
    </w:tcPr>
  </w:style>
  <w:style w:type="table" w:styleId="Table11">
    <w:basedOn w:val="TableNormal"/>
    <w:tblPr>
      <w:tblStyleRowBandSize w:val="1"/>
      <w:tblStyleColBandSize w:val="1"/>
      <w:tblCellMar/>
    </w:tblPr>
    <w:tcPr>
      <w:shd w:fill="ffffff" w:val="clear"/>
    </w:tcPr>
  </w:style>
  <w:style w:type="table" w:styleId="Table12">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182/blood-2024-204004" TargetMode="External"/><Relationship Id="rId22" Type="http://schemas.openxmlformats.org/officeDocument/2006/relationships/footer" Target="footer1.xml"/><Relationship Id="rId21" Type="http://schemas.openxmlformats.org/officeDocument/2006/relationships/image" Target="media/image3.png"/><Relationship Id="rId24" Type="http://schemas.openxmlformats.org/officeDocument/2006/relationships/image" Target="media/image23.png"/><Relationship Id="rId23"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182/blood.V128.22.297.297" TargetMode="External"/><Relationship Id="rId26" Type="http://schemas.openxmlformats.org/officeDocument/2006/relationships/image" Target="media/image4.png"/><Relationship Id="rId25" Type="http://schemas.openxmlformats.org/officeDocument/2006/relationships/image" Target="media/image24.png"/><Relationship Id="rId28" Type="http://schemas.openxmlformats.org/officeDocument/2006/relationships/image" Target="media/image2.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r-project.org/" TargetMode="External"/><Relationship Id="rId29" Type="http://schemas.openxmlformats.org/officeDocument/2006/relationships/image" Target="media/image10.png"/><Relationship Id="rId7" Type="http://schemas.openxmlformats.org/officeDocument/2006/relationships/hyperlink" Target="https://doi.org/10.1182/blood.V122.21.659.659" TargetMode="External"/><Relationship Id="rId8" Type="http://schemas.openxmlformats.org/officeDocument/2006/relationships/hyperlink" Target="https://doi.org/10.1182/blood.V126.23.912.912" TargetMode="External"/><Relationship Id="rId30" Type="http://schemas.openxmlformats.org/officeDocument/2006/relationships/hyperlink" Target="https://doi.org/10.1136/bmj.n71" TargetMode="External"/><Relationship Id="rId11" Type="http://schemas.openxmlformats.org/officeDocument/2006/relationships/hyperlink" Target="https://doi.org/10.1182/blood.V130.Suppl_1.4245.4245" TargetMode="External"/><Relationship Id="rId10" Type="http://schemas.openxmlformats.org/officeDocument/2006/relationships/hyperlink" Target="https://doi.org/10.1182/blood.V126.23.711.711" TargetMode="External"/><Relationship Id="rId13" Type="http://schemas.openxmlformats.org/officeDocument/2006/relationships/hyperlink" Target="https://doi.org/10.1182/blood-2020-134300" TargetMode="External"/><Relationship Id="rId12" Type="http://schemas.openxmlformats.org/officeDocument/2006/relationships/hyperlink" Target="https://doi.org/10.1182/blood.V130.Suppl_1.1384.1384" TargetMode="External"/><Relationship Id="rId15" Type="http://schemas.openxmlformats.org/officeDocument/2006/relationships/hyperlink" Target="https://doi.org/10.1182/blood-2022-169397" TargetMode="External"/><Relationship Id="rId14" Type="http://schemas.openxmlformats.org/officeDocument/2006/relationships/hyperlink" Target="https://doi.org/10.1182/blood-2021-149708" TargetMode="External"/><Relationship Id="rId17" Type="http://schemas.openxmlformats.org/officeDocument/2006/relationships/hyperlink" Target="https://doi.org/10.1038/s41379-022-01041-7" TargetMode="External"/><Relationship Id="rId16" Type="http://schemas.openxmlformats.org/officeDocument/2006/relationships/hyperlink" Target="https://doi.org/10.1038/s41379-022-01041-7" TargetMode="External"/><Relationship Id="rId19" Type="http://schemas.openxmlformats.org/officeDocument/2006/relationships/hyperlink" Target="https://doi.org/10.1182/blood-2024-206758" TargetMode="External"/><Relationship Id="rId18" Type="http://schemas.openxmlformats.org/officeDocument/2006/relationships/hyperlink" Target="https://doi.org/10.1182/blood-2024-21063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