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198D4E" w14:textId="77777777" w:rsidR="00257D5B" w:rsidRDefault="00257D5B" w:rsidP="00257D5B">
      <w:pPr>
        <w:spacing w:line="276" w:lineRule="auto"/>
        <w:contextualSpacing/>
        <w:jc w:val="center"/>
        <w:rPr>
          <w:b/>
          <w:bCs/>
          <w:sz w:val="28"/>
          <w:szCs w:val="28"/>
        </w:rPr>
      </w:pPr>
      <w:r w:rsidRPr="00EE2C44">
        <w:rPr>
          <w:b/>
          <w:bCs/>
          <w:sz w:val="28"/>
          <w:szCs w:val="28"/>
        </w:rPr>
        <w:t>BGC-Argo float reveals regime shifts in nitrogen</w:t>
      </w:r>
      <w:r>
        <w:rPr>
          <w:b/>
          <w:bCs/>
          <w:sz w:val="28"/>
          <w:szCs w:val="28"/>
        </w:rPr>
        <w:t>-</w:t>
      </w:r>
      <w:r w:rsidRPr="00EE2C44">
        <w:rPr>
          <w:b/>
          <w:bCs/>
          <w:sz w:val="28"/>
          <w:szCs w:val="28"/>
        </w:rPr>
        <w:t>carbon cycling in an oxygen-deficient zone</w:t>
      </w:r>
    </w:p>
    <w:p w14:paraId="3B9DEE60" w14:textId="77777777" w:rsidR="005E6193" w:rsidRDefault="005E6193" w:rsidP="005E6193"/>
    <w:p w14:paraId="4A451BF8" w14:textId="7A5205BD" w:rsidR="005E6193" w:rsidRPr="004774E7" w:rsidRDefault="2C8D6BA3" w:rsidP="462ECE8F">
      <w:pPr>
        <w:spacing w:line="240" w:lineRule="auto"/>
        <w:contextualSpacing/>
        <w:rPr>
          <w:rFonts w:ascii="Arial" w:hAnsi="Arial" w:cs="Arial"/>
          <w:color w:val="000000" w:themeColor="text1"/>
          <w:vertAlign w:val="superscript"/>
        </w:rPr>
      </w:pPr>
      <w:r w:rsidRPr="462ECE8F">
        <w:rPr>
          <w:rFonts w:ascii="Arial" w:hAnsi="Arial" w:cs="Arial"/>
          <w:color w:val="000000" w:themeColor="text1"/>
        </w:rPr>
        <w:t>Mariana Bif</w:t>
      </w:r>
      <w:r w:rsidRPr="462ECE8F">
        <w:rPr>
          <w:rFonts w:ascii="Arial" w:hAnsi="Arial" w:cs="Arial"/>
          <w:color w:val="000000" w:themeColor="text1"/>
          <w:vertAlign w:val="superscript"/>
        </w:rPr>
        <w:t>1</w:t>
      </w:r>
      <w:r w:rsidRPr="462ECE8F">
        <w:rPr>
          <w:rFonts w:ascii="Arial" w:hAnsi="Arial" w:cs="Arial"/>
          <w:color w:val="000000" w:themeColor="text1"/>
        </w:rPr>
        <w:t>, Colette Kelly</w:t>
      </w:r>
      <w:r w:rsidRPr="462ECE8F">
        <w:rPr>
          <w:rFonts w:ascii="Arial" w:hAnsi="Arial" w:cs="Arial"/>
          <w:color w:val="000000" w:themeColor="text1"/>
          <w:vertAlign w:val="superscript"/>
        </w:rPr>
        <w:t>2</w:t>
      </w:r>
      <w:r w:rsidRPr="462ECE8F">
        <w:rPr>
          <w:rFonts w:ascii="Arial" w:hAnsi="Arial" w:cs="Arial"/>
          <w:color w:val="000000" w:themeColor="text1"/>
        </w:rPr>
        <w:t>, Mark Altabet</w:t>
      </w:r>
      <w:r w:rsidRPr="462ECE8F">
        <w:rPr>
          <w:rFonts w:ascii="Arial" w:hAnsi="Arial" w:cs="Arial"/>
          <w:color w:val="000000" w:themeColor="text1"/>
          <w:vertAlign w:val="superscript"/>
        </w:rPr>
        <w:t>3</w:t>
      </w:r>
      <w:r w:rsidRPr="462ECE8F">
        <w:rPr>
          <w:rFonts w:ascii="Arial" w:hAnsi="Arial" w:cs="Arial"/>
          <w:color w:val="000000" w:themeColor="text1"/>
        </w:rPr>
        <w:t>, Annie Bourbonnais</w:t>
      </w:r>
      <w:r w:rsidRPr="462ECE8F">
        <w:rPr>
          <w:rFonts w:ascii="Arial" w:hAnsi="Arial" w:cs="Arial"/>
          <w:color w:val="000000" w:themeColor="text1"/>
          <w:vertAlign w:val="superscript"/>
        </w:rPr>
        <w:t>4</w:t>
      </w:r>
      <w:r w:rsidRPr="462ECE8F">
        <w:rPr>
          <w:rFonts w:ascii="Arial" w:hAnsi="Arial" w:cs="Arial"/>
          <w:color w:val="000000" w:themeColor="text1"/>
        </w:rPr>
        <w:t>, Claire Elbon</w:t>
      </w:r>
      <w:r w:rsidRPr="462ECE8F">
        <w:rPr>
          <w:rFonts w:ascii="Arial" w:hAnsi="Arial" w:cs="Arial"/>
          <w:color w:val="000000" w:themeColor="text1"/>
          <w:vertAlign w:val="superscript"/>
        </w:rPr>
        <w:t>5</w:t>
      </w:r>
      <w:r w:rsidRPr="462ECE8F">
        <w:rPr>
          <w:rFonts w:ascii="Arial" w:hAnsi="Arial" w:cs="Arial"/>
          <w:color w:val="000000" w:themeColor="text1"/>
        </w:rPr>
        <w:t>, Edgart Flores</w:t>
      </w:r>
      <w:r w:rsidRPr="462ECE8F">
        <w:rPr>
          <w:rFonts w:ascii="Arial" w:hAnsi="Arial" w:cs="Arial"/>
          <w:color w:val="000000" w:themeColor="text1"/>
          <w:vertAlign w:val="superscript"/>
        </w:rPr>
        <w:t>6</w:t>
      </w:r>
      <w:r w:rsidRPr="462ECE8F">
        <w:rPr>
          <w:rFonts w:ascii="Arial" w:hAnsi="Arial" w:cs="Arial"/>
          <w:color w:val="000000" w:themeColor="text1"/>
        </w:rPr>
        <w:t>, Alanna Mnich</w:t>
      </w:r>
      <w:r w:rsidRPr="462ECE8F">
        <w:rPr>
          <w:rFonts w:ascii="Arial" w:hAnsi="Arial" w:cs="Arial"/>
          <w:color w:val="000000" w:themeColor="text1"/>
          <w:vertAlign w:val="superscript"/>
        </w:rPr>
        <w:t>3</w:t>
      </w:r>
      <w:r w:rsidRPr="462ECE8F">
        <w:rPr>
          <w:rFonts w:ascii="Arial" w:hAnsi="Arial" w:cs="Arial"/>
          <w:color w:val="000000" w:themeColor="text1"/>
        </w:rPr>
        <w:t>, Josh Plant</w:t>
      </w:r>
      <w:r w:rsidRPr="462ECE8F">
        <w:rPr>
          <w:rFonts w:ascii="Arial" w:hAnsi="Arial" w:cs="Arial"/>
          <w:color w:val="000000" w:themeColor="text1"/>
          <w:vertAlign w:val="superscript"/>
        </w:rPr>
        <w:t>7</w:t>
      </w:r>
      <w:r w:rsidR="248A1451" w:rsidRPr="462ECE8F">
        <w:rPr>
          <w:rFonts w:ascii="Arial" w:hAnsi="Arial" w:cs="Arial"/>
          <w:color w:val="000000" w:themeColor="text1"/>
        </w:rPr>
        <w:t xml:space="preserve">, Kenneth </w:t>
      </w:r>
      <w:r w:rsidR="08EBC7BA" w:rsidRPr="462ECE8F">
        <w:rPr>
          <w:rFonts w:ascii="Arial" w:hAnsi="Arial" w:cs="Arial"/>
          <w:color w:val="000000" w:themeColor="text1"/>
        </w:rPr>
        <w:t xml:space="preserve">S. </w:t>
      </w:r>
      <w:r w:rsidR="248A1451" w:rsidRPr="462ECE8F">
        <w:rPr>
          <w:rFonts w:ascii="Arial" w:hAnsi="Arial" w:cs="Arial"/>
          <w:color w:val="000000" w:themeColor="text1"/>
        </w:rPr>
        <w:t>Johnson</w:t>
      </w:r>
      <w:r w:rsidR="248A1451" w:rsidRPr="462ECE8F">
        <w:rPr>
          <w:rFonts w:ascii="Arial" w:hAnsi="Arial" w:cs="Arial"/>
          <w:color w:val="000000" w:themeColor="text1"/>
          <w:vertAlign w:val="superscript"/>
        </w:rPr>
        <w:t>7</w:t>
      </w:r>
    </w:p>
    <w:p w14:paraId="584ED39B" w14:textId="77777777" w:rsidR="005E6193" w:rsidRPr="004774E7" w:rsidRDefault="005E6193" w:rsidP="005E6193">
      <w:pPr>
        <w:spacing w:line="240" w:lineRule="auto"/>
        <w:contextualSpacing/>
        <w:rPr>
          <w:rFonts w:ascii="Arial" w:hAnsi="Arial" w:cs="Arial"/>
          <w:color w:val="000000" w:themeColor="text1"/>
        </w:rPr>
      </w:pPr>
      <w:r w:rsidRPr="004774E7">
        <w:rPr>
          <w:rFonts w:ascii="Arial" w:hAnsi="Arial" w:cs="Arial"/>
          <w:color w:val="000000" w:themeColor="text1"/>
        </w:rPr>
        <w:t> </w:t>
      </w:r>
    </w:p>
    <w:p w14:paraId="6318CB55" w14:textId="77777777" w:rsidR="005E6193" w:rsidRPr="004774E7" w:rsidRDefault="005E6193" w:rsidP="005E6193">
      <w:pPr>
        <w:spacing w:line="240" w:lineRule="auto"/>
        <w:contextualSpacing/>
        <w:rPr>
          <w:rFonts w:ascii="Arial" w:hAnsi="Arial" w:cs="Arial"/>
          <w:color w:val="000000" w:themeColor="text1"/>
          <w:sz w:val="22"/>
          <w:szCs w:val="22"/>
        </w:rPr>
      </w:pPr>
      <w:r w:rsidRPr="004774E7">
        <w:rPr>
          <w:rFonts w:ascii="Arial" w:hAnsi="Arial" w:cs="Arial"/>
          <w:color w:val="000000" w:themeColor="text1"/>
          <w:sz w:val="22"/>
          <w:szCs w:val="22"/>
          <w:vertAlign w:val="superscript"/>
        </w:rPr>
        <w:t>1</w:t>
      </w:r>
      <w:r w:rsidRPr="004774E7">
        <w:rPr>
          <w:rFonts w:ascii="Arial" w:hAnsi="Arial" w:cs="Arial"/>
          <w:color w:val="000000" w:themeColor="text1"/>
          <w:sz w:val="22"/>
          <w:szCs w:val="22"/>
        </w:rPr>
        <w:t>University of Miami, Rosenstiel School of Marine, Atmospheric and Earth Sciences (RSMAES), Miami FL</w:t>
      </w:r>
    </w:p>
    <w:p w14:paraId="493D568B" w14:textId="77777777" w:rsidR="005E6193" w:rsidRPr="004774E7" w:rsidRDefault="005E6193" w:rsidP="005E6193">
      <w:pPr>
        <w:spacing w:line="240" w:lineRule="auto"/>
        <w:contextualSpacing/>
        <w:rPr>
          <w:rFonts w:ascii="Arial" w:hAnsi="Arial" w:cs="Arial"/>
          <w:color w:val="000000" w:themeColor="text1"/>
          <w:sz w:val="22"/>
          <w:szCs w:val="22"/>
        </w:rPr>
      </w:pPr>
      <w:r w:rsidRPr="004774E7">
        <w:rPr>
          <w:rFonts w:ascii="Arial" w:hAnsi="Arial" w:cs="Arial"/>
          <w:color w:val="000000" w:themeColor="text1"/>
          <w:sz w:val="22"/>
          <w:szCs w:val="22"/>
          <w:vertAlign w:val="superscript"/>
        </w:rPr>
        <w:t>2</w:t>
      </w:r>
      <w:r w:rsidRPr="004774E7">
        <w:rPr>
          <w:rFonts w:ascii="Arial" w:hAnsi="Arial" w:cs="Arial"/>
          <w:color w:val="000000" w:themeColor="text1"/>
          <w:sz w:val="22"/>
          <w:szCs w:val="22"/>
        </w:rPr>
        <w:t>Woods Hole Oceanographic Institution, Woods Hole, MA</w:t>
      </w:r>
    </w:p>
    <w:p w14:paraId="512DE418" w14:textId="77777777" w:rsidR="005E6193" w:rsidRPr="004774E7" w:rsidRDefault="005E6193" w:rsidP="005E6193">
      <w:pPr>
        <w:spacing w:line="240" w:lineRule="auto"/>
        <w:contextualSpacing/>
        <w:rPr>
          <w:rFonts w:ascii="Arial" w:hAnsi="Arial" w:cs="Arial"/>
          <w:color w:val="000000" w:themeColor="text1"/>
          <w:sz w:val="22"/>
          <w:szCs w:val="22"/>
        </w:rPr>
      </w:pPr>
      <w:r w:rsidRPr="004774E7">
        <w:rPr>
          <w:rFonts w:ascii="Arial" w:hAnsi="Arial" w:cs="Arial"/>
          <w:color w:val="000000" w:themeColor="text1"/>
          <w:sz w:val="22"/>
          <w:szCs w:val="22"/>
          <w:vertAlign w:val="superscript"/>
        </w:rPr>
        <w:t>3</w:t>
      </w:r>
      <w:r w:rsidRPr="004774E7">
        <w:rPr>
          <w:rFonts w:ascii="Arial" w:hAnsi="Arial" w:cs="Arial"/>
          <w:color w:val="000000" w:themeColor="text1"/>
          <w:sz w:val="22"/>
          <w:szCs w:val="22"/>
        </w:rPr>
        <w:t>University of Massachusetts Dartmouth School for Marine Science and Technology, New Bedford, MA</w:t>
      </w:r>
    </w:p>
    <w:p w14:paraId="68943F23" w14:textId="77777777" w:rsidR="005E6193" w:rsidRPr="004774E7" w:rsidRDefault="005E6193" w:rsidP="005E6193">
      <w:pPr>
        <w:spacing w:line="240" w:lineRule="auto"/>
        <w:contextualSpacing/>
        <w:rPr>
          <w:rFonts w:ascii="Arial" w:hAnsi="Arial" w:cs="Arial"/>
          <w:color w:val="000000" w:themeColor="text1"/>
          <w:sz w:val="22"/>
          <w:szCs w:val="22"/>
        </w:rPr>
      </w:pPr>
      <w:r w:rsidRPr="004774E7">
        <w:rPr>
          <w:rFonts w:ascii="Arial" w:hAnsi="Arial" w:cs="Arial"/>
          <w:color w:val="000000" w:themeColor="text1"/>
          <w:sz w:val="22"/>
          <w:szCs w:val="22"/>
          <w:vertAlign w:val="superscript"/>
        </w:rPr>
        <w:t>4</w:t>
      </w:r>
      <w:r w:rsidRPr="004774E7">
        <w:rPr>
          <w:rFonts w:ascii="Arial" w:hAnsi="Arial" w:cs="Arial"/>
          <w:color w:val="000000" w:themeColor="text1"/>
          <w:sz w:val="22"/>
          <w:szCs w:val="22"/>
        </w:rPr>
        <w:t>School of the Earth, Ocean and Environment, University of South Carolina, Columbia, SC</w:t>
      </w:r>
    </w:p>
    <w:p w14:paraId="1A471A6D" w14:textId="77777777" w:rsidR="005E6193" w:rsidRPr="004774E7" w:rsidRDefault="005E6193" w:rsidP="005E6193">
      <w:pPr>
        <w:spacing w:line="240" w:lineRule="auto"/>
        <w:contextualSpacing/>
        <w:rPr>
          <w:rFonts w:ascii="Arial" w:hAnsi="Arial" w:cs="Arial"/>
          <w:color w:val="000000" w:themeColor="text1"/>
          <w:sz w:val="22"/>
          <w:szCs w:val="22"/>
        </w:rPr>
      </w:pPr>
      <w:r w:rsidRPr="004774E7">
        <w:rPr>
          <w:rFonts w:ascii="Arial" w:hAnsi="Arial" w:cs="Arial"/>
          <w:color w:val="000000" w:themeColor="text1"/>
          <w:sz w:val="22"/>
          <w:szCs w:val="22"/>
          <w:vertAlign w:val="superscript"/>
        </w:rPr>
        <w:t>5</w:t>
      </w:r>
      <w:r w:rsidRPr="004774E7">
        <w:rPr>
          <w:rFonts w:ascii="Arial" w:hAnsi="Arial" w:cs="Arial"/>
          <w:color w:val="000000" w:themeColor="text1"/>
          <w:sz w:val="22"/>
          <w:szCs w:val="22"/>
        </w:rPr>
        <w:t>School of Earth and Atmospheric Sciences, Georgia Institute of Technology, Atlanta, GA</w:t>
      </w:r>
    </w:p>
    <w:p w14:paraId="34CD92FA" w14:textId="77777777" w:rsidR="005E6193" w:rsidRPr="004774E7" w:rsidRDefault="005E6193" w:rsidP="005E6193">
      <w:pPr>
        <w:spacing w:line="240" w:lineRule="auto"/>
        <w:contextualSpacing/>
        <w:rPr>
          <w:rFonts w:ascii="Arial" w:hAnsi="Arial" w:cs="Arial"/>
          <w:color w:val="000000" w:themeColor="text1"/>
          <w:sz w:val="22"/>
          <w:szCs w:val="22"/>
        </w:rPr>
      </w:pPr>
      <w:r w:rsidRPr="004774E7">
        <w:rPr>
          <w:rFonts w:ascii="Arial" w:hAnsi="Arial" w:cs="Arial"/>
          <w:color w:val="000000" w:themeColor="text1"/>
          <w:sz w:val="22"/>
          <w:szCs w:val="22"/>
          <w:vertAlign w:val="superscript"/>
        </w:rPr>
        <w:t>6</w:t>
      </w:r>
      <w:r w:rsidRPr="004774E7">
        <w:rPr>
          <w:rFonts w:ascii="Arial" w:hAnsi="Arial" w:cs="Arial"/>
          <w:color w:val="000000" w:themeColor="text1"/>
          <w:sz w:val="22"/>
          <w:szCs w:val="22"/>
        </w:rPr>
        <w:t>Department of Geological Sciences and Institute of Arctic and Alpine Research (INSTAAR) at the UC Boulder</w:t>
      </w:r>
    </w:p>
    <w:p w14:paraId="4D8C5052" w14:textId="77777777" w:rsidR="005E6193" w:rsidRPr="004774E7" w:rsidRDefault="005E6193" w:rsidP="005E6193">
      <w:pPr>
        <w:spacing w:line="240" w:lineRule="auto"/>
        <w:contextualSpacing/>
        <w:rPr>
          <w:rFonts w:ascii="Arial" w:hAnsi="Arial" w:cs="Arial"/>
          <w:color w:val="000000" w:themeColor="text1"/>
          <w:sz w:val="22"/>
          <w:szCs w:val="22"/>
        </w:rPr>
      </w:pPr>
      <w:r w:rsidRPr="004774E7">
        <w:rPr>
          <w:rFonts w:ascii="Arial" w:hAnsi="Arial" w:cs="Arial"/>
          <w:color w:val="000000" w:themeColor="text1"/>
          <w:sz w:val="22"/>
          <w:szCs w:val="22"/>
          <w:vertAlign w:val="superscript"/>
        </w:rPr>
        <w:t>7</w:t>
      </w:r>
      <w:r w:rsidRPr="004774E7">
        <w:rPr>
          <w:rFonts w:ascii="Arial" w:hAnsi="Arial" w:cs="Arial"/>
          <w:color w:val="000000" w:themeColor="text1"/>
          <w:sz w:val="22"/>
          <w:szCs w:val="22"/>
        </w:rPr>
        <w:t>Monterey Bay Aquarium Research Institute (MBARI), Moss Landing CA</w:t>
      </w:r>
    </w:p>
    <w:p w14:paraId="7A2A7127" w14:textId="77777777" w:rsidR="005E6193" w:rsidRDefault="005E6193"/>
    <w:p w14:paraId="43C19F8D" w14:textId="77777777" w:rsidR="006A22E9" w:rsidRDefault="006A22E9"/>
    <w:p w14:paraId="47CA60B8" w14:textId="0A5DE1B4" w:rsidR="006A22E9" w:rsidRPr="00257D5B" w:rsidRDefault="00257D5B">
      <w:pPr>
        <w:rPr>
          <w:b/>
          <w:bCs/>
          <w:sz w:val="28"/>
          <w:szCs w:val="28"/>
        </w:rPr>
      </w:pPr>
      <w:r w:rsidRPr="00257D5B">
        <w:rPr>
          <w:b/>
          <w:bCs/>
          <w:sz w:val="28"/>
          <w:szCs w:val="28"/>
        </w:rPr>
        <w:t>Extended Data</w:t>
      </w:r>
    </w:p>
    <w:p w14:paraId="5DC67CB6" w14:textId="22AB4B6E" w:rsidR="006A22E9" w:rsidRPr="00257D5B" w:rsidRDefault="006A22E9">
      <w:pPr>
        <w:rPr>
          <w:b/>
          <w:bCs/>
        </w:rPr>
      </w:pPr>
      <w:r>
        <w:br w:type="page"/>
      </w:r>
    </w:p>
    <w:p w14:paraId="29C56B3C" w14:textId="76144E97" w:rsidR="00196E32" w:rsidRDefault="00196E32" w:rsidP="00196E32">
      <w:pPr>
        <w:pStyle w:val="NormalWeb"/>
        <w:spacing w:line="276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14:ligatures w14:val="standardContextual"/>
        </w:rPr>
        <w:lastRenderedPageBreak/>
        <w:drawing>
          <wp:inline distT="0" distB="0" distL="0" distR="0" wp14:anchorId="0417F08B" wp14:editId="2D02D9D8">
            <wp:extent cx="5943600" cy="1998980"/>
            <wp:effectExtent l="0" t="0" r="0" b="0"/>
            <wp:docPr id="2040537998" name="Picture 2" descr="A graph showing the number of the same col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537998" name="Picture 2" descr="A graph showing the number of the same color&#10;&#10;AI-generated content may be incorrect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8A703" w14:textId="3A7F060E" w:rsidR="00196E32" w:rsidRPr="00196E32" w:rsidRDefault="00196E32" w:rsidP="00196E32">
      <w:pPr>
        <w:pStyle w:val="NormalWeb"/>
        <w:spacing w:line="276" w:lineRule="auto"/>
        <w:rPr>
          <w:rFonts w:ascii="Arial" w:hAnsi="Arial" w:cs="Arial"/>
        </w:rPr>
      </w:pPr>
      <w:r>
        <w:rPr>
          <w:rFonts w:ascii="Arial" w:hAnsi="Arial" w:cs="Arial"/>
          <w:b/>
          <w:bCs/>
        </w:rPr>
        <w:t xml:space="preserve">Figure </w:t>
      </w:r>
      <w:r w:rsidR="00C46682">
        <w:rPr>
          <w:rFonts w:ascii="Arial" w:hAnsi="Arial" w:cs="Arial"/>
          <w:b/>
          <w:bCs/>
        </w:rPr>
        <w:t>S</w:t>
      </w:r>
      <w:r>
        <w:rPr>
          <w:rFonts w:ascii="Arial" w:hAnsi="Arial" w:cs="Arial"/>
          <w:b/>
          <w:bCs/>
        </w:rPr>
        <w:t>1.</w:t>
      </w:r>
      <w:r>
        <w:rPr>
          <w:rFonts w:ascii="Arial" w:hAnsi="Arial" w:cs="Arial"/>
        </w:rPr>
        <w:t xml:space="preserve"> </w:t>
      </w:r>
      <w:r w:rsidRPr="00AB0ABD">
        <w:rPr>
          <w:rFonts w:ascii="Arial" w:hAnsi="Arial" w:cs="Arial"/>
          <w:b/>
          <w:bCs/>
        </w:rPr>
        <w:t xml:space="preserve">Oxygen anomalies in </w:t>
      </w:r>
      <w:proofErr w:type="spellStart"/>
      <w:r w:rsidRPr="00AB0ABD">
        <w:rPr>
          <w:rFonts w:ascii="Arial" w:hAnsi="Arial" w:cs="Arial"/>
          <w:b/>
          <w:bCs/>
        </w:rPr>
        <w:t>suboxic</w:t>
      </w:r>
      <w:proofErr w:type="spellEnd"/>
      <w:r w:rsidRPr="00AB0ABD">
        <w:rPr>
          <w:rFonts w:ascii="Arial" w:hAnsi="Arial" w:cs="Arial"/>
          <w:b/>
          <w:bCs/>
        </w:rPr>
        <w:t xml:space="preserve"> waters of the ETNP.</w:t>
      </w:r>
      <w:r>
        <w:rPr>
          <w:rFonts w:ascii="Arial" w:hAnsi="Arial" w:cs="Arial"/>
        </w:rPr>
        <w:t xml:space="preserve"> </w:t>
      </w:r>
      <w:r w:rsidRPr="00AB0ABD">
        <w:rPr>
          <w:rFonts w:ascii="Arial" w:hAnsi="Arial" w:cs="Arial"/>
        </w:rPr>
        <w:t>Time</w:t>
      </w:r>
      <w:r>
        <w:rPr>
          <w:rFonts w:ascii="Arial" w:hAnsi="Arial" w:cs="Arial"/>
        </w:rPr>
        <w:t xml:space="preserve"> series</w:t>
      </w:r>
      <w:r w:rsidRPr="00AB0ABD">
        <w:rPr>
          <w:rFonts w:ascii="Arial" w:hAnsi="Arial" w:cs="Arial"/>
        </w:rPr>
        <w:t xml:space="preserve"> of oxygen anomalies </w:t>
      </w:r>
      <w:r w:rsidR="00C46682">
        <w:rPr>
          <w:rFonts w:ascii="Arial" w:hAnsi="Arial" w:cs="Arial"/>
        </w:rPr>
        <w:t>r</w:t>
      </w:r>
      <w:r w:rsidRPr="00AB0ABD">
        <w:rPr>
          <w:rFonts w:ascii="Arial" w:hAnsi="Arial" w:cs="Arial"/>
        </w:rPr>
        <w:t>elative to the mean O</w:t>
      </w:r>
      <w:r>
        <w:rPr>
          <w:rFonts w:ascii="Arial" w:hAnsi="Arial" w:cs="Arial"/>
          <w:vertAlign w:val="subscript"/>
        </w:rPr>
        <w:t>2</w:t>
      </w:r>
      <w:r w:rsidRPr="00AB0ABD">
        <w:rPr>
          <w:rFonts w:ascii="Arial" w:hAnsi="Arial" w:cs="Arial"/>
        </w:rPr>
        <w:t xml:space="preserve"> concentration where O</w:t>
      </w:r>
      <w:r>
        <w:rPr>
          <w:rFonts w:ascii="Arial" w:hAnsi="Arial" w:cs="Arial"/>
          <w:vertAlign w:val="subscript"/>
        </w:rPr>
        <w:t>2</w:t>
      </w:r>
      <w:r w:rsidRPr="00AB0ABD">
        <w:rPr>
          <w:rFonts w:ascii="Arial" w:hAnsi="Arial" w:cs="Arial"/>
        </w:rPr>
        <w:t xml:space="preserve"> &lt; 1 µmol kg</w:t>
      </w:r>
      <w:r>
        <w:rPr>
          <w:rFonts w:ascii="Arial" w:hAnsi="Arial" w:cs="Arial"/>
          <w:vertAlign w:val="superscript"/>
        </w:rPr>
        <w:t>-1</w:t>
      </w:r>
      <w:r>
        <w:rPr>
          <w:rFonts w:ascii="Arial" w:hAnsi="Arial" w:cs="Arial"/>
        </w:rPr>
        <w:t xml:space="preserve">. </w:t>
      </w:r>
      <w:r w:rsidRPr="00196E32">
        <w:rPr>
          <w:rFonts w:ascii="Arial" w:hAnsi="Arial" w:cs="Arial"/>
        </w:rPr>
        <w:t>The apparent temporal pattern in the anoxic layer reflects a known optode offset drift artifact at very low O</w:t>
      </w:r>
      <w:r w:rsidRPr="00196E32">
        <w:rPr>
          <w:rFonts w:ascii="Cambria Math" w:hAnsi="Cambria Math" w:cs="Cambria Math"/>
        </w:rPr>
        <w:t>₂</w:t>
      </w:r>
      <w:r w:rsidRPr="00196E32">
        <w:rPr>
          <w:rFonts w:ascii="Arial" w:hAnsi="Arial" w:cs="Arial"/>
        </w:rPr>
        <w:t>.</w:t>
      </w:r>
    </w:p>
    <w:p w14:paraId="6C747976" w14:textId="74FDD024" w:rsidR="52216491" w:rsidRDefault="52216491">
      <w:r>
        <w:rPr>
          <w:noProof/>
        </w:rPr>
        <w:drawing>
          <wp:inline distT="0" distB="0" distL="0" distR="0" wp14:anchorId="28713BFD" wp14:editId="77B71F12">
            <wp:extent cx="5943600" cy="4019550"/>
            <wp:effectExtent l="0" t="0" r="0" b="0"/>
            <wp:docPr id="144120735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207352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23A68FB" w:rsidRPr="635F5EF0">
        <w:rPr>
          <w:b/>
          <w:bCs/>
        </w:rPr>
        <w:t>Fig</w:t>
      </w:r>
      <w:r w:rsidR="009F3257" w:rsidRPr="635F5EF0">
        <w:rPr>
          <w:b/>
          <w:bCs/>
        </w:rPr>
        <w:t>ure</w:t>
      </w:r>
      <w:r w:rsidR="19DA3068" w:rsidRPr="635F5EF0">
        <w:rPr>
          <w:b/>
          <w:bCs/>
        </w:rPr>
        <w:t xml:space="preserve"> </w:t>
      </w:r>
      <w:r w:rsidR="623A68FB" w:rsidRPr="635F5EF0">
        <w:rPr>
          <w:b/>
          <w:bCs/>
        </w:rPr>
        <w:t>S2</w:t>
      </w:r>
      <w:r w:rsidR="0051370F" w:rsidRPr="635F5EF0">
        <w:rPr>
          <w:b/>
          <w:bCs/>
        </w:rPr>
        <w:t>.</w:t>
      </w:r>
      <w:r w:rsidR="623A68FB" w:rsidRPr="635F5EF0">
        <w:rPr>
          <w:b/>
          <w:bCs/>
        </w:rPr>
        <w:t xml:space="preserve"> </w:t>
      </w:r>
      <w:r w:rsidR="418269AE" w:rsidRPr="635F5EF0">
        <w:rPr>
          <w:b/>
          <w:bCs/>
        </w:rPr>
        <w:t xml:space="preserve">Snapshots of </w:t>
      </w:r>
      <w:r w:rsidR="0001490E" w:rsidRPr="635F5EF0">
        <w:rPr>
          <w:b/>
          <w:bCs/>
        </w:rPr>
        <w:t xml:space="preserve">monthly </w:t>
      </w:r>
      <w:r w:rsidR="418269AE" w:rsidRPr="635F5EF0">
        <w:rPr>
          <w:b/>
          <w:bCs/>
        </w:rPr>
        <w:t xml:space="preserve">sea surface </w:t>
      </w:r>
      <w:r w:rsidR="0001490E" w:rsidRPr="635F5EF0">
        <w:rPr>
          <w:b/>
          <w:bCs/>
        </w:rPr>
        <w:t>c</w:t>
      </w:r>
      <w:r w:rsidR="418269AE" w:rsidRPr="635F5EF0">
        <w:rPr>
          <w:b/>
          <w:bCs/>
        </w:rPr>
        <w:t xml:space="preserve">hlorophyll-a levels for </w:t>
      </w:r>
      <w:r w:rsidR="0001490E" w:rsidRPr="635F5EF0">
        <w:rPr>
          <w:b/>
          <w:bCs/>
        </w:rPr>
        <w:t xml:space="preserve">the year </w:t>
      </w:r>
      <w:r w:rsidR="418269AE" w:rsidRPr="635F5EF0">
        <w:rPr>
          <w:b/>
          <w:bCs/>
        </w:rPr>
        <w:t>2022.</w:t>
      </w:r>
      <w:r w:rsidR="0001490E" w:rsidRPr="635F5EF0">
        <w:rPr>
          <w:b/>
          <w:bCs/>
        </w:rPr>
        <w:t xml:space="preserve"> </w:t>
      </w:r>
      <w:r w:rsidR="0001490E">
        <w:t xml:space="preserve">The </w:t>
      </w:r>
      <w:r w:rsidR="50E658AE">
        <w:t xml:space="preserve">black </w:t>
      </w:r>
      <w:r w:rsidR="0001490E">
        <w:t xml:space="preserve">circle symbolizes the approximate location of the BGC-Argo float in that month. Notice that July was the month when we started observing the most productive period of the time series, </w:t>
      </w:r>
      <w:r w:rsidR="007A1410">
        <w:t>spanning</w:t>
      </w:r>
      <w:r w:rsidR="0001490E">
        <w:t xml:space="preserve"> from 07/30/2022 to 10/11/2022.</w:t>
      </w:r>
    </w:p>
    <w:p w14:paraId="6797DE65" w14:textId="4BD5BAC3" w:rsidR="635F5EF0" w:rsidRDefault="635F5EF0"/>
    <w:p w14:paraId="424185B9" w14:textId="686EE0AD" w:rsidR="0001490E" w:rsidRDefault="0C99D372" w:rsidP="0001490E">
      <w:r>
        <w:rPr>
          <w:noProof/>
        </w:rPr>
        <w:drawing>
          <wp:inline distT="0" distB="0" distL="0" distR="0" wp14:anchorId="67E3E19F" wp14:editId="274AB2B9">
            <wp:extent cx="5943600" cy="4010025"/>
            <wp:effectExtent l="0" t="0" r="0" b="0"/>
            <wp:docPr id="36816532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16532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490E" w:rsidRPr="635F5EF0">
        <w:rPr>
          <w:b/>
          <w:bCs/>
        </w:rPr>
        <w:t>Fig</w:t>
      </w:r>
      <w:r w:rsidR="009F3257" w:rsidRPr="635F5EF0">
        <w:rPr>
          <w:b/>
          <w:bCs/>
        </w:rPr>
        <w:t>ure</w:t>
      </w:r>
      <w:r w:rsidR="0001490E" w:rsidRPr="635F5EF0">
        <w:rPr>
          <w:b/>
          <w:bCs/>
        </w:rPr>
        <w:t xml:space="preserve"> S3</w:t>
      </w:r>
      <w:r w:rsidR="0051370F" w:rsidRPr="635F5EF0">
        <w:rPr>
          <w:b/>
          <w:bCs/>
        </w:rPr>
        <w:t>.</w:t>
      </w:r>
      <w:r w:rsidR="0001490E" w:rsidRPr="635F5EF0">
        <w:rPr>
          <w:b/>
          <w:bCs/>
        </w:rPr>
        <w:t xml:space="preserve"> Snapshots of monthly sea surface chlorophyll-a levels for the year 2023.</w:t>
      </w:r>
      <w:r w:rsidR="0001490E">
        <w:t xml:space="preserve"> The </w:t>
      </w:r>
      <w:r w:rsidR="210AC7CC">
        <w:t xml:space="preserve">black </w:t>
      </w:r>
      <w:r w:rsidR="0001490E">
        <w:t>circle symbolizes the approximate location of the BGC-Argo float that month.</w:t>
      </w:r>
    </w:p>
    <w:p w14:paraId="005F06E5" w14:textId="55638304" w:rsidR="006A22E9" w:rsidRDefault="006A22E9"/>
    <w:p w14:paraId="2FD74E8E" w14:textId="50E7FD02" w:rsidR="006A22E9" w:rsidRDefault="006A22E9"/>
    <w:p w14:paraId="3D422B53" w14:textId="65ADEEEF" w:rsidR="006A22E9" w:rsidRDefault="12716C3B">
      <w:r>
        <w:rPr>
          <w:noProof/>
        </w:rPr>
        <w:lastRenderedPageBreak/>
        <w:drawing>
          <wp:inline distT="0" distB="0" distL="0" distR="0" wp14:anchorId="769A3C2C" wp14:editId="1102A5D4">
            <wp:extent cx="5613400" cy="3835400"/>
            <wp:effectExtent l="0" t="0" r="0" b="0"/>
            <wp:docPr id="3584282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828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7A568" w14:textId="682B2929" w:rsidR="006A22E9" w:rsidRDefault="0001490E" w:rsidP="00F0703C">
      <w:r w:rsidRPr="635F5EF0">
        <w:rPr>
          <w:b/>
          <w:bCs/>
        </w:rPr>
        <w:t>Fig</w:t>
      </w:r>
      <w:r w:rsidR="009F3257" w:rsidRPr="635F5EF0">
        <w:rPr>
          <w:b/>
          <w:bCs/>
        </w:rPr>
        <w:t>ure</w:t>
      </w:r>
      <w:r w:rsidRPr="635F5EF0">
        <w:rPr>
          <w:b/>
          <w:bCs/>
        </w:rPr>
        <w:t xml:space="preserve"> S4</w:t>
      </w:r>
      <w:r w:rsidR="0051370F" w:rsidRPr="635F5EF0">
        <w:rPr>
          <w:b/>
          <w:bCs/>
        </w:rPr>
        <w:t>.</w:t>
      </w:r>
      <w:r w:rsidRPr="635F5EF0">
        <w:rPr>
          <w:b/>
          <w:bCs/>
        </w:rPr>
        <w:t xml:space="preserve"> Snapshots of monthly sea surface chlorophyll-a levels for the year 2024.</w:t>
      </w:r>
      <w:r>
        <w:t xml:space="preserve"> The </w:t>
      </w:r>
      <w:r w:rsidR="21461D64">
        <w:t>black</w:t>
      </w:r>
      <w:r>
        <w:t xml:space="preserve"> circle symbolizes the approximate location of the BGC-Argo float that month.</w:t>
      </w:r>
    </w:p>
    <w:p w14:paraId="694DD3C9" w14:textId="77777777" w:rsidR="00F0703C" w:rsidRDefault="00F0703C" w:rsidP="00F0703C">
      <w:pPr>
        <w:jc w:val="center"/>
      </w:pPr>
      <w:r>
        <w:rPr>
          <w:noProof/>
        </w:rPr>
        <w:drawing>
          <wp:inline distT="0" distB="0" distL="0" distR="0" wp14:anchorId="6EE819A3" wp14:editId="637E93D0">
            <wp:extent cx="5429839" cy="2284477"/>
            <wp:effectExtent l="0" t="0" r="0" b="1905"/>
            <wp:docPr id="1369652540" name="Picture 1" descr="A diagram of a tempera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652540" name="Picture 1" descr="A diagram of a temperature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3147" cy="2319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48CF8" w14:textId="66018D72" w:rsidR="00F2025A" w:rsidRDefault="00F0703C" w:rsidP="00F0703C">
      <w:r w:rsidRPr="7DA24FD4">
        <w:rPr>
          <w:b/>
          <w:bCs/>
        </w:rPr>
        <w:t>Figure S</w:t>
      </w:r>
      <w:r w:rsidR="00C176A7">
        <w:rPr>
          <w:b/>
          <w:bCs/>
        </w:rPr>
        <w:t>5</w:t>
      </w:r>
      <w:r>
        <w:rPr>
          <w:b/>
          <w:bCs/>
        </w:rPr>
        <w:t>.</w:t>
      </w:r>
      <w:r w:rsidRPr="7DA24FD4">
        <w:rPr>
          <w:b/>
          <w:bCs/>
        </w:rPr>
        <w:t xml:space="preserve"> TS diagrams for the Eastern Tropical North Pacific.</w:t>
      </w:r>
      <w:r>
        <w:t xml:space="preserve"> Water masses are shown for the upper 2000 m depth during (a) low-nitrite (stations 30-97, between 11/11/2022 and 01/10/2024) and (b) high-nitrite (stations 1-29, between 01/15/2022 and 11/01/2022) conditions. Z-axes are colored by NO</w:t>
      </w:r>
      <w:r w:rsidRPr="7DA24FD4">
        <w:rPr>
          <w:vertAlign w:val="subscript"/>
        </w:rPr>
        <w:t>2</w:t>
      </w:r>
      <w:r w:rsidR="003D03EF">
        <w:rPr>
          <w:vertAlign w:val="superscript"/>
        </w:rPr>
        <w:t>-</w:t>
      </w:r>
      <w:r>
        <w:t xml:space="preserve"> concentrations (µmol kg</w:t>
      </w:r>
      <w:r w:rsidRPr="7DA24FD4">
        <w:rPr>
          <w:vertAlign w:val="superscript"/>
        </w:rPr>
        <w:t>-1</w:t>
      </w:r>
      <w:r>
        <w:t>).</w:t>
      </w:r>
    </w:p>
    <w:p w14:paraId="47889AB0" w14:textId="77777777" w:rsidR="00566B89" w:rsidRPr="00500C7D" w:rsidRDefault="00566B89" w:rsidP="00566B89">
      <w:pPr>
        <w:spacing w:line="276" w:lineRule="auto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inline distT="0" distB="0" distL="0" distR="0" wp14:anchorId="35C1D83B" wp14:editId="68912C0B">
            <wp:extent cx="5943600" cy="1834515"/>
            <wp:effectExtent l="0" t="0" r="0" b="0"/>
            <wp:docPr id="4063354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335492" name="Picture 40633549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3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DB9F2" w14:textId="2AD01AE6" w:rsidR="00566B89" w:rsidRDefault="00566B89" w:rsidP="03F43EF4">
      <w:pPr>
        <w:spacing w:before="100" w:beforeAutospacing="1" w:after="100" w:afterAutospacing="1" w:line="276" w:lineRule="auto"/>
        <w:outlineLvl w:val="2"/>
        <w:rPr>
          <w:rFonts w:ascii="Arial" w:hAnsi="Arial" w:cs="Arial"/>
        </w:rPr>
      </w:pPr>
      <w:r w:rsidRPr="00500C7D">
        <w:rPr>
          <w:rFonts w:ascii="Arial" w:eastAsia="Times New Roman" w:hAnsi="Arial" w:cs="Arial"/>
          <w:b/>
          <w:bCs/>
          <w:kern w:val="0"/>
          <w14:ligatures w14:val="none"/>
        </w:rPr>
        <w:t xml:space="preserve">Figure 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>S6.</w:t>
      </w:r>
      <w:r w:rsidRPr="00500C7D">
        <w:rPr>
          <w:rFonts w:ascii="Arial" w:eastAsia="Times New Roman" w:hAnsi="Arial" w:cs="Arial"/>
          <w:b/>
          <w:bCs/>
          <w:kern w:val="0"/>
          <w14:ligatures w14:val="none"/>
        </w:rPr>
        <w:t xml:space="preserve"> </w:t>
      </w:r>
      <w:r w:rsidRPr="00500C7D">
        <w:rPr>
          <w:rStyle w:val="Strong"/>
          <w:rFonts w:ascii="Arial" w:hAnsi="Arial" w:cs="Arial"/>
        </w:rPr>
        <w:t xml:space="preserve">Modeled nitrogen transformation rates under </w:t>
      </w:r>
      <w:r>
        <w:rPr>
          <w:rStyle w:val="Strong"/>
          <w:rFonts w:ascii="Arial" w:hAnsi="Arial" w:cs="Arial"/>
        </w:rPr>
        <w:t>three different</w:t>
      </w:r>
      <w:r w:rsidRPr="00500C7D">
        <w:rPr>
          <w:rStyle w:val="Strong"/>
          <w:rFonts w:ascii="Arial" w:hAnsi="Arial" w:cs="Arial"/>
        </w:rPr>
        <w:t xml:space="preserve"> conditions in the ETNP ODZ.</w:t>
      </w:r>
      <w:r w:rsidRPr="00500C7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Different shades of blue denote the f</w:t>
      </w:r>
      <w:r w:rsidRPr="00500C7D">
        <w:rPr>
          <w:rFonts w:ascii="Arial" w:hAnsi="Arial" w:cs="Arial"/>
        </w:rPr>
        <w:t xml:space="preserve">ractional contributions of </w:t>
      </w:r>
      <w:r>
        <w:rPr>
          <w:rFonts w:ascii="Arial" w:hAnsi="Arial" w:cs="Arial"/>
        </w:rPr>
        <w:t xml:space="preserve">DNRN, </w:t>
      </w:r>
      <w:r w:rsidRPr="00500C7D">
        <w:rPr>
          <w:rFonts w:ascii="Arial" w:hAnsi="Arial" w:cs="Arial"/>
        </w:rPr>
        <w:t xml:space="preserve">anammox, denitrification, nitrite oxidation, and </w:t>
      </w:r>
      <w:r>
        <w:rPr>
          <w:rFonts w:ascii="Arial" w:hAnsi="Arial" w:cs="Arial"/>
        </w:rPr>
        <w:t>CaCO</w:t>
      </w:r>
      <w:r>
        <w:rPr>
          <w:rFonts w:ascii="Arial" w:hAnsi="Arial" w:cs="Arial"/>
          <w:vertAlign w:val="subscript"/>
        </w:rPr>
        <w:t>3</w:t>
      </w:r>
      <w:r>
        <w:rPr>
          <w:rFonts w:ascii="Arial" w:hAnsi="Arial" w:cs="Arial"/>
        </w:rPr>
        <w:t xml:space="preserve"> dissolution to changes in DIC </w:t>
      </w:r>
      <w:r w:rsidRPr="00500C7D">
        <w:rPr>
          <w:rFonts w:ascii="Arial" w:hAnsi="Arial" w:cs="Arial"/>
        </w:rPr>
        <w:t xml:space="preserve">during the high-nitrite regime </w:t>
      </w:r>
      <w:r>
        <w:rPr>
          <w:rFonts w:ascii="Arial" w:hAnsi="Arial" w:cs="Arial"/>
        </w:rPr>
        <w:t>(</w:t>
      </w:r>
      <w:r w:rsidRPr="00500C7D">
        <w:rPr>
          <w:rFonts w:ascii="Arial" w:hAnsi="Arial" w:cs="Arial"/>
        </w:rPr>
        <w:t>January</w:t>
      </w:r>
      <w:r>
        <w:rPr>
          <w:rFonts w:ascii="Arial" w:hAnsi="Arial" w:cs="Arial"/>
        </w:rPr>
        <w:t>-</w:t>
      </w:r>
      <w:r w:rsidRPr="00500C7D">
        <w:rPr>
          <w:rFonts w:ascii="Arial" w:hAnsi="Arial" w:cs="Arial"/>
        </w:rPr>
        <w:t>November 2022</w:t>
      </w:r>
      <w:r>
        <w:rPr>
          <w:rFonts w:ascii="Arial" w:hAnsi="Arial" w:cs="Arial"/>
        </w:rPr>
        <w:t>,</w:t>
      </w:r>
      <w:r w:rsidRPr="00500C7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light blue), high POC episode (</w:t>
      </w:r>
      <w:r w:rsidRPr="00500C7D">
        <w:rPr>
          <w:rFonts w:ascii="Arial" w:hAnsi="Arial" w:cs="Arial"/>
        </w:rPr>
        <w:t>July 2022 and October 2022</w:t>
      </w:r>
      <w:r>
        <w:rPr>
          <w:rFonts w:ascii="Arial" w:hAnsi="Arial" w:cs="Arial"/>
        </w:rPr>
        <w:t xml:space="preserve">, medium blue) and low nitrite regime (November 2022-October 2024, dark blue). Black stars </w:t>
      </w:r>
      <w:r w:rsidRPr="00500C7D">
        <w:rPr>
          <w:rFonts w:ascii="Arial" w:hAnsi="Arial" w:cs="Arial"/>
        </w:rPr>
        <w:t xml:space="preserve">indicate one standard deviation from Monte Carlo uncertainty propagation. </w:t>
      </w:r>
      <w:r>
        <w:rPr>
          <w:rFonts w:ascii="Arial" w:hAnsi="Arial" w:cs="Arial"/>
        </w:rPr>
        <w:t>The dashed vertical line denotes the approximate boundary depth of the upper ODZ, when O</w:t>
      </w:r>
      <w:r>
        <w:rPr>
          <w:rFonts w:ascii="Arial" w:hAnsi="Arial" w:cs="Arial"/>
          <w:vertAlign w:val="subscript"/>
        </w:rPr>
        <w:t>2</w:t>
      </w:r>
      <w:r>
        <w:rPr>
          <w:rFonts w:ascii="Arial" w:hAnsi="Arial" w:cs="Arial"/>
        </w:rPr>
        <w:t xml:space="preserve"> &lt; 1 µmol kg</w:t>
      </w:r>
      <w:r>
        <w:rPr>
          <w:rFonts w:ascii="Arial" w:hAnsi="Arial" w:cs="Arial"/>
          <w:vertAlign w:val="superscript"/>
        </w:rPr>
        <w:t>-1</w:t>
      </w:r>
      <w:r>
        <w:rPr>
          <w:rFonts w:ascii="Arial" w:hAnsi="Arial" w:cs="Arial"/>
        </w:rPr>
        <w:t xml:space="preserve">. </w:t>
      </w:r>
    </w:p>
    <w:p w14:paraId="4CEE4081" w14:textId="039ADF85" w:rsidR="00566B89" w:rsidRDefault="00566B89" w:rsidP="03F43EF4">
      <w:pPr>
        <w:spacing w:before="100" w:beforeAutospacing="1" w:after="100" w:afterAutospacing="1" w:line="276" w:lineRule="auto"/>
      </w:pPr>
      <w:r>
        <w:br w:type="page"/>
      </w:r>
    </w:p>
    <w:p w14:paraId="37DD7F5C" w14:textId="338B118B" w:rsidR="00566B89" w:rsidRDefault="00566B89" w:rsidP="03F43EF4">
      <w:pPr>
        <w:spacing w:before="100" w:beforeAutospacing="1" w:after="100" w:afterAutospacing="1" w:line="276" w:lineRule="auto"/>
        <w:outlineLvl w:val="2"/>
        <w:rPr>
          <w:rFonts w:ascii="Arial" w:hAnsi="Arial" w:cs="Arial"/>
        </w:rPr>
      </w:pPr>
    </w:p>
    <w:p w14:paraId="23F29C7D" w14:textId="37D02C4C" w:rsidR="00566B89" w:rsidRDefault="00566B89" w:rsidP="03F43EF4">
      <w:pPr>
        <w:spacing w:before="100" w:beforeAutospacing="1" w:after="100" w:afterAutospacing="1" w:line="276" w:lineRule="auto"/>
        <w:outlineLvl w:val="2"/>
        <w:rPr>
          <w:rFonts w:ascii="Arial" w:hAnsi="Arial" w:cs="Arial"/>
        </w:rPr>
      </w:pPr>
    </w:p>
    <w:p w14:paraId="685EDCD1" w14:textId="6F161AD5" w:rsidR="00566B89" w:rsidRDefault="6C56DFC0" w:rsidP="03F43EF4">
      <w:pPr>
        <w:spacing w:before="100" w:beforeAutospacing="1" w:after="100" w:afterAutospacing="1" w:line="276" w:lineRule="auto"/>
      </w:pPr>
      <w:r>
        <w:rPr>
          <w:noProof/>
        </w:rPr>
        <w:drawing>
          <wp:inline distT="0" distB="0" distL="0" distR="0" wp14:anchorId="496C4E2F" wp14:editId="556374A4">
            <wp:extent cx="5943600" cy="3895725"/>
            <wp:effectExtent l="0" t="0" r="0" b="0"/>
            <wp:docPr id="145817124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171242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CD64F" w14:textId="4BAE35EC" w:rsidR="003D3949" w:rsidRDefault="003D3949" w:rsidP="03F43EF4">
      <w:r w:rsidRPr="03F43EF4">
        <w:rPr>
          <w:b/>
          <w:bCs/>
        </w:rPr>
        <w:t xml:space="preserve">Figure </w:t>
      </w:r>
      <w:r w:rsidR="00241920" w:rsidRPr="03F43EF4">
        <w:rPr>
          <w:b/>
          <w:bCs/>
        </w:rPr>
        <w:t>S7</w:t>
      </w:r>
      <w:r w:rsidRPr="03F43EF4">
        <w:rPr>
          <w:b/>
          <w:bCs/>
        </w:rPr>
        <w:t>.</w:t>
      </w:r>
      <w:r w:rsidR="4DCF4426" w:rsidRPr="03F43EF4">
        <w:rPr>
          <w:b/>
          <w:bCs/>
        </w:rPr>
        <w:t xml:space="preserve"> </w:t>
      </w:r>
      <w:r w:rsidR="0314033A" w:rsidRPr="03F43EF4">
        <w:rPr>
          <w:b/>
          <w:bCs/>
        </w:rPr>
        <w:t>Modeled production rates.</w:t>
      </w:r>
      <w:r w:rsidR="45A2F542">
        <w:t xml:space="preserve"> (</w:t>
      </w:r>
      <w:r w:rsidR="00DF3D3A">
        <w:t>a</w:t>
      </w:r>
      <w:r w:rsidR="45A2F542">
        <w:t>) Rate of nitrite production</w:t>
      </w:r>
      <w:r w:rsidR="592A8EBE">
        <w:t>, (</w:t>
      </w:r>
      <w:r w:rsidR="00DF3D3A">
        <w:t>b</w:t>
      </w:r>
      <w:r w:rsidR="592A8EBE">
        <w:t>) rate of nitrate production, (</w:t>
      </w:r>
      <w:r w:rsidR="00DF3D3A">
        <w:t>c</w:t>
      </w:r>
      <w:r w:rsidR="592A8EBE">
        <w:t xml:space="preserve">) rate of DIC production </w:t>
      </w:r>
      <w:r w:rsidR="45A2F542">
        <w:t xml:space="preserve">determined from equation </w:t>
      </w:r>
      <w:r w:rsidR="0B183ABA">
        <w:t xml:space="preserve">5 versus density anomaly </w:t>
      </w:r>
      <w:r w:rsidR="1FDA1515">
        <w:t xml:space="preserve">sigma theta and time. </w:t>
      </w:r>
      <w:r w:rsidR="6608AD13">
        <w:t>(</w:t>
      </w:r>
      <w:r w:rsidR="00DF3D3A">
        <w:t>c</w:t>
      </w:r>
      <w:r w:rsidR="6608AD13">
        <w:t xml:space="preserve">) Nitrite production rates on </w:t>
      </w:r>
      <w:r w:rsidR="1D96DD7A">
        <w:t>5 individual profiles (48 to 52) in May and June of 2023 versus density anomaly. (</w:t>
      </w:r>
      <w:r w:rsidR="00DF3D3A">
        <w:t>d</w:t>
      </w:r>
      <w:r w:rsidR="1D96DD7A">
        <w:t xml:space="preserve">) </w:t>
      </w:r>
      <w:r w:rsidR="66C1D950">
        <w:t>The 5 nitrite profiles shown in (</w:t>
      </w:r>
      <w:r w:rsidR="00DF3D3A">
        <w:t>c</w:t>
      </w:r>
      <w:r w:rsidR="66C1D950">
        <w:t>) versus density anomaly. (</w:t>
      </w:r>
      <w:r w:rsidR="00DF3D3A">
        <w:t>e</w:t>
      </w:r>
      <w:r w:rsidR="66C1D950">
        <w:t>) Nitrate production rates as in panel (</w:t>
      </w:r>
      <w:r w:rsidR="00DF3D3A">
        <w:t>c</w:t>
      </w:r>
      <w:r w:rsidR="66C1D950">
        <w:t>). (</w:t>
      </w:r>
      <w:r w:rsidR="00DF3D3A">
        <w:t>f</w:t>
      </w:r>
      <w:r w:rsidR="66C1D950">
        <w:t xml:space="preserve">) </w:t>
      </w:r>
      <w:r w:rsidR="1AB4F750">
        <w:t xml:space="preserve">Density </w:t>
      </w:r>
      <w:proofErr w:type="spellStart"/>
      <w:r w:rsidR="1AB4F750">
        <w:t>aomaly</w:t>
      </w:r>
      <w:proofErr w:type="spellEnd"/>
      <w:r w:rsidR="1AB4F750">
        <w:t xml:space="preserve"> profiles in panel (</w:t>
      </w:r>
      <w:r w:rsidR="00DF3D3A">
        <w:t>c</w:t>
      </w:r>
      <w:r w:rsidR="1AB4F750">
        <w:t>) versus depth. (</w:t>
      </w:r>
      <w:r w:rsidR="00DF3D3A">
        <w:t>g</w:t>
      </w:r>
      <w:r w:rsidR="1AB4F750">
        <w:t>) Nitrate profiles as in panel (</w:t>
      </w:r>
      <w:r w:rsidR="00DF3D3A">
        <w:t>d</w:t>
      </w:r>
      <w:r w:rsidR="1AB4F750">
        <w:t>)</w:t>
      </w:r>
      <w:r w:rsidR="46603D52">
        <w:t>. (</w:t>
      </w:r>
      <w:r w:rsidR="00DF3D3A">
        <w:t>h</w:t>
      </w:r>
      <w:r w:rsidR="46603D52">
        <w:t>) Oxygen profiles as in panel (</w:t>
      </w:r>
      <w:r w:rsidR="00DF3D3A">
        <w:t>d</w:t>
      </w:r>
      <w:r w:rsidR="46603D52">
        <w:t>).</w:t>
      </w:r>
    </w:p>
    <w:p w14:paraId="7869E487" w14:textId="77777777" w:rsidR="003D3949" w:rsidRDefault="003D3949" w:rsidP="003D3949"/>
    <w:p w14:paraId="0101E5BA" w14:textId="0846E57A" w:rsidR="03F43EF4" w:rsidRDefault="03F43EF4"/>
    <w:p w14:paraId="5C54059E" w14:textId="75BA6534" w:rsidR="03F43EF4" w:rsidRDefault="03F43EF4"/>
    <w:p w14:paraId="79038523" w14:textId="054B70F2" w:rsidR="03F43EF4" w:rsidRDefault="03F43EF4"/>
    <w:p w14:paraId="791EC040" w14:textId="3A5F39A7" w:rsidR="03F43EF4" w:rsidRDefault="03F43EF4"/>
    <w:p w14:paraId="4681EDF8" w14:textId="353AB6E1" w:rsidR="00B058C7" w:rsidRPr="00A439C8" w:rsidRDefault="00B058C7">
      <w:r w:rsidRPr="00BF4EB4">
        <w:rPr>
          <w:b/>
          <w:bCs/>
        </w:rPr>
        <w:lastRenderedPageBreak/>
        <w:t>Table S1</w:t>
      </w:r>
      <w:r w:rsidR="000B60D3" w:rsidRPr="00BF4EB4">
        <w:rPr>
          <w:b/>
          <w:bCs/>
        </w:rPr>
        <w:t>:</w:t>
      </w:r>
      <w:r w:rsidR="000B60D3">
        <w:t xml:space="preserve"> </w:t>
      </w:r>
      <w:r w:rsidR="00D021FD">
        <w:t xml:space="preserve">Stoichiometries </w:t>
      </w:r>
      <w:r w:rsidR="00B56EDE">
        <w:t>for each of the five key reactions included in the model</w:t>
      </w:r>
      <w:r w:rsidR="00EB253D">
        <w:t xml:space="preserve">, based on </w:t>
      </w:r>
      <w:r w:rsidR="003C7CF0">
        <w:t>an organic matter stoichiometry of C</w:t>
      </w:r>
      <w:r w:rsidR="003C7CF0" w:rsidRPr="003C7CF0">
        <w:rPr>
          <w:vertAlign w:val="subscript"/>
        </w:rPr>
        <w:t>113.1</w:t>
      </w:r>
      <w:r w:rsidR="003C7CF0">
        <w:t>H</w:t>
      </w:r>
      <w:r w:rsidR="007E351A">
        <w:rPr>
          <w:vertAlign w:val="subscript"/>
        </w:rPr>
        <w:t>a</w:t>
      </w:r>
      <w:r w:rsidR="003C7CF0">
        <w:t>O</w:t>
      </w:r>
      <w:r w:rsidR="007E351A">
        <w:rPr>
          <w:vertAlign w:val="subscript"/>
        </w:rPr>
        <w:t>b</w:t>
      </w:r>
      <w:r w:rsidR="003C7CF0">
        <w:t>N</w:t>
      </w:r>
      <w:r w:rsidR="003C7CF0">
        <w:rPr>
          <w:vertAlign w:val="subscript"/>
        </w:rPr>
        <w:t>11.2</w:t>
      </w:r>
      <w:r w:rsidR="00A439C8">
        <w:rPr>
          <w:vertAlign w:val="subscript"/>
        </w:rPr>
        <w:t>3</w:t>
      </w:r>
      <w:r w:rsidR="00A439C8">
        <w:t>P</w:t>
      </w:r>
      <w:r w:rsidR="00D021FD">
        <w:t xml:space="preserve">. </w:t>
      </w:r>
      <w:r w:rsidR="00610346">
        <w:t>We solve for the</w:t>
      </w:r>
      <w:r w:rsidR="00D021FD">
        <w:t xml:space="preserve"> stoichiometry of each reaction based on the stoichiometry of the organic matter being respired, following Cinay et al. (2022).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70"/>
        <w:gridCol w:w="7680"/>
      </w:tblGrid>
      <w:tr w:rsidR="006C4C09" w14:paraId="01CF2348" w14:textId="77777777" w:rsidTr="03F43EF4">
        <w:tc>
          <w:tcPr>
            <w:tcW w:w="1165" w:type="dxa"/>
          </w:tcPr>
          <w:p w14:paraId="031D0025" w14:textId="1410D6C3" w:rsidR="006C4C09" w:rsidRPr="00BF4EB4" w:rsidRDefault="006C4C09">
            <w:pPr>
              <w:rPr>
                <w:b/>
                <w:bCs/>
              </w:rPr>
            </w:pPr>
            <w:r w:rsidRPr="00BF4EB4">
              <w:rPr>
                <w:b/>
                <w:bCs/>
              </w:rPr>
              <w:t>Process</w:t>
            </w:r>
          </w:p>
        </w:tc>
        <w:tc>
          <w:tcPr>
            <w:tcW w:w="8185" w:type="dxa"/>
          </w:tcPr>
          <w:p w14:paraId="0A9B45BD" w14:textId="60586FBE" w:rsidR="006C4C09" w:rsidRPr="00BF4EB4" w:rsidRDefault="006C4C09">
            <w:pPr>
              <w:rPr>
                <w:b/>
                <w:bCs/>
              </w:rPr>
            </w:pPr>
            <w:r w:rsidRPr="00BF4EB4">
              <w:rPr>
                <w:b/>
                <w:bCs/>
              </w:rPr>
              <w:t>Reaction</w:t>
            </w:r>
          </w:p>
        </w:tc>
      </w:tr>
      <w:tr w:rsidR="006C4C09" w14:paraId="26180E54" w14:textId="77777777" w:rsidTr="03F43EF4">
        <w:tc>
          <w:tcPr>
            <w:tcW w:w="1165" w:type="dxa"/>
          </w:tcPr>
          <w:p w14:paraId="02892D6F" w14:textId="089E822D" w:rsidR="006C4C09" w:rsidRDefault="006C4C09">
            <w:r>
              <w:t>DNRN</w:t>
            </w:r>
          </w:p>
        </w:tc>
        <w:tc>
          <w:tcPr>
            <w:tcW w:w="8185" w:type="dxa"/>
          </w:tcPr>
          <w:p w14:paraId="63A0ACF5" w14:textId="22FC30B8" w:rsidR="006C4C09" w:rsidRDefault="00C66810" w:rsidP="00DE58BA">
            <m:oMathPara>
              <m:oMath>
                <m:r>
                  <w:rPr>
                    <w:rFonts w:ascii="Cambria Math" w:hAnsi="Cambria Math"/>
                  </w:rPr>
                  <m:t>OM+182.66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NO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3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-</m:t>
                    </m:r>
                  </m:sup>
                </m:sSubSup>
                <m:r>
                  <w:rPr>
                    <w:rFonts w:ascii="Cambria Math" w:hAnsi="Cambria Math"/>
                  </w:rPr>
                  <m:t>+11.23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H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+</m:t>
                    </m:r>
                  </m:sup>
                </m:sSup>
                <m:r>
                  <w:rPr>
                    <w:rFonts w:ascii="Cambria Math" w:hAnsi="Cambria Math"/>
                  </w:rPr>
                  <m:t>→113.1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CO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2</m:t>
                    </m:r>
                  </m:sub>
                </m:sSub>
                <m:r>
                  <w:rPr>
                    <w:rFonts w:ascii="Cambria Math" w:hAnsi="Cambria Math"/>
                  </w:rPr>
                  <m:t>+11.23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NH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4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+</m:t>
                    </m:r>
                  </m:sup>
                </m:sSubSup>
                <m:r>
                  <w:rPr>
                    <w:rFonts w:ascii="Cambria Math" w:hAnsi="Cambria Math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H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3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PO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4</m:t>
                    </m:r>
                  </m:sub>
                </m:sSub>
                <m:r>
                  <w:rPr>
                    <w:rFonts w:ascii="Cambria Math" w:hAnsi="Cambria Math"/>
                  </w:rPr>
                  <m:t>+182.66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NO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2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-</m:t>
                    </m:r>
                  </m:sup>
                </m:sSubSup>
                <m:r>
                  <w:rPr>
                    <w:rFonts w:ascii="Cambria Math" w:hAnsi="Cambria Math"/>
                  </w:rPr>
                  <m:t>+y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H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2</m:t>
                    </m:r>
                  </m:sub>
                </m:sSub>
                <m:r>
                  <w:rPr>
                    <w:rFonts w:ascii="Cambria Math" w:hAnsi="Cambria Math"/>
                  </w:rPr>
                  <m:t>O</m:t>
                </m:r>
              </m:oMath>
            </m:oMathPara>
          </w:p>
        </w:tc>
      </w:tr>
      <w:tr w:rsidR="006C4C09" w14:paraId="4E4CFF2A" w14:textId="77777777" w:rsidTr="03F43EF4">
        <w:tc>
          <w:tcPr>
            <w:tcW w:w="1165" w:type="dxa"/>
          </w:tcPr>
          <w:p w14:paraId="03EA7F9D" w14:textId="22BA63E7" w:rsidR="006C4C09" w:rsidRDefault="00F240D0">
            <w:r>
              <w:t>Denitrification</w:t>
            </w:r>
          </w:p>
        </w:tc>
        <w:tc>
          <w:tcPr>
            <w:tcW w:w="8185" w:type="dxa"/>
          </w:tcPr>
          <w:p w14:paraId="562E6E5E" w14:textId="2EEE1F97" w:rsidR="006C4C09" w:rsidRDefault="00F240D0">
            <m:oMathPara>
              <m:oMath>
                <m:r>
                  <w:rPr>
                    <w:rFonts w:ascii="Cambria Math" w:hAnsi="Cambria Math"/>
                  </w:rPr>
                  <m:t>OM+121.77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NO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2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-</m:t>
                    </m:r>
                  </m:sup>
                </m:sSubSup>
                <m:r>
                  <w:rPr>
                    <w:rFonts w:ascii="Cambria Math" w:hAnsi="Cambria Math"/>
                  </w:rPr>
                  <m:t>+133.0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H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+</m:t>
                    </m:r>
                  </m:sup>
                </m:sSup>
                <m:r>
                  <w:rPr>
                    <w:rFonts w:ascii="Cambria Math" w:hAnsi="Cambria Math"/>
                  </w:rPr>
                  <m:t>→113.1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CO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2</m:t>
                    </m:r>
                  </m:sub>
                </m:sSub>
                <m:r>
                  <w:rPr>
                    <w:rFonts w:ascii="Cambria Math" w:hAnsi="Cambria Math"/>
                  </w:rPr>
                  <m:t>+11.23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NH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4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+</m:t>
                    </m:r>
                  </m:sup>
                </m:sSubSup>
                <m:r>
                  <w:rPr>
                    <w:rFonts w:ascii="Cambria Math" w:hAnsi="Cambria Math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H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3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PO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4</m:t>
                    </m:r>
                  </m:sub>
                </m:sSub>
                <m:r>
                  <w:rPr>
                    <w:rFonts w:ascii="Cambria Math" w:hAnsi="Cambria Math"/>
                  </w:rPr>
                  <m:t>+60.89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2</m:t>
                    </m:r>
                  </m:sub>
                </m:sSub>
                <m:r>
                  <w:rPr>
                    <w:rFonts w:ascii="Cambria Math" w:hAnsi="Cambria Math"/>
                  </w:rPr>
                  <m:t>+w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H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2</m:t>
                    </m:r>
                  </m:sub>
                </m:sSub>
                <m:r>
                  <w:rPr>
                    <w:rFonts w:ascii="Cambria Math" w:hAnsi="Cambria Math"/>
                  </w:rPr>
                  <m:t>O</m:t>
                </m:r>
              </m:oMath>
            </m:oMathPara>
          </w:p>
        </w:tc>
      </w:tr>
      <w:tr w:rsidR="006C4C09" w14:paraId="310BA5BF" w14:textId="77777777" w:rsidTr="03F43EF4">
        <w:tc>
          <w:tcPr>
            <w:tcW w:w="1165" w:type="dxa"/>
          </w:tcPr>
          <w:p w14:paraId="7AE5C120" w14:textId="5E3E415B" w:rsidR="006C4C09" w:rsidRDefault="006040D2">
            <w:r>
              <w:t>Anammox</w:t>
            </w:r>
          </w:p>
        </w:tc>
        <w:tc>
          <w:tcPr>
            <w:tcW w:w="8185" w:type="dxa"/>
          </w:tcPr>
          <w:p w14:paraId="5B2EE4C8" w14:textId="43CECC59" w:rsidR="006C4C09" w:rsidRDefault="00000000">
            <m:oMathPara>
              <m:oMath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NH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4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+</m:t>
                    </m:r>
                  </m:sup>
                </m:sSubSup>
                <m:r>
                  <w:rPr>
                    <w:rFonts w:ascii="Cambria Math" w:hAnsi="Cambria Math"/>
                  </w:rPr>
                  <m:t>+1.32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NO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2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-</m:t>
                    </m:r>
                  </m:sup>
                </m:sSubSup>
                <m:r>
                  <w:rPr>
                    <w:rFonts w:ascii="Cambria Math" w:hAnsi="Cambria Math"/>
                  </w:rPr>
                  <m:t>+0.11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CO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2</m:t>
                    </m:r>
                  </m:sub>
                </m:sSub>
                <m:r>
                  <w:rPr>
                    <w:rFonts w:ascii="Cambria Math" w:hAnsi="Cambria Math"/>
                  </w:rPr>
                  <m:t>+0.02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H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+</m:t>
                    </m:r>
                  </m:sup>
                </m:sSup>
                <m:r>
                  <w:rPr>
                    <w:rFonts w:ascii="Cambria Math" w:hAnsi="Cambria Math"/>
                  </w:rPr>
                  <m:t>→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2</m:t>
                    </m:r>
                  </m:sub>
                </m:sSub>
                <m:r>
                  <w:rPr>
                    <w:rFonts w:ascii="Cambria Math" w:hAnsi="Cambria Math"/>
                  </w:rPr>
                  <m:t>+0.11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OM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amx</m:t>
                    </m:r>
                  </m:sup>
                </m:sSup>
                <m:r>
                  <w:rPr>
                    <w:rFonts w:ascii="Cambria Math" w:hAnsi="Cambria Math"/>
                  </w:rPr>
                  <m:t>+1.90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H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2</m:t>
                    </m:r>
                  </m:sub>
                </m:sSub>
                <m:r>
                  <w:rPr>
                    <w:rFonts w:ascii="Cambria Math" w:hAnsi="Cambria Math"/>
                  </w:rPr>
                  <m:t>O+0.3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NO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3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-</m:t>
                    </m:r>
                  </m:sup>
                </m:sSubSup>
              </m:oMath>
            </m:oMathPara>
          </w:p>
        </w:tc>
      </w:tr>
      <w:tr w:rsidR="006C4C09" w14:paraId="732C920D" w14:textId="77777777" w:rsidTr="03F43EF4">
        <w:tc>
          <w:tcPr>
            <w:tcW w:w="1165" w:type="dxa"/>
          </w:tcPr>
          <w:p w14:paraId="26E2691B" w14:textId="6B7ED929" w:rsidR="006C4C09" w:rsidRDefault="008D08FE">
            <w:r>
              <w:t>NO</w:t>
            </w:r>
            <w:r w:rsidRPr="00F240D0">
              <w:rPr>
                <w:vertAlign w:val="subscript"/>
              </w:rPr>
              <w:t>2</w:t>
            </w:r>
            <w:r w:rsidRPr="00F240D0">
              <w:rPr>
                <w:vertAlign w:val="superscript"/>
              </w:rPr>
              <w:t>-</w:t>
            </w:r>
            <w:r>
              <w:t xml:space="preserve"> Oxidation</w:t>
            </w:r>
          </w:p>
        </w:tc>
        <w:tc>
          <w:tcPr>
            <w:tcW w:w="8185" w:type="dxa"/>
          </w:tcPr>
          <w:p w14:paraId="56E6E6AE" w14:textId="5ED073B2" w:rsidR="006C4C09" w:rsidRDefault="00000000">
            <m:oMathPara>
              <m:oMath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NO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2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-</m:t>
                    </m:r>
                  </m:sup>
                </m:sSubSup>
                <m:r>
                  <w:rPr>
                    <w:rFonts w:ascii="Cambria Math" w:hAnsi="Cambria Math"/>
                  </w:rPr>
                  <m:t>+oxidant→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NO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3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-</m:t>
                    </m:r>
                  </m:sup>
                </m:sSubSup>
                <m:r>
                  <w:rPr>
                    <w:rFonts w:ascii="Cambria Math" w:hAnsi="Cambria Math"/>
                  </w:rPr>
                  <m:t>+reductant</m:t>
                </m:r>
              </m:oMath>
            </m:oMathPara>
          </w:p>
        </w:tc>
      </w:tr>
      <w:tr w:rsidR="006C4C09" w14:paraId="526BD8F9" w14:textId="77777777" w:rsidTr="03F43EF4">
        <w:tc>
          <w:tcPr>
            <w:tcW w:w="1165" w:type="dxa"/>
          </w:tcPr>
          <w:p w14:paraId="0FEBEBB2" w14:textId="12CD5D41" w:rsidR="006C4C09" w:rsidRDefault="00C6575A">
            <w:r>
              <w:t>CaCO</w:t>
            </w:r>
            <w:r w:rsidRPr="00C6575A">
              <w:rPr>
                <w:vertAlign w:val="subscript"/>
              </w:rPr>
              <w:t>3</w:t>
            </w:r>
            <w:r>
              <w:t xml:space="preserve"> Dissolution</w:t>
            </w:r>
          </w:p>
        </w:tc>
        <w:tc>
          <w:tcPr>
            <w:tcW w:w="8185" w:type="dxa"/>
          </w:tcPr>
          <w:p w14:paraId="68BDBF96" w14:textId="2A82A80D" w:rsidR="006C4C09" w:rsidRDefault="00967EA4">
            <m:oMathPara>
              <m:oMath>
                <m:r>
                  <w:rPr>
                    <w:rFonts w:ascii="Cambria Math" w:hAnsi="Cambria Math"/>
                  </w:rPr>
                  <m:t>Ca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CO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3</m:t>
                    </m:r>
                  </m:sub>
                </m:sSub>
                <m:r>
                  <w:rPr>
                    <w:rFonts w:ascii="Cambria Math" w:hAnsi="Cambria Math"/>
                  </w:rPr>
                  <m:t>→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Ca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2+</m:t>
                    </m:r>
                  </m:sup>
                </m:sSup>
                <m:r>
                  <w:rPr>
                    <w:rFonts w:ascii="Cambria Math" w:hAnsi="Cambria Math"/>
                  </w:rPr>
                  <m:t>+</m:t>
                </m:r>
                <m:sSubSup>
                  <m:sSubSupPr>
                    <m:ctrlPr>
                      <w:rPr>
                        <w:rFonts w:ascii="Cambria Math" w:hAnsi="Cambria Math"/>
                        <w:i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</w:rPr>
                      <m:t>CO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3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2-</m:t>
                    </m:r>
                  </m:sup>
                </m:sSubSup>
              </m:oMath>
            </m:oMathPara>
          </w:p>
        </w:tc>
      </w:tr>
    </w:tbl>
    <w:p w14:paraId="5E80DA2E" w14:textId="77777777" w:rsidR="00C07F91" w:rsidRDefault="00C07F91"/>
    <w:p w14:paraId="32510221" w14:textId="695166CE" w:rsidR="000B60D3" w:rsidRDefault="000B60D3">
      <w:r w:rsidRPr="00BF4EB4">
        <w:rPr>
          <w:b/>
          <w:bCs/>
        </w:rPr>
        <w:t>Table S2:</w:t>
      </w:r>
      <w:r>
        <w:t xml:space="preserve"> </w:t>
      </w:r>
      <w:r w:rsidR="00BF4EB4">
        <w:t>C</w:t>
      </w:r>
      <w:r>
        <w:t>ycling regimes and associated stations</w:t>
      </w:r>
      <w:r w:rsidR="00BF4EB4">
        <w:t xml:space="preserve"> and </w:t>
      </w:r>
      <w:r w:rsidR="002647F3">
        <w:t>dates</w:t>
      </w:r>
      <w:r w:rsidR="00BF4EB4">
        <w:t>. The data are</w:t>
      </w:r>
      <w:r w:rsidR="00356CAD">
        <w:t xml:space="preserve"> broken down into three key biogeochemical regimes</w:t>
      </w:r>
      <w:r w:rsidR="004C6129">
        <w:t xml:space="preserve"> and </w:t>
      </w:r>
      <w:r w:rsidR="00557E32">
        <w:t>eight density layers (see Figure S5)</w:t>
      </w:r>
      <w:r w:rsidR="00356CAD">
        <w:t xml:space="preserve">, within which </w:t>
      </w:r>
      <w:r w:rsidR="00557E32">
        <w:t xml:space="preserve">the </w:t>
      </w:r>
      <w:r w:rsidR="00006568">
        <w:t>importance of different nitrogen cycle reactions is assumed to be constant.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0F318A" w14:paraId="288815EF" w14:textId="77777777" w:rsidTr="000F318A">
        <w:tc>
          <w:tcPr>
            <w:tcW w:w="3116" w:type="dxa"/>
          </w:tcPr>
          <w:p w14:paraId="5B4B349B" w14:textId="7D401716" w:rsidR="000F318A" w:rsidRPr="00BF4EB4" w:rsidRDefault="000F318A">
            <w:pPr>
              <w:rPr>
                <w:b/>
                <w:bCs/>
              </w:rPr>
            </w:pPr>
            <w:r w:rsidRPr="00BF4EB4">
              <w:rPr>
                <w:b/>
                <w:bCs/>
              </w:rPr>
              <w:t>Cycling Regime</w:t>
            </w:r>
          </w:p>
        </w:tc>
        <w:tc>
          <w:tcPr>
            <w:tcW w:w="3117" w:type="dxa"/>
          </w:tcPr>
          <w:p w14:paraId="6F2DFCCA" w14:textId="42257A54" w:rsidR="000F318A" w:rsidRPr="00BF4EB4" w:rsidRDefault="000F318A">
            <w:pPr>
              <w:rPr>
                <w:b/>
                <w:bCs/>
              </w:rPr>
            </w:pPr>
            <w:r w:rsidRPr="00BF4EB4">
              <w:rPr>
                <w:b/>
                <w:bCs/>
              </w:rPr>
              <w:t>Stations</w:t>
            </w:r>
          </w:p>
        </w:tc>
        <w:tc>
          <w:tcPr>
            <w:tcW w:w="3117" w:type="dxa"/>
          </w:tcPr>
          <w:p w14:paraId="5247D375" w14:textId="255BFCB5" w:rsidR="000F318A" w:rsidRPr="00356CAD" w:rsidRDefault="000F318A">
            <w:pPr>
              <w:rPr>
                <w:b/>
                <w:bCs/>
              </w:rPr>
            </w:pPr>
            <w:r w:rsidRPr="00356CAD">
              <w:rPr>
                <w:b/>
                <w:bCs/>
              </w:rPr>
              <w:t>Dates</w:t>
            </w:r>
          </w:p>
        </w:tc>
      </w:tr>
      <w:tr w:rsidR="000F318A" w14:paraId="63B3AD88" w14:textId="77777777" w:rsidTr="000F318A">
        <w:tc>
          <w:tcPr>
            <w:tcW w:w="3116" w:type="dxa"/>
          </w:tcPr>
          <w:p w14:paraId="07BE30EB" w14:textId="34B5A503" w:rsidR="000F318A" w:rsidRDefault="00E20844" w:rsidP="00E20844">
            <w:pPr>
              <w:tabs>
                <w:tab w:val="left" w:pos="2080"/>
              </w:tabs>
            </w:pPr>
            <w:r>
              <w:t>Low POC, high NO</w:t>
            </w:r>
            <w:r w:rsidRPr="00F240D0">
              <w:rPr>
                <w:vertAlign w:val="subscript"/>
              </w:rPr>
              <w:t>2</w:t>
            </w:r>
            <w:r w:rsidRPr="00F240D0">
              <w:rPr>
                <w:vertAlign w:val="superscript"/>
              </w:rPr>
              <w:t>-</w:t>
            </w:r>
          </w:p>
        </w:tc>
        <w:tc>
          <w:tcPr>
            <w:tcW w:w="3117" w:type="dxa"/>
          </w:tcPr>
          <w:p w14:paraId="2667589A" w14:textId="5419CBC4" w:rsidR="000F318A" w:rsidRDefault="00E20844">
            <w:r>
              <w:t>1-19, 28-29</w:t>
            </w:r>
          </w:p>
        </w:tc>
        <w:tc>
          <w:tcPr>
            <w:tcW w:w="3117" w:type="dxa"/>
          </w:tcPr>
          <w:p w14:paraId="65BECC62" w14:textId="10AAD44D" w:rsidR="000F318A" w:rsidRDefault="00E20844">
            <w:r>
              <w:t>1/15/22-</w:t>
            </w:r>
            <w:r w:rsidR="00AF38FD">
              <w:t>7/20/22, 10/21/22</w:t>
            </w:r>
            <w:r w:rsidR="00241388">
              <w:t>-11/1/22</w:t>
            </w:r>
          </w:p>
        </w:tc>
      </w:tr>
      <w:tr w:rsidR="000F318A" w14:paraId="180C92AD" w14:textId="77777777" w:rsidTr="000F318A">
        <w:tc>
          <w:tcPr>
            <w:tcW w:w="3116" w:type="dxa"/>
          </w:tcPr>
          <w:p w14:paraId="7F1523C0" w14:textId="46243A90" w:rsidR="000F318A" w:rsidRDefault="00241388">
            <w:r>
              <w:t>High POC</w:t>
            </w:r>
          </w:p>
        </w:tc>
        <w:tc>
          <w:tcPr>
            <w:tcW w:w="3117" w:type="dxa"/>
          </w:tcPr>
          <w:p w14:paraId="69098BC9" w14:textId="57BE6374" w:rsidR="000F318A" w:rsidRDefault="00241388">
            <w:r>
              <w:t>20-27</w:t>
            </w:r>
          </w:p>
        </w:tc>
        <w:tc>
          <w:tcPr>
            <w:tcW w:w="3117" w:type="dxa"/>
          </w:tcPr>
          <w:p w14:paraId="2E4494C8" w14:textId="1C36E143" w:rsidR="000F318A" w:rsidRDefault="00241388">
            <w:r>
              <w:t>7/30/22-10/11/22</w:t>
            </w:r>
          </w:p>
        </w:tc>
      </w:tr>
      <w:tr w:rsidR="000F318A" w14:paraId="787D5D8F" w14:textId="77777777" w:rsidTr="000F318A">
        <w:tc>
          <w:tcPr>
            <w:tcW w:w="3116" w:type="dxa"/>
          </w:tcPr>
          <w:p w14:paraId="3563BE68" w14:textId="7C64203A" w:rsidR="000F318A" w:rsidRDefault="00BE67A9">
            <w:r>
              <w:t>Low POC, low NO</w:t>
            </w:r>
            <w:r w:rsidRPr="00F240D0">
              <w:rPr>
                <w:vertAlign w:val="subscript"/>
              </w:rPr>
              <w:t>2</w:t>
            </w:r>
            <w:r w:rsidRPr="00F240D0">
              <w:rPr>
                <w:vertAlign w:val="superscript"/>
              </w:rPr>
              <w:t>-</w:t>
            </w:r>
          </w:p>
        </w:tc>
        <w:tc>
          <w:tcPr>
            <w:tcW w:w="3117" w:type="dxa"/>
          </w:tcPr>
          <w:p w14:paraId="4E8C612A" w14:textId="66CFE20F" w:rsidR="000F318A" w:rsidRDefault="00BE67A9">
            <w:r>
              <w:t>30-71</w:t>
            </w:r>
          </w:p>
        </w:tc>
        <w:tc>
          <w:tcPr>
            <w:tcW w:w="3117" w:type="dxa"/>
          </w:tcPr>
          <w:p w14:paraId="7A7869BC" w14:textId="595E9312" w:rsidR="000F318A" w:rsidRDefault="00097548">
            <w:r>
              <w:t>11/11/22-1/10/24</w:t>
            </w:r>
          </w:p>
        </w:tc>
      </w:tr>
    </w:tbl>
    <w:p w14:paraId="762804AD" w14:textId="77777777" w:rsidR="000F318A" w:rsidRDefault="000F318A"/>
    <w:p w14:paraId="3168ABA8" w14:textId="4D404E8D" w:rsidR="006A22E9" w:rsidRDefault="00814870">
      <w:r w:rsidRPr="00006568">
        <w:rPr>
          <w:b/>
          <w:bCs/>
        </w:rPr>
        <w:t>Table S3:</w:t>
      </w:r>
      <w:r>
        <w:t xml:space="preserve"> </w:t>
      </w:r>
      <w:r w:rsidR="00006568">
        <w:t xml:space="preserve">Theoretical </w:t>
      </w:r>
      <w:r w:rsidR="00006568">
        <w:rPr>
          <w:rFonts w:ascii="Symbol" w:eastAsia="Symbol" w:hAnsi="Symbol" w:cs="Symbol"/>
        </w:rPr>
        <w:t>D</w:t>
      </w:r>
      <w:r w:rsidR="00006568">
        <w:t>tracer/</w:t>
      </w:r>
      <w:r w:rsidR="00006568">
        <w:rPr>
          <w:rFonts w:ascii="Symbol" w:eastAsia="Symbol" w:hAnsi="Symbol" w:cs="Symbol"/>
        </w:rPr>
        <w:t>D</w:t>
      </w:r>
      <w:r w:rsidR="00006568">
        <w:t xml:space="preserve">DIC for </w:t>
      </w:r>
      <w:r w:rsidR="00B56EDE">
        <w:t>each of the five key reactions included in the model.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02"/>
        <w:gridCol w:w="1439"/>
        <w:gridCol w:w="1830"/>
        <w:gridCol w:w="1522"/>
        <w:gridCol w:w="1511"/>
        <w:gridCol w:w="1546"/>
      </w:tblGrid>
      <w:tr w:rsidR="000E1F62" w14:paraId="70DF8C05" w14:textId="77777777" w:rsidTr="00705A43">
        <w:tc>
          <w:tcPr>
            <w:tcW w:w="1518" w:type="dxa"/>
          </w:tcPr>
          <w:p w14:paraId="34E959BA" w14:textId="0F0EBCD4" w:rsidR="000E1F62" w:rsidRPr="00006568" w:rsidRDefault="00006568" w:rsidP="00705A43">
            <w:pPr>
              <w:rPr>
                <w:b/>
                <w:bCs/>
              </w:rPr>
            </w:pPr>
            <w:r>
              <w:rPr>
                <w:b/>
                <w:bCs/>
              </w:rPr>
              <w:t>Tracer</w:t>
            </w:r>
          </w:p>
        </w:tc>
        <w:tc>
          <w:tcPr>
            <w:tcW w:w="1525" w:type="dxa"/>
          </w:tcPr>
          <w:p w14:paraId="7723F4EE" w14:textId="77777777" w:rsidR="000E1F62" w:rsidRPr="00006568" w:rsidRDefault="000E1F62" w:rsidP="00705A43">
            <w:pPr>
              <w:rPr>
                <w:b/>
                <w:bCs/>
              </w:rPr>
            </w:pPr>
            <w:r w:rsidRPr="00006568">
              <w:rPr>
                <w:b/>
                <w:bCs/>
              </w:rPr>
              <w:t>DNRN</w:t>
            </w:r>
          </w:p>
        </w:tc>
        <w:tc>
          <w:tcPr>
            <w:tcW w:w="1670" w:type="dxa"/>
          </w:tcPr>
          <w:p w14:paraId="39784FCA" w14:textId="77777777" w:rsidR="000E1F62" w:rsidRPr="00006568" w:rsidRDefault="000E1F62" w:rsidP="00705A43">
            <w:pPr>
              <w:rPr>
                <w:b/>
                <w:bCs/>
              </w:rPr>
            </w:pPr>
            <w:r w:rsidRPr="00006568">
              <w:rPr>
                <w:b/>
                <w:bCs/>
              </w:rPr>
              <w:t>Denitrification</w:t>
            </w:r>
          </w:p>
        </w:tc>
        <w:tc>
          <w:tcPr>
            <w:tcW w:w="1545" w:type="dxa"/>
          </w:tcPr>
          <w:p w14:paraId="5799BF7D" w14:textId="77777777" w:rsidR="000E1F62" w:rsidRPr="00006568" w:rsidRDefault="000E1F62" w:rsidP="00705A43">
            <w:pPr>
              <w:rPr>
                <w:b/>
                <w:bCs/>
              </w:rPr>
            </w:pPr>
            <w:r w:rsidRPr="00006568">
              <w:rPr>
                <w:b/>
                <w:bCs/>
              </w:rPr>
              <w:t>Anammox</w:t>
            </w:r>
          </w:p>
        </w:tc>
        <w:tc>
          <w:tcPr>
            <w:tcW w:w="1542" w:type="dxa"/>
          </w:tcPr>
          <w:p w14:paraId="405406B6" w14:textId="77777777" w:rsidR="000E1F62" w:rsidRPr="00006568" w:rsidRDefault="000E1F62" w:rsidP="00705A43">
            <w:pPr>
              <w:rPr>
                <w:b/>
                <w:bCs/>
              </w:rPr>
            </w:pPr>
            <w:r w:rsidRPr="00006568">
              <w:rPr>
                <w:b/>
                <w:bCs/>
              </w:rPr>
              <w:t>NO</w:t>
            </w:r>
            <w:r w:rsidRPr="00006568">
              <w:rPr>
                <w:b/>
                <w:bCs/>
                <w:vertAlign w:val="subscript"/>
              </w:rPr>
              <w:t>2</w:t>
            </w:r>
            <w:r w:rsidRPr="00006568">
              <w:rPr>
                <w:b/>
                <w:bCs/>
                <w:vertAlign w:val="superscript"/>
              </w:rPr>
              <w:t>-</w:t>
            </w:r>
            <w:r w:rsidRPr="00006568">
              <w:rPr>
                <w:b/>
                <w:bCs/>
              </w:rPr>
              <w:t xml:space="preserve"> Oxidation</w:t>
            </w:r>
          </w:p>
        </w:tc>
        <w:tc>
          <w:tcPr>
            <w:tcW w:w="1550" w:type="dxa"/>
          </w:tcPr>
          <w:p w14:paraId="729247F6" w14:textId="77777777" w:rsidR="000E1F62" w:rsidRPr="00006568" w:rsidRDefault="000E1F62" w:rsidP="00705A43">
            <w:pPr>
              <w:rPr>
                <w:b/>
                <w:bCs/>
              </w:rPr>
            </w:pPr>
            <w:r w:rsidRPr="00006568">
              <w:rPr>
                <w:b/>
                <w:bCs/>
              </w:rPr>
              <w:t>CaCO</w:t>
            </w:r>
            <w:r w:rsidRPr="00006568">
              <w:rPr>
                <w:b/>
                <w:bCs/>
                <w:vertAlign w:val="subscript"/>
              </w:rPr>
              <w:t>3</w:t>
            </w:r>
            <w:r w:rsidRPr="00006568">
              <w:rPr>
                <w:b/>
                <w:bCs/>
              </w:rPr>
              <w:t xml:space="preserve"> Dissolution</w:t>
            </w:r>
          </w:p>
        </w:tc>
      </w:tr>
      <w:tr w:rsidR="000E1F62" w14:paraId="5E5FF696" w14:textId="77777777" w:rsidTr="00705A43">
        <w:tc>
          <w:tcPr>
            <w:tcW w:w="1518" w:type="dxa"/>
          </w:tcPr>
          <w:p w14:paraId="4B0B8BFC" w14:textId="0AB412C4" w:rsidR="000E1F62" w:rsidRDefault="005279A8" w:rsidP="00705A43">
            <w:r>
              <w:rPr>
                <w:rFonts w:ascii="Symbol" w:eastAsia="Symbol" w:hAnsi="Symbol" w:cs="Symbol"/>
              </w:rPr>
              <w:t>D</w:t>
            </w:r>
            <w:r w:rsidR="000E1F62">
              <w:t>NO</w:t>
            </w:r>
            <w:r w:rsidR="000E1F62" w:rsidRPr="005279A8">
              <w:rPr>
                <w:vertAlign w:val="subscript"/>
              </w:rPr>
              <w:t>3</w:t>
            </w:r>
            <w:r w:rsidR="000E1F62" w:rsidRPr="005279A8">
              <w:rPr>
                <w:vertAlign w:val="superscript"/>
              </w:rPr>
              <w:t>-</w:t>
            </w:r>
            <w:r>
              <w:t>/</w:t>
            </w:r>
            <w:r>
              <w:rPr>
                <w:rFonts w:ascii="Symbol" w:eastAsia="Symbol" w:hAnsi="Symbol" w:cs="Symbol"/>
              </w:rPr>
              <w:t>D</w:t>
            </w:r>
            <w:r>
              <w:t>DIC</w:t>
            </w:r>
          </w:p>
        </w:tc>
        <w:tc>
          <w:tcPr>
            <w:tcW w:w="1525" w:type="dxa"/>
          </w:tcPr>
          <w:p w14:paraId="1506193E" w14:textId="77777777" w:rsidR="000E1F62" w:rsidRDefault="000E1F62" w:rsidP="00705A43">
            <w:r>
              <w:t>-1.62</w:t>
            </w:r>
          </w:p>
        </w:tc>
        <w:tc>
          <w:tcPr>
            <w:tcW w:w="1670" w:type="dxa"/>
          </w:tcPr>
          <w:p w14:paraId="26031912" w14:textId="77777777" w:rsidR="000E1F62" w:rsidRDefault="000E1F62" w:rsidP="00705A43">
            <w:r>
              <w:t>0.00</w:t>
            </w:r>
          </w:p>
        </w:tc>
        <w:tc>
          <w:tcPr>
            <w:tcW w:w="1545" w:type="dxa"/>
          </w:tcPr>
          <w:p w14:paraId="5FE58E32" w14:textId="77777777" w:rsidR="000E1F62" w:rsidRDefault="000E1F62" w:rsidP="00705A43">
            <w:r>
              <w:t>2.91</w:t>
            </w:r>
          </w:p>
        </w:tc>
        <w:tc>
          <w:tcPr>
            <w:tcW w:w="1542" w:type="dxa"/>
          </w:tcPr>
          <w:p w14:paraId="048CF906" w14:textId="77777777" w:rsidR="000E1F62" w:rsidRDefault="000E1F62" w:rsidP="00705A43">
            <w:r>
              <w:t>46.30</w:t>
            </w:r>
          </w:p>
        </w:tc>
        <w:tc>
          <w:tcPr>
            <w:tcW w:w="1550" w:type="dxa"/>
          </w:tcPr>
          <w:p w14:paraId="2F39FB07" w14:textId="77777777" w:rsidR="000E1F62" w:rsidRDefault="000E1F62" w:rsidP="00705A43">
            <w:r>
              <w:t>0.00</w:t>
            </w:r>
          </w:p>
        </w:tc>
      </w:tr>
      <w:tr w:rsidR="000E1F62" w14:paraId="1F408D0D" w14:textId="77777777" w:rsidTr="00705A43">
        <w:tc>
          <w:tcPr>
            <w:tcW w:w="1518" w:type="dxa"/>
          </w:tcPr>
          <w:p w14:paraId="2283B76E" w14:textId="443EDE7D" w:rsidR="000E1F62" w:rsidRDefault="005279A8" w:rsidP="00705A43">
            <w:r>
              <w:rPr>
                <w:rFonts w:ascii="Symbol" w:eastAsia="Symbol" w:hAnsi="Symbol" w:cs="Symbol"/>
              </w:rPr>
              <w:t>D</w:t>
            </w:r>
            <w:r>
              <w:t>NO</w:t>
            </w:r>
            <w:r>
              <w:rPr>
                <w:vertAlign w:val="subscript"/>
              </w:rPr>
              <w:t>2</w:t>
            </w:r>
            <w:r w:rsidRPr="005279A8">
              <w:rPr>
                <w:vertAlign w:val="superscript"/>
              </w:rPr>
              <w:t>-</w:t>
            </w:r>
            <w:r>
              <w:t>/</w:t>
            </w:r>
            <w:r>
              <w:rPr>
                <w:rFonts w:ascii="Symbol" w:eastAsia="Symbol" w:hAnsi="Symbol" w:cs="Symbol"/>
              </w:rPr>
              <w:t>D</w:t>
            </w:r>
            <w:r>
              <w:t>DIC</w:t>
            </w:r>
          </w:p>
        </w:tc>
        <w:tc>
          <w:tcPr>
            <w:tcW w:w="1525" w:type="dxa"/>
          </w:tcPr>
          <w:p w14:paraId="3220AFC2" w14:textId="77777777" w:rsidR="000E1F62" w:rsidRDefault="000E1F62" w:rsidP="00705A43">
            <w:r>
              <w:t>1.62</w:t>
            </w:r>
          </w:p>
        </w:tc>
        <w:tc>
          <w:tcPr>
            <w:tcW w:w="1670" w:type="dxa"/>
          </w:tcPr>
          <w:p w14:paraId="2B03732E" w14:textId="77777777" w:rsidR="000E1F62" w:rsidRDefault="000E1F62" w:rsidP="00705A43">
            <w:r>
              <w:t>-1.08</w:t>
            </w:r>
          </w:p>
        </w:tc>
        <w:tc>
          <w:tcPr>
            <w:tcW w:w="1545" w:type="dxa"/>
          </w:tcPr>
          <w:p w14:paraId="3E666D0D" w14:textId="77777777" w:rsidR="000E1F62" w:rsidRDefault="000E1F62" w:rsidP="00705A43">
            <w:r>
              <w:t>-1.20</w:t>
            </w:r>
          </w:p>
        </w:tc>
        <w:tc>
          <w:tcPr>
            <w:tcW w:w="1542" w:type="dxa"/>
          </w:tcPr>
          <w:p w14:paraId="7A724E2E" w14:textId="77777777" w:rsidR="000E1F62" w:rsidRDefault="000E1F62" w:rsidP="00705A43">
            <w:r>
              <w:t>-46.30</w:t>
            </w:r>
          </w:p>
        </w:tc>
        <w:tc>
          <w:tcPr>
            <w:tcW w:w="1550" w:type="dxa"/>
          </w:tcPr>
          <w:p w14:paraId="0E2E3F56" w14:textId="77777777" w:rsidR="000E1F62" w:rsidRDefault="000E1F62" w:rsidP="00705A43">
            <w:r>
              <w:t>0.00</w:t>
            </w:r>
          </w:p>
        </w:tc>
      </w:tr>
      <w:tr w:rsidR="000E1F62" w14:paraId="499637A9" w14:textId="77777777" w:rsidTr="00705A43">
        <w:tc>
          <w:tcPr>
            <w:tcW w:w="1518" w:type="dxa"/>
          </w:tcPr>
          <w:p w14:paraId="0A6FF827" w14:textId="224E2AD4" w:rsidR="000E1F62" w:rsidRDefault="005279A8" w:rsidP="00705A43">
            <w:r>
              <w:rPr>
                <w:rFonts w:ascii="Symbol" w:eastAsia="Symbol" w:hAnsi="Symbol" w:cs="Symbol"/>
              </w:rPr>
              <w:t>D</w:t>
            </w:r>
            <w:r>
              <w:t>N*/</w:t>
            </w:r>
            <w:r>
              <w:rPr>
                <w:rFonts w:ascii="Symbol" w:eastAsia="Symbol" w:hAnsi="Symbol" w:cs="Symbol"/>
              </w:rPr>
              <w:t>D</w:t>
            </w:r>
            <w:r>
              <w:t>DIC</w:t>
            </w:r>
          </w:p>
        </w:tc>
        <w:tc>
          <w:tcPr>
            <w:tcW w:w="1525" w:type="dxa"/>
          </w:tcPr>
          <w:p w14:paraId="048FAE23" w14:textId="77777777" w:rsidR="000E1F62" w:rsidRDefault="000E1F62" w:rsidP="00705A43">
            <w:r>
              <w:t>0.10</w:t>
            </w:r>
          </w:p>
        </w:tc>
        <w:tc>
          <w:tcPr>
            <w:tcW w:w="1670" w:type="dxa"/>
          </w:tcPr>
          <w:p w14:paraId="17183083" w14:textId="77777777" w:rsidR="000E1F62" w:rsidRDefault="000E1F62" w:rsidP="00705A43">
            <w:r>
              <w:t>0.10</w:t>
            </w:r>
          </w:p>
        </w:tc>
        <w:tc>
          <w:tcPr>
            <w:tcW w:w="1545" w:type="dxa"/>
          </w:tcPr>
          <w:p w14:paraId="1609C31F" w14:textId="77777777" w:rsidR="000E1F62" w:rsidRDefault="000E1F62" w:rsidP="00705A43">
            <w:r>
              <w:t>-9.09</w:t>
            </w:r>
          </w:p>
        </w:tc>
        <w:tc>
          <w:tcPr>
            <w:tcW w:w="1542" w:type="dxa"/>
          </w:tcPr>
          <w:p w14:paraId="0F8F3237" w14:textId="77777777" w:rsidR="000E1F62" w:rsidRDefault="000E1F62" w:rsidP="00705A43">
            <w:r>
              <w:t>0.00</w:t>
            </w:r>
          </w:p>
        </w:tc>
        <w:tc>
          <w:tcPr>
            <w:tcW w:w="1550" w:type="dxa"/>
          </w:tcPr>
          <w:p w14:paraId="03861311" w14:textId="77777777" w:rsidR="000E1F62" w:rsidRDefault="000E1F62" w:rsidP="00705A43">
            <w:r>
              <w:t>0.00</w:t>
            </w:r>
          </w:p>
        </w:tc>
      </w:tr>
      <w:tr w:rsidR="000E1F62" w14:paraId="5A9537A6" w14:textId="77777777" w:rsidTr="00705A43">
        <w:tc>
          <w:tcPr>
            <w:tcW w:w="1518" w:type="dxa"/>
          </w:tcPr>
          <w:p w14:paraId="22E228FC" w14:textId="302B44C1" w:rsidR="000E1F62" w:rsidRDefault="005279A8" w:rsidP="00705A43">
            <w:r>
              <w:rPr>
                <w:rFonts w:ascii="Symbol" w:eastAsia="Symbol" w:hAnsi="Symbol" w:cs="Symbol"/>
              </w:rPr>
              <w:t>D</w:t>
            </w:r>
            <w:r>
              <w:t>TA/</w:t>
            </w:r>
            <w:r>
              <w:rPr>
                <w:rFonts w:ascii="Symbol" w:eastAsia="Symbol" w:hAnsi="Symbol" w:cs="Symbol"/>
              </w:rPr>
              <w:t>D</w:t>
            </w:r>
            <w:r>
              <w:t>DIC</w:t>
            </w:r>
          </w:p>
        </w:tc>
        <w:tc>
          <w:tcPr>
            <w:tcW w:w="1525" w:type="dxa"/>
          </w:tcPr>
          <w:p w14:paraId="594B162D" w14:textId="77777777" w:rsidR="000E1F62" w:rsidRDefault="000E1F62" w:rsidP="00705A43">
            <w:r>
              <w:t>0.09</w:t>
            </w:r>
          </w:p>
        </w:tc>
        <w:tc>
          <w:tcPr>
            <w:tcW w:w="1670" w:type="dxa"/>
          </w:tcPr>
          <w:p w14:paraId="309E92E4" w14:textId="77777777" w:rsidR="000E1F62" w:rsidRDefault="000E1F62" w:rsidP="00705A43">
            <w:r>
              <w:t>1.17</w:t>
            </w:r>
          </w:p>
        </w:tc>
        <w:tc>
          <w:tcPr>
            <w:tcW w:w="1545" w:type="dxa"/>
          </w:tcPr>
          <w:p w14:paraId="4E7606CD" w14:textId="77777777" w:rsidR="000E1F62" w:rsidRDefault="000E1F62" w:rsidP="00705A43">
            <w:r>
              <w:t>0.18</w:t>
            </w:r>
          </w:p>
        </w:tc>
        <w:tc>
          <w:tcPr>
            <w:tcW w:w="1542" w:type="dxa"/>
          </w:tcPr>
          <w:p w14:paraId="20EFB560" w14:textId="77777777" w:rsidR="000E1F62" w:rsidRDefault="000E1F62" w:rsidP="00705A43">
            <w:r>
              <w:t>0.00</w:t>
            </w:r>
          </w:p>
        </w:tc>
        <w:tc>
          <w:tcPr>
            <w:tcW w:w="1550" w:type="dxa"/>
          </w:tcPr>
          <w:p w14:paraId="270DE19E" w14:textId="77777777" w:rsidR="000E1F62" w:rsidRDefault="000E1F62" w:rsidP="00705A43">
            <w:r>
              <w:t>2.00</w:t>
            </w:r>
          </w:p>
        </w:tc>
      </w:tr>
      <w:tr w:rsidR="000E1F62" w14:paraId="79741E53" w14:textId="77777777" w:rsidTr="00705A43">
        <w:tc>
          <w:tcPr>
            <w:tcW w:w="1518" w:type="dxa"/>
          </w:tcPr>
          <w:p w14:paraId="2984BF8F" w14:textId="74D56FE4" w:rsidR="000E1F62" w:rsidRDefault="005279A8" w:rsidP="00705A43">
            <w:r>
              <w:rPr>
                <w:rFonts w:ascii="Symbol" w:eastAsia="Symbol" w:hAnsi="Symbol" w:cs="Symbol"/>
              </w:rPr>
              <w:t>D</w:t>
            </w:r>
            <w:r>
              <w:t>DIC/</w:t>
            </w:r>
            <w:r>
              <w:rPr>
                <w:rFonts w:ascii="Symbol" w:eastAsia="Symbol" w:hAnsi="Symbol" w:cs="Symbol"/>
              </w:rPr>
              <w:t>D</w:t>
            </w:r>
            <w:r>
              <w:t>DIC</w:t>
            </w:r>
          </w:p>
        </w:tc>
        <w:tc>
          <w:tcPr>
            <w:tcW w:w="1525" w:type="dxa"/>
          </w:tcPr>
          <w:p w14:paraId="64B5AC23" w14:textId="77777777" w:rsidR="000E1F62" w:rsidRDefault="000E1F62" w:rsidP="00705A43">
            <w:r>
              <w:t>1.00</w:t>
            </w:r>
          </w:p>
        </w:tc>
        <w:tc>
          <w:tcPr>
            <w:tcW w:w="1670" w:type="dxa"/>
          </w:tcPr>
          <w:p w14:paraId="289996BB" w14:textId="77777777" w:rsidR="000E1F62" w:rsidRDefault="000E1F62" w:rsidP="00705A43">
            <w:r>
              <w:t>1.00</w:t>
            </w:r>
          </w:p>
        </w:tc>
        <w:tc>
          <w:tcPr>
            <w:tcW w:w="1545" w:type="dxa"/>
          </w:tcPr>
          <w:p w14:paraId="27383982" w14:textId="77777777" w:rsidR="000E1F62" w:rsidRDefault="000E1F62" w:rsidP="00705A43">
            <w:r>
              <w:t>-1.00</w:t>
            </w:r>
          </w:p>
        </w:tc>
        <w:tc>
          <w:tcPr>
            <w:tcW w:w="1542" w:type="dxa"/>
          </w:tcPr>
          <w:p w14:paraId="33030532" w14:textId="77777777" w:rsidR="000E1F62" w:rsidRDefault="000E1F62" w:rsidP="00705A43">
            <w:r>
              <w:t>-1.00</w:t>
            </w:r>
          </w:p>
        </w:tc>
        <w:tc>
          <w:tcPr>
            <w:tcW w:w="1550" w:type="dxa"/>
          </w:tcPr>
          <w:p w14:paraId="15EB2842" w14:textId="77777777" w:rsidR="000E1F62" w:rsidRDefault="000E1F62" w:rsidP="00705A43">
            <w:r>
              <w:t>1.00</w:t>
            </w:r>
          </w:p>
        </w:tc>
      </w:tr>
    </w:tbl>
    <w:p w14:paraId="5F17F39B" w14:textId="77777777" w:rsidR="000E1F62" w:rsidRPr="006A22E9" w:rsidRDefault="000E1F62"/>
    <w:sectPr w:rsidR="000E1F62" w:rsidRPr="006A22E9">
      <w:footerReference w:type="even" r:id="rId14"/>
      <w:footerReference w:type="default" r:id="rId1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A2F3F10" w14:textId="77777777" w:rsidR="00ED5D71" w:rsidRDefault="00ED5D71" w:rsidP="00FC0ECB">
      <w:pPr>
        <w:spacing w:after="0" w:line="240" w:lineRule="auto"/>
      </w:pPr>
      <w:r>
        <w:separator/>
      </w:r>
    </w:p>
  </w:endnote>
  <w:endnote w:type="continuationSeparator" w:id="0">
    <w:p w14:paraId="66659E2A" w14:textId="77777777" w:rsidR="00ED5D71" w:rsidRDefault="00ED5D71" w:rsidP="00FC0E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163473530"/>
      <w:docPartObj>
        <w:docPartGallery w:val="Page Numbers (Bottom of Page)"/>
        <w:docPartUnique/>
      </w:docPartObj>
    </w:sdtPr>
    <w:sdtContent>
      <w:p w14:paraId="27A244FF" w14:textId="34125740" w:rsidR="00FC0ECB" w:rsidRDefault="00FC0ECB" w:rsidP="0016110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fldChar w:fldCharType="end"/>
        </w:r>
      </w:p>
    </w:sdtContent>
  </w:sdt>
  <w:p w14:paraId="5641713E" w14:textId="77777777" w:rsidR="00FC0ECB" w:rsidRDefault="00FC0ECB" w:rsidP="00FC0ECB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51593702"/>
      <w:docPartObj>
        <w:docPartGallery w:val="Page Numbers (Bottom of Page)"/>
        <w:docPartUnique/>
      </w:docPartObj>
    </w:sdtPr>
    <w:sdtContent>
      <w:p w14:paraId="7C9435A9" w14:textId="2CFF99FF" w:rsidR="00FC0ECB" w:rsidRDefault="00FC0ECB" w:rsidP="0016110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5</w:t>
        </w:r>
        <w:r>
          <w:rPr>
            <w:rStyle w:val="PageNumber"/>
          </w:rPr>
          <w:fldChar w:fldCharType="end"/>
        </w:r>
      </w:p>
    </w:sdtContent>
  </w:sdt>
  <w:p w14:paraId="6111A282" w14:textId="77777777" w:rsidR="00FC0ECB" w:rsidRDefault="00FC0ECB" w:rsidP="00FC0ECB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392461" w14:textId="77777777" w:rsidR="00ED5D71" w:rsidRDefault="00ED5D71" w:rsidP="00FC0ECB">
      <w:pPr>
        <w:spacing w:after="0" w:line="240" w:lineRule="auto"/>
      </w:pPr>
      <w:r>
        <w:separator/>
      </w:r>
    </w:p>
  </w:footnote>
  <w:footnote w:type="continuationSeparator" w:id="0">
    <w:p w14:paraId="34F35354" w14:textId="77777777" w:rsidR="00ED5D71" w:rsidRDefault="00ED5D71" w:rsidP="00FC0EC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6193"/>
    <w:rsid w:val="00006568"/>
    <w:rsid w:val="0001490E"/>
    <w:rsid w:val="00044BE0"/>
    <w:rsid w:val="00057D50"/>
    <w:rsid w:val="00097548"/>
    <w:rsid w:val="000A2584"/>
    <w:rsid w:val="000B60D3"/>
    <w:rsid w:val="000E1F62"/>
    <w:rsid w:val="000E5343"/>
    <w:rsid w:val="000F318A"/>
    <w:rsid w:val="001325A8"/>
    <w:rsid w:val="001821D1"/>
    <w:rsid w:val="00196E32"/>
    <w:rsid w:val="001A055A"/>
    <w:rsid w:val="001D1666"/>
    <w:rsid w:val="001D2777"/>
    <w:rsid w:val="002151C0"/>
    <w:rsid w:val="00241388"/>
    <w:rsid w:val="00241920"/>
    <w:rsid w:val="00257D5B"/>
    <w:rsid w:val="002642A9"/>
    <w:rsid w:val="002647F3"/>
    <w:rsid w:val="002C74D5"/>
    <w:rsid w:val="00311F9B"/>
    <w:rsid w:val="0031289B"/>
    <w:rsid w:val="00356CAD"/>
    <w:rsid w:val="003744FA"/>
    <w:rsid w:val="0038660A"/>
    <w:rsid w:val="003B0ECC"/>
    <w:rsid w:val="003C7CF0"/>
    <w:rsid w:val="003D03EF"/>
    <w:rsid w:val="003D3949"/>
    <w:rsid w:val="004669E5"/>
    <w:rsid w:val="004C6129"/>
    <w:rsid w:val="0051370F"/>
    <w:rsid w:val="005279A8"/>
    <w:rsid w:val="00537D3D"/>
    <w:rsid w:val="005515AF"/>
    <w:rsid w:val="00557E32"/>
    <w:rsid w:val="00566B89"/>
    <w:rsid w:val="005874BA"/>
    <w:rsid w:val="005E6193"/>
    <w:rsid w:val="006040D2"/>
    <w:rsid w:val="00610346"/>
    <w:rsid w:val="00615827"/>
    <w:rsid w:val="006367A5"/>
    <w:rsid w:val="006A22E9"/>
    <w:rsid w:val="006B617A"/>
    <w:rsid w:val="006C4C09"/>
    <w:rsid w:val="006D2693"/>
    <w:rsid w:val="007176EC"/>
    <w:rsid w:val="00792A02"/>
    <w:rsid w:val="007A1410"/>
    <w:rsid w:val="007E351A"/>
    <w:rsid w:val="007E5127"/>
    <w:rsid w:val="00800C3D"/>
    <w:rsid w:val="008110DA"/>
    <w:rsid w:val="00814870"/>
    <w:rsid w:val="00822CDC"/>
    <w:rsid w:val="008434B8"/>
    <w:rsid w:val="008B4B0A"/>
    <w:rsid w:val="008D08FE"/>
    <w:rsid w:val="00923EDB"/>
    <w:rsid w:val="00967EA4"/>
    <w:rsid w:val="00987B2B"/>
    <w:rsid w:val="009B2F32"/>
    <w:rsid w:val="009D46D0"/>
    <w:rsid w:val="009D6106"/>
    <w:rsid w:val="009F3257"/>
    <w:rsid w:val="00A04BBF"/>
    <w:rsid w:val="00A439C8"/>
    <w:rsid w:val="00AB0756"/>
    <w:rsid w:val="00AE5231"/>
    <w:rsid w:val="00AF38FD"/>
    <w:rsid w:val="00B058C7"/>
    <w:rsid w:val="00B56EDE"/>
    <w:rsid w:val="00B72631"/>
    <w:rsid w:val="00BE67A9"/>
    <w:rsid w:val="00BF0B64"/>
    <w:rsid w:val="00BF4EB4"/>
    <w:rsid w:val="00C07F91"/>
    <w:rsid w:val="00C176A7"/>
    <w:rsid w:val="00C43F4C"/>
    <w:rsid w:val="00C46682"/>
    <w:rsid w:val="00C6575A"/>
    <w:rsid w:val="00C66810"/>
    <w:rsid w:val="00C75B9C"/>
    <w:rsid w:val="00C97BF1"/>
    <w:rsid w:val="00CB1031"/>
    <w:rsid w:val="00CC3B56"/>
    <w:rsid w:val="00CD1962"/>
    <w:rsid w:val="00D021FD"/>
    <w:rsid w:val="00D05BEF"/>
    <w:rsid w:val="00D14350"/>
    <w:rsid w:val="00D30B6E"/>
    <w:rsid w:val="00D46288"/>
    <w:rsid w:val="00D64630"/>
    <w:rsid w:val="00D70D17"/>
    <w:rsid w:val="00D900B0"/>
    <w:rsid w:val="00DA39F3"/>
    <w:rsid w:val="00DB1F1A"/>
    <w:rsid w:val="00DE214B"/>
    <w:rsid w:val="00DE58BA"/>
    <w:rsid w:val="00DF3D3A"/>
    <w:rsid w:val="00E20844"/>
    <w:rsid w:val="00E70076"/>
    <w:rsid w:val="00E75225"/>
    <w:rsid w:val="00E87A12"/>
    <w:rsid w:val="00E9510E"/>
    <w:rsid w:val="00E97F67"/>
    <w:rsid w:val="00EA6E57"/>
    <w:rsid w:val="00EB253D"/>
    <w:rsid w:val="00ED5D71"/>
    <w:rsid w:val="00F0703C"/>
    <w:rsid w:val="00F2025A"/>
    <w:rsid w:val="00F240D0"/>
    <w:rsid w:val="00F33A84"/>
    <w:rsid w:val="00F47D41"/>
    <w:rsid w:val="00F95ED5"/>
    <w:rsid w:val="00FC0ECB"/>
    <w:rsid w:val="0314033A"/>
    <w:rsid w:val="03F43EF4"/>
    <w:rsid w:val="062CB85E"/>
    <w:rsid w:val="06E2EC1F"/>
    <w:rsid w:val="0866C436"/>
    <w:rsid w:val="08EBC7BA"/>
    <w:rsid w:val="0B183ABA"/>
    <w:rsid w:val="0C99D372"/>
    <w:rsid w:val="12716C3B"/>
    <w:rsid w:val="1703E52B"/>
    <w:rsid w:val="19DA3068"/>
    <w:rsid w:val="1A3E403B"/>
    <w:rsid w:val="1AB4F750"/>
    <w:rsid w:val="1D96DD7A"/>
    <w:rsid w:val="1FDA1515"/>
    <w:rsid w:val="1FE5A420"/>
    <w:rsid w:val="210AC7CC"/>
    <w:rsid w:val="21461D64"/>
    <w:rsid w:val="248A1451"/>
    <w:rsid w:val="29BA1F29"/>
    <w:rsid w:val="2C8D6BA3"/>
    <w:rsid w:val="2E431AE7"/>
    <w:rsid w:val="317FE680"/>
    <w:rsid w:val="367D245B"/>
    <w:rsid w:val="37B83CE7"/>
    <w:rsid w:val="38AFA991"/>
    <w:rsid w:val="3C9252D3"/>
    <w:rsid w:val="3D911DA8"/>
    <w:rsid w:val="412D4FB6"/>
    <w:rsid w:val="418269AE"/>
    <w:rsid w:val="43B28BC6"/>
    <w:rsid w:val="45A2F542"/>
    <w:rsid w:val="462ECE8F"/>
    <w:rsid w:val="46603D52"/>
    <w:rsid w:val="49B0104E"/>
    <w:rsid w:val="4B3C78BD"/>
    <w:rsid w:val="4DCB5894"/>
    <w:rsid w:val="4DCF4426"/>
    <w:rsid w:val="4E86B1DC"/>
    <w:rsid w:val="4FF22F90"/>
    <w:rsid w:val="50E658AE"/>
    <w:rsid w:val="52216491"/>
    <w:rsid w:val="52A07158"/>
    <w:rsid w:val="58F4BC05"/>
    <w:rsid w:val="592A8EBE"/>
    <w:rsid w:val="595CDC72"/>
    <w:rsid w:val="5AB5482C"/>
    <w:rsid w:val="5BC60451"/>
    <w:rsid w:val="5D35EB0E"/>
    <w:rsid w:val="5EE22229"/>
    <w:rsid w:val="5F9D86E6"/>
    <w:rsid w:val="5FAC2F6B"/>
    <w:rsid w:val="609EBB0F"/>
    <w:rsid w:val="60BB3932"/>
    <w:rsid w:val="623A68FB"/>
    <w:rsid w:val="635F5EF0"/>
    <w:rsid w:val="6608AD13"/>
    <w:rsid w:val="66C1D950"/>
    <w:rsid w:val="6798FDC9"/>
    <w:rsid w:val="6C56DFC0"/>
    <w:rsid w:val="71DC6C5A"/>
    <w:rsid w:val="769BA478"/>
    <w:rsid w:val="791614E0"/>
    <w:rsid w:val="7A7CBE96"/>
    <w:rsid w:val="7DA24F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A852804"/>
  <w15:chartTrackingRefBased/>
  <w15:docId w15:val="{060E17E4-98A0-9A4D-86FB-FC9C916720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Bidi" w:eastAsiaTheme="minorEastAsia" w:hAnsiTheme="minorBidi" w:cstheme="minorBidi"/>
        <w:kern w:val="2"/>
        <w:sz w:val="24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E619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E619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E6193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E6193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E6193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E6193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E6193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E6193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E6193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E6193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E619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E6193"/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E6193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E6193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E6193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E6193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E6193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E6193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E619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E619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E6193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E6193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E619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E619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E619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E6193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E619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E6193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E6193"/>
    <w:rPr>
      <w:b/>
      <w:bCs/>
      <w:smallCaps/>
      <w:color w:val="2F5496" w:themeColor="accent1" w:themeShade="BF"/>
      <w:spacing w:val="5"/>
    </w:rPr>
  </w:style>
  <w:style w:type="character" w:styleId="Strong">
    <w:name w:val="Strong"/>
    <w:basedOn w:val="DefaultParagraphFont"/>
    <w:uiPriority w:val="22"/>
    <w:qFormat/>
    <w:rsid w:val="009F3257"/>
    <w:rPr>
      <w:b/>
      <w:bCs/>
    </w:rPr>
  </w:style>
  <w:style w:type="paragraph" w:styleId="Footer">
    <w:name w:val="footer"/>
    <w:basedOn w:val="Normal"/>
    <w:link w:val="FooterChar"/>
    <w:uiPriority w:val="99"/>
    <w:unhideWhenUsed/>
    <w:rsid w:val="00FC0E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C0ECB"/>
  </w:style>
  <w:style w:type="character" w:styleId="PageNumber">
    <w:name w:val="page number"/>
    <w:basedOn w:val="DefaultParagraphFont"/>
    <w:uiPriority w:val="99"/>
    <w:semiHidden/>
    <w:unhideWhenUsed/>
    <w:rsid w:val="00FC0ECB"/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table" w:styleId="TableGrid">
    <w:name w:val="Table Grid"/>
    <w:basedOn w:val="TableNormal"/>
    <w:uiPriority w:val="39"/>
    <w:rsid w:val="00B726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DE58BA"/>
    <w:rPr>
      <w:color w:val="666666"/>
    </w:rPr>
  </w:style>
  <w:style w:type="paragraph" w:styleId="NormalWeb">
    <w:name w:val="Normal (Web)"/>
    <w:basedOn w:val="Normal"/>
    <w:uiPriority w:val="99"/>
    <w:unhideWhenUsed/>
    <w:rsid w:val="00196E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6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6FB4139-AAA5-6B40-865F-AA47619B20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729</Words>
  <Characters>4160</Characters>
  <Application>Microsoft Office Word</Application>
  <DocSecurity>0</DocSecurity>
  <Lines>34</Lines>
  <Paragraphs>9</Paragraphs>
  <ScaleCrop>false</ScaleCrop>
  <Company/>
  <LinksUpToDate>false</LinksUpToDate>
  <CharactersWithSpaces>4880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Bernardi Bif, Mariana</dc:creator>
  <cp:keywords/>
  <dc:description/>
  <cp:lastModifiedBy>Bernardi Bif, Mariana</cp:lastModifiedBy>
  <cp:revision>92</cp:revision>
  <dcterms:created xsi:type="dcterms:W3CDTF">2025-10-03T17:25:00Z</dcterms:created>
  <dcterms:modified xsi:type="dcterms:W3CDTF">2025-10-08T14:38:00Z</dcterms:modified>
</cp:coreProperties>
</file>