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8AAA">
      <w:pPr>
        <w:spacing w:line="240" w:lineRule="atLeast"/>
        <w:jc w:val="left"/>
        <w:rPr>
          <w:rFonts w:ascii="Calibri" w:hAnsi="Calibri" w:eastAsia="Blues" w:cs="Calibri"/>
          <w:b/>
          <w:spacing w:val="-1"/>
          <w:sz w:val="22"/>
          <w:szCs w:val="22"/>
          <w:lang w:eastAsia="zh-Hans"/>
        </w:rPr>
      </w:pPr>
      <w:r>
        <w:rPr>
          <w:rFonts w:ascii="Calibri" w:hAnsi="Calibri" w:eastAsia="宋体" w:cs="Calibri"/>
          <w:b/>
          <w:color w:val="0E0E0E"/>
          <w:kern w:val="0"/>
          <w:sz w:val="22"/>
          <w:szCs w:val="22"/>
        </w:rPr>
        <w:t>Supplementary File 2</w:t>
      </w:r>
    </w:p>
    <w:p w14:paraId="30CE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Calibri" w:hAnsi="Calibri" w:eastAsia="宋体" w:cs="Calibri"/>
          <w:b/>
          <w:bCs/>
          <w:sz w:val="24"/>
          <w:szCs w:val="24"/>
        </w:rPr>
      </w:pPr>
      <w:r>
        <w:rPr>
          <w:rFonts w:ascii="Calibri" w:hAnsi="Calibri" w:eastAsia="宋体" w:cs="Calibri"/>
          <w:b/>
          <w:bCs/>
          <w:sz w:val="24"/>
          <w:szCs w:val="24"/>
        </w:rPr>
        <w:t>The Chinese version of the pediatric palliative</w:t>
      </w:r>
      <w: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  <w:t xml:space="preserve"> care</w:t>
      </w:r>
      <w:r>
        <w:rPr>
          <w:rFonts w:ascii="Calibri" w:hAnsi="Calibri" w:eastAsia="宋体" w:cs="Calibri"/>
          <w:b/>
          <w:bCs/>
          <w:sz w:val="24"/>
          <w:szCs w:val="24"/>
        </w:rPr>
        <w:t xml:space="preserve"> screening scale (C-PaPaS)</w:t>
      </w:r>
    </w:p>
    <w:p w14:paraId="28E0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Calibri" w:hAnsi="Calibri" w:eastAsia="宋体" w:cs="Calibri"/>
          <w:sz w:val="22"/>
          <w:szCs w:val="22"/>
        </w:rPr>
      </w:pPr>
      <w:r>
        <w:rPr>
          <w:rFonts w:hint="default" w:ascii="Calibri" w:hAnsi="Calibri" w:eastAsia="宋体" w:cs="Calibri"/>
          <w:sz w:val="22"/>
          <w:szCs w:val="22"/>
          <w:lang w:val="en-US"/>
        </w:rPr>
        <w:t>(English Version)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807"/>
        <w:gridCol w:w="2771"/>
        <w:gridCol w:w="795"/>
      </w:tblGrid>
      <w:tr w14:paraId="6264D36C">
        <w:trPr>
          <w:trHeight w:val="397" w:hRule="atLeast"/>
        </w:trPr>
        <w:tc>
          <w:tcPr>
            <w:tcW w:w="333" w:type="pct"/>
            <w:shd w:val="clear" w:color="auto" w:fill="auto"/>
            <w:vAlign w:val="center"/>
          </w:tcPr>
          <w:p w14:paraId="0FF1B47B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 w:eastAsia="zh-CN"/>
              </w:rPr>
              <w:t>Domain and item numbers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42674DE">
            <w:pPr>
              <w:widowControl/>
              <w:spacing w:line="240" w:lineRule="atLeast"/>
              <w:jc w:val="left"/>
              <w:rPr>
                <w:rFonts w:hint="eastAsia" w:ascii="Calibri" w:hAnsi="Calibri" w:eastAsia="DengXian" w:cs="Calibri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DengXian" w:cs="Calibri"/>
                <w:color w:val="000000"/>
                <w:kern w:val="0"/>
                <w:sz w:val="22"/>
                <w:szCs w:val="22"/>
                <w:lang w:val="en-US" w:eastAsia="zh-CN"/>
              </w:rPr>
              <w:t>Item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1DEA01F6">
            <w:pPr>
              <w:widowControl/>
              <w:spacing w:line="240" w:lineRule="atLeast"/>
              <w:jc w:val="left"/>
              <w:rPr>
                <w:rFonts w:hint="eastAsia" w:ascii="Calibri" w:hAnsi="Calibri" w:eastAsia="DengXian" w:cs="Calibr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DengXian" w:cs="Calibri"/>
                <w:color w:val="000000"/>
                <w:kern w:val="0"/>
                <w:sz w:val="22"/>
                <w:szCs w:val="22"/>
                <w:lang w:val="en-US" w:eastAsia="zh-CN"/>
              </w:rPr>
              <w:t>Characteristic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71CCB29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Score</w:t>
            </w:r>
          </w:p>
        </w:tc>
      </w:tr>
      <w:tr w14:paraId="1CBACCB0">
        <w:trPr>
          <w:trHeight w:val="397" w:hRule="atLeast"/>
        </w:trPr>
        <w:tc>
          <w:tcPr>
            <w:tcW w:w="333" w:type="pct"/>
            <w:shd w:val="clear" w:color="auto" w:fill="D7D7D7" w:themeFill="background1" w:themeFillShade="D8"/>
            <w:vAlign w:val="center"/>
          </w:tcPr>
          <w:p w14:paraId="4934932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Domain</w:t>
            </w:r>
            <w:r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66" w:type="pct"/>
            <w:gridSpan w:val="3"/>
            <w:shd w:val="clear" w:color="auto" w:fill="D7D7D7" w:themeFill="background1" w:themeFillShade="D8"/>
            <w:vAlign w:val="center"/>
          </w:tcPr>
          <w:p w14:paraId="600AD569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Disease progression and impact on child's daily activities</w:t>
            </w:r>
          </w:p>
        </w:tc>
      </w:tr>
      <w:tr w14:paraId="7E3617A5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1CF2973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1.1.1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7C39628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Referring to the past 3 months, compared </w:t>
            </w:r>
            <w:r>
              <w:rPr>
                <w:rFonts w:hint="default"/>
                <w:lang w:val="en-US" w:eastAsia="zh-CN"/>
              </w:rPr>
              <w:t>with</w:t>
            </w:r>
            <w:r>
              <w:rPr>
                <w:rFonts w:hint="eastAsia"/>
                <w:lang w:val="en-US" w:eastAsia="zh-CN"/>
              </w:rPr>
              <w:t xml:space="preserve"> child's own baseline condition, the disease progression is...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5DF6EA2A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stable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60C1C8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5A0EFFED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916356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1CA6495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0989275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s</w:t>
            </w:r>
            <w:r>
              <w:rPr>
                <w:rFonts w:hint="eastAsia"/>
                <w:lang w:val="en-US" w:eastAsia="zh-CN"/>
              </w:rPr>
              <w:t>table, but slowly deteriorating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E65693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2482B4BF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152D01C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7284D1BE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82F001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uns</w:t>
            </w:r>
            <w:r>
              <w:rPr>
                <w:rFonts w:hint="eastAsia"/>
                <w:lang w:val="en-US" w:eastAsia="zh-CN"/>
              </w:rPr>
              <w:t>table</w:t>
            </w:r>
            <w:r>
              <w:rPr>
                <w:rFonts w:hint="default"/>
                <w:lang w:val="en-US" w:eastAsia="zh-CN"/>
              </w:rPr>
              <w:t xml:space="preserve"> and</w:t>
            </w:r>
            <w:r>
              <w:rPr>
                <w:rFonts w:hint="eastAsia"/>
                <w:lang w:val="en-US" w:eastAsia="zh-CN"/>
              </w:rPr>
              <w:t xml:space="preserve"> slowly deteriorating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632503C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3C8434D0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0FA0154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6B26DE1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664457B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u</w:t>
            </w:r>
            <w:r>
              <w:rPr>
                <w:rFonts w:hint="eastAsia"/>
                <w:lang w:val="en-US" w:eastAsia="zh-CN"/>
              </w:rPr>
              <w:t>nstable and severely/rapidly deteriorating (</w:t>
            </w:r>
            <w:r>
              <w:rPr>
                <w:rFonts w:hint="default"/>
                <w:lang w:val="en-US" w:eastAsia="zh-CN"/>
              </w:rPr>
              <w:t>p</w:t>
            </w:r>
            <w:r>
              <w:rPr>
                <w:rFonts w:hint="eastAsia"/>
                <w:lang w:val="en-US" w:eastAsia="zh-CN"/>
              </w:rPr>
              <w:t xml:space="preserve">lease skip 1.1.2)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D2535E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7EA978B9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08025CB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1.1.2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5D8F885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Referring to the past 3 months, compared </w:t>
            </w:r>
            <w:r>
              <w:rPr>
                <w:rFonts w:hint="default"/>
                <w:lang w:val="en-US" w:eastAsia="zh-CN"/>
              </w:rPr>
              <w:t>with</w:t>
            </w:r>
            <w:r>
              <w:rPr>
                <w:rFonts w:hint="eastAsia"/>
                <w:lang w:val="en-US" w:eastAsia="zh-CN"/>
              </w:rPr>
              <w:t xml:space="preserve"> child's own baseline condition, the impact of the disease on the child's daily activities is......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213C74C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No impact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719CE7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50D1E378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53B324C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106653F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B4F923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Daily activities are affected/limited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EE65D0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792B87D4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1B54B70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29F59D7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C15DAC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Daily activities are severely affected/limited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7D324A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76DF8C9B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2275383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1C0BACA0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In the past 6 months, unplanned</w:t>
            </w:r>
            <w:r>
              <w:rPr>
                <w:rFonts w:hint="default"/>
                <w:lang w:val="en-US" w:eastAsia="zh-CN"/>
              </w:rPr>
              <w:t xml:space="preserve"> hospital </w:t>
            </w:r>
            <w:r>
              <w:rPr>
                <w:rFonts w:hint="eastAsia"/>
                <w:lang w:val="en-US" w:eastAsia="zh-CN"/>
              </w:rPr>
              <w:t xml:space="preserve"> admissions increased by more than 50% compared to previous periods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43A15743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No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3BEB1D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37F1EFDC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57EFA37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70A89C5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0749873C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B9EA68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 □</w:t>
            </w:r>
          </w:p>
        </w:tc>
      </w:tr>
      <w:tr w14:paraId="76F6C660">
        <w:trPr>
          <w:trHeight w:val="397" w:hRule="atLeast"/>
        </w:trPr>
        <w:tc>
          <w:tcPr>
            <w:tcW w:w="333" w:type="pct"/>
            <w:shd w:val="clear" w:color="auto" w:fill="D7D7D7" w:themeFill="background1" w:themeFillShade="D8"/>
            <w:vAlign w:val="center"/>
          </w:tcPr>
          <w:p w14:paraId="63A089D6"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 xml:space="preserve">Domain </w:t>
            </w:r>
            <w:r>
              <w:rPr>
                <w:b/>
                <w:bCs/>
              </w:rPr>
              <w:t>2</w:t>
            </w:r>
          </w:p>
        </w:tc>
        <w:tc>
          <w:tcPr>
            <w:tcW w:w="4666" w:type="pct"/>
            <w:gridSpan w:val="3"/>
            <w:shd w:val="clear" w:color="auto" w:fill="D7D7D7" w:themeFill="background1" w:themeFillShade="D8"/>
            <w:vAlign w:val="center"/>
          </w:tcPr>
          <w:p w14:paraId="5D62AE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Expected </w:t>
            </w:r>
            <w:r>
              <w:rPr>
                <w:rFonts w:hint="default"/>
                <w:b/>
                <w:bCs/>
                <w:lang w:val="en-US" w:eastAsia="zh-CN"/>
              </w:rPr>
              <w:t>outcome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of disease-modifying treatment and treatment-related burden  </w:t>
            </w:r>
          </w:p>
        </w:tc>
      </w:tr>
      <w:tr w14:paraId="31080593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29C2F07E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4618B4F9">
            <w:pPr>
              <w:widowControl/>
              <w:spacing w:line="24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Disease-directed treatment   </w:t>
            </w:r>
          </w:p>
          <w:p w14:paraId="012B1A6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(This does not include treatment for disease-related complications such as pain, dyspnea, or fatigue)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6BD4C4BC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eastAsia"/>
                <w:lang w:val="en-US" w:eastAsia="zh-CN"/>
              </w:rPr>
              <w:t>is curative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DD223CE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68E324AE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79822CE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3DBEFFC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48A5A28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eastAsia"/>
                <w:lang w:val="en-US" w:eastAsia="zh-CN"/>
              </w:rPr>
              <w:t>can control the disease, prolong life, and improve quality of life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2AAF2A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2D9CB336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6DB6F0F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3AB1DA5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096DABC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eastAsia"/>
                <w:lang w:val="en-US" w:eastAsia="zh-CN"/>
              </w:rPr>
              <w:t>cannot cure or control the disease, but has a positive impact on quality of life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7774C0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0CB832C4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2A99EE7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0F2F535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3D37F7E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…</w:t>
            </w:r>
            <w:r>
              <w:rPr>
                <w:rFonts w:hint="eastAsia"/>
                <w:lang w:val="en-US" w:eastAsia="zh-CN"/>
              </w:rPr>
              <w:t>cannot control the disease and has no impact on improving quality of life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AC2B7D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4711811B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688C836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39507C6F">
            <w:pPr>
              <w:widowControl/>
              <w:spacing w:line="24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Treatment Burden   </w:t>
            </w:r>
          </w:p>
          <w:p w14:paraId="0BEB9F2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(Includes burden from both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disease-directed treatment and symptom-related treatment)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577F96C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No/Minimal burden or no treatment plan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447CC0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1DDEA29B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D00066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29060FE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122F8893">
            <w:pPr>
              <w:tabs>
                <w:tab w:val="left" w:pos="610"/>
              </w:tabs>
              <w:bidi w:val="0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Low burden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C346F3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575459A6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39CA868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4FDC96C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02039329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Moderate burden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4227C5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50E5B785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22DEA2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6BC4C11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4C7A7C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  High burden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56F48D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1D3D8090">
        <w:trPr>
          <w:trHeight w:val="397" w:hRule="atLeast"/>
        </w:trPr>
        <w:tc>
          <w:tcPr>
            <w:tcW w:w="333" w:type="pct"/>
            <w:shd w:val="clear" w:color="auto" w:fill="D7D7D7" w:themeFill="background1" w:themeFillShade="D8"/>
            <w:vAlign w:val="center"/>
          </w:tcPr>
          <w:p w14:paraId="6DF09B1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Domain </w:t>
            </w:r>
            <w:r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66" w:type="pct"/>
            <w:gridSpan w:val="3"/>
            <w:shd w:val="clear" w:color="auto" w:fill="D7D7D7" w:themeFill="background1" w:themeFillShade="D8"/>
            <w:vAlign w:val="center"/>
          </w:tcPr>
          <w:p w14:paraId="211177D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Symptoms and problems encountered during treatment</w:t>
            </w:r>
          </w:p>
        </w:tc>
      </w:tr>
      <w:tr w14:paraId="7BD93F2B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06102D4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3.1.1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7254F6B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/>
                <w:lang w:val="en-US" w:eastAsia="zh-CN"/>
              </w:rPr>
              <w:t>D</w:t>
            </w:r>
            <w:r>
              <w:rPr>
                <w:rFonts w:hint="eastAsia"/>
                <w:lang w:val="en-US" w:eastAsia="zh-CN"/>
              </w:rPr>
              <w:t>isease</w:t>
            </w:r>
            <w:r>
              <w:rPr>
                <w:rFonts w:hint="default"/>
                <w:lang w:val="en-US" w:eastAsia="zh-CN"/>
              </w:rPr>
              <w:t>-related</w:t>
            </w:r>
            <w:r>
              <w:rPr>
                <w:rFonts w:hint="eastAsia"/>
                <w:lang w:val="en-US" w:eastAsia="zh-CN"/>
              </w:rPr>
              <w:t xml:space="preserve"> symptoms</w:t>
            </w:r>
            <w:r>
              <w:rPr>
                <w:rFonts w:hint="default"/>
                <w:lang w:val="en-US" w:eastAsia="zh-CN"/>
              </w:rPr>
              <w:t xml:space="preserve"> intensity</w:t>
            </w:r>
            <w:r>
              <w:rPr>
                <w:rFonts w:hint="eastAsia"/>
                <w:lang w:val="en-US" w:eastAsia="zh-CN"/>
              </w:rPr>
              <w:t xml:space="preserve"> in the past 3 months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211C865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The child is asymptomatic (Please skip 3.1.2)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88E4FB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281AA682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1E86CDB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74B02F1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390B3620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Mild symptoms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93BA5E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087B6461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19DD41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3C81411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7E9606CD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Moderate symptoms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A37FE5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66CCFD2E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02AAA10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4FA4067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2CE49ED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 xml:space="preserve">Severe Symptoms 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lang w:val="en-US" w:eastAsia="zh-CN"/>
              </w:rPr>
              <w:t>Please skip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3.1.2)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32083B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6772CECE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75F6F66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3.1.2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5E79200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Difficulty </w:t>
            </w:r>
            <w:r>
              <w:rPr>
                <w:rFonts w:hint="default"/>
                <w:lang w:val="en-US" w:eastAsia="zh-CN"/>
              </w:rPr>
              <w:t xml:space="preserve">of disease-related </w:t>
            </w:r>
            <w:r>
              <w:rPr>
                <w:rFonts w:hint="eastAsia"/>
                <w:lang w:val="en-US" w:eastAsia="zh-CN"/>
              </w:rPr>
              <w:t>symptoms</w:t>
            </w:r>
            <w:r>
              <w:rPr>
                <w:rFonts w:hint="default"/>
                <w:lang w:val="en-US" w:eastAsia="zh-CN"/>
              </w:rPr>
              <w:t xml:space="preserve"> control</w:t>
            </w:r>
            <w:r>
              <w:rPr>
                <w:rFonts w:hint="eastAsia"/>
                <w:lang w:val="en-US" w:eastAsia="zh-CN"/>
              </w:rPr>
              <w:t xml:space="preserve"> in the past 3 months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3D687F8B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Symptoms are easy to control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EC0E9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2FC35ECB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67195EB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5BD3253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0CEF979E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Symptoms are controllable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FEF56E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172A2519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34F4E95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5F7DAA7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1FFC38F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Symptoms are </w:t>
            </w:r>
            <w:r>
              <w:rPr>
                <w:rFonts w:hint="default"/>
                <w:lang w:val="en-US" w:eastAsia="zh-CN"/>
              </w:rPr>
              <w:t xml:space="preserve">difficult to </w:t>
            </w:r>
            <w:r>
              <w:rPr>
                <w:rFonts w:hint="eastAsia"/>
                <w:lang w:val="en-US" w:eastAsia="zh-CN"/>
              </w:rPr>
              <w:t xml:space="preserve">control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C81CAB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2B2B0194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4923EC6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19CAB5D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/>
                <w:lang w:val="en-US" w:eastAsia="zh-CN"/>
              </w:rPr>
              <w:t>P</w:t>
            </w:r>
            <w:r>
              <w:rPr>
                <w:rFonts w:hint="eastAsia"/>
                <w:lang w:val="en-US" w:eastAsia="zh-CN"/>
              </w:rPr>
              <w:t>sychological distress</w:t>
            </w:r>
            <w:r>
              <w:rPr>
                <w:rFonts w:hint="default"/>
                <w:lang w:val="en-US" w:eastAsia="zh-CN"/>
              </w:rPr>
              <w:t xml:space="preserve"> of the child </w:t>
            </w:r>
            <w:r>
              <w:rPr>
                <w:rFonts w:hint="eastAsia"/>
                <w:lang w:val="en-US" w:eastAsia="zh-CN"/>
              </w:rPr>
              <w:t xml:space="preserve"> related to symptoms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46662AE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Nonexistent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00243E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34D590C1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64EF404C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1A10C030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2EE1E225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Mild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6CCCE0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14034BE3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30B79BF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</w:tcPr>
          <w:p w14:paraId="582B2039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12ED0AC8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6220DE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06C8D737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27068DD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</w:tcPr>
          <w:p w14:paraId="09C8CA1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472CD36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Significant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B2A4C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3479C933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16C032D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047F6412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Psychological distress of the parent(s) or the whole family related to the child's symptoms and suffering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2DDE784C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Nonexistent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AF27B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01A8E7B6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60AC583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4F9321F9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7DEC445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Mild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A05B80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432518C6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5A21190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2CFBD2B8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4EF390F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85276E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2795CEFB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A1B47D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</w:tcPr>
          <w:p w14:paraId="5CC5632C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13DFC77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Significant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AAD679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12B3CAB4">
        <w:trPr>
          <w:trHeight w:val="397" w:hRule="atLeast"/>
        </w:trPr>
        <w:tc>
          <w:tcPr>
            <w:tcW w:w="333" w:type="pct"/>
            <w:shd w:val="clear" w:color="auto" w:fill="D7D7D7" w:themeFill="background1" w:themeFillShade="D8"/>
            <w:vAlign w:val="center"/>
          </w:tcPr>
          <w:p w14:paraId="054B5EA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Domain </w:t>
            </w:r>
            <w:r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66" w:type="pct"/>
            <w:gridSpan w:val="3"/>
            <w:shd w:val="clear" w:color="auto" w:fill="D7D7D7" w:themeFill="background1" w:themeFillShade="D8"/>
            <w:vAlign w:val="center"/>
          </w:tcPr>
          <w:p w14:paraId="5B899D4D">
            <w:pPr>
              <w:tabs>
                <w:tab w:val="left" w:pos="610"/>
              </w:tabs>
              <w:bidi w:val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Preferences or needs of the child</w:t>
            </w:r>
            <w:r>
              <w:rPr>
                <w:rFonts w:hint="default"/>
                <w:b/>
                <w:bCs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parent</w:t>
            </w:r>
            <w:r>
              <w:rPr>
                <w:rFonts w:hint="default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(s)</w:t>
            </w:r>
            <w:r>
              <w:rPr>
                <w:rFonts w:hint="default"/>
                <w:b/>
                <w:bCs/>
                <w:lang w:val="en-US" w:eastAsia="zh-CN"/>
              </w:rPr>
              <w:t xml:space="preserve">, or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healthcare professionals  </w:t>
            </w:r>
          </w:p>
          <w:p w14:paraId="466B553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AE5000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34AB6A7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7B5B367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The child/parents wish to receive palliative care or have their needs met through palliative care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189EEAAB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 xml:space="preserve">No 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 xml:space="preserve">Please skip 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4.2)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es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F9A1E6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 xml:space="preserve"> □</w:t>
            </w:r>
          </w:p>
        </w:tc>
      </w:tr>
      <w:tr w14:paraId="7665C4B9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269377B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5A60289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72E65902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Yes</w:t>
            </w:r>
            <w:bookmarkStart w:id="2" w:name="_GoBack"/>
            <w:bookmarkEnd w:id="2"/>
          </w:p>
        </w:tc>
        <w:tc>
          <w:tcPr>
            <w:tcW w:w="272" w:type="pct"/>
            <w:shd w:val="clear" w:color="auto" w:fill="auto"/>
            <w:vAlign w:val="center"/>
          </w:tcPr>
          <w:p w14:paraId="4BF0304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tr w14:paraId="10742C74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51645D0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48A517F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2E2725E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99137C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</w:tr>
      <w:tr w14:paraId="28E45FCA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3352D08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bookmarkStart w:id="0" w:name="_Hlk97227552"/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4EF77316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You/Your team believe(s) the child would benefit from palliative care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39854D09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No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1A00CB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5A73FB39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087BE0A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11FA4880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68B7C9DF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C4678C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bookmarkEnd w:id="0"/>
      <w:tr w14:paraId="73C661A0">
        <w:trPr>
          <w:trHeight w:val="397" w:hRule="atLeast"/>
        </w:trPr>
        <w:tc>
          <w:tcPr>
            <w:tcW w:w="333" w:type="pct"/>
            <w:shd w:val="clear" w:color="auto" w:fill="D7D7D7" w:themeFill="background1" w:themeFillShade="D8"/>
            <w:vAlign w:val="center"/>
          </w:tcPr>
          <w:p w14:paraId="0E1155B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Domain </w:t>
            </w:r>
            <w:r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66" w:type="pct"/>
            <w:gridSpan w:val="3"/>
            <w:shd w:val="clear" w:color="auto" w:fill="D7D7D7" w:themeFill="background1" w:themeFillShade="D8"/>
            <w:vAlign w:val="center"/>
          </w:tcPr>
          <w:p w14:paraId="3FB8EB3B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Estimated life expectancy</w:t>
            </w:r>
          </w:p>
        </w:tc>
      </w:tr>
      <w:tr w14:paraId="32CA50B6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71022A2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3F4BA84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Estimated life expectancy</w:t>
            </w:r>
            <w:r>
              <w:rPr>
                <w:rFonts w:hint="eastAsia"/>
                <w:lang w:val="en-US" w:eastAsia="zh-CN"/>
              </w:rPr>
              <w:t>/Prognosis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49FE488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Several years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F77A40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29D9A796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05DB04CD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5A5CA0F2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BADC57F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1 - 2</w:t>
            </w: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years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6232C0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1 □</w:t>
            </w:r>
          </w:p>
        </w:tc>
      </w:tr>
      <w:tr w14:paraId="7FE253FF">
        <w:trPr>
          <w:trHeight w:val="397" w:hRule="atLeast"/>
        </w:trPr>
        <w:tc>
          <w:tcPr>
            <w:tcW w:w="333" w:type="pct"/>
            <w:vMerge w:val="continue"/>
            <w:shd w:val="clear" w:color="auto" w:fill="auto"/>
            <w:vAlign w:val="center"/>
          </w:tcPr>
          <w:p w14:paraId="50BC1090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49CA39EB">
            <w:pPr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57371913">
            <w:pPr>
              <w:tabs>
                <w:tab w:val="left" w:pos="610"/>
              </w:tabs>
              <w:bidi w:val="0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3 months to 1 year (Please skip 5.2)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30FC74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3 □</w:t>
            </w:r>
          </w:p>
        </w:tc>
      </w:tr>
      <w:tr w14:paraId="23ED5D8A">
        <w:trPr>
          <w:trHeight w:val="397" w:hRule="atLeast"/>
        </w:trPr>
        <w:tc>
          <w:tcPr>
            <w:tcW w:w="333" w:type="pct"/>
            <w:vMerge w:val="continue"/>
            <w:shd w:val="clear" w:color="auto" w:fill="auto"/>
            <w:vAlign w:val="center"/>
          </w:tcPr>
          <w:p w14:paraId="7570698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bookmarkStart w:id="1" w:name="OLE_LINK1"/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4ACC1A5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3018638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Less than 3 months (Please skip 5.2) 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CCF188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4 □</w:t>
            </w:r>
          </w:p>
        </w:tc>
      </w:tr>
      <w:bookmarkEnd w:id="1"/>
      <w:tr w14:paraId="504390FC">
        <w:trPr>
          <w:trHeight w:val="397" w:hRule="atLeast"/>
        </w:trPr>
        <w:tc>
          <w:tcPr>
            <w:tcW w:w="333" w:type="pct"/>
            <w:vMerge w:val="restart"/>
            <w:shd w:val="clear" w:color="auto" w:fill="auto"/>
            <w:vAlign w:val="center"/>
          </w:tcPr>
          <w:p w14:paraId="48EB82D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3A6FC711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Do you think the child will die within 6 months?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38FC2F1F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6AE21D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0 □</w:t>
            </w:r>
          </w:p>
        </w:tc>
      </w:tr>
      <w:tr w14:paraId="74D724E0">
        <w:trPr>
          <w:trHeight w:val="397" w:hRule="atLeast"/>
        </w:trPr>
        <w:tc>
          <w:tcPr>
            <w:tcW w:w="333" w:type="pct"/>
            <w:vMerge w:val="continue"/>
            <w:vAlign w:val="center"/>
          </w:tcPr>
          <w:p w14:paraId="4D8D177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pct"/>
            <w:vMerge w:val="continue"/>
            <w:vAlign w:val="center"/>
          </w:tcPr>
          <w:p w14:paraId="38D1EF4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14:paraId="7E0BC9C7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color w:val="000000"/>
                <w:kern w:val="0"/>
                <w:sz w:val="22"/>
                <w:szCs w:val="22"/>
                <w:lang w:val="en-US"/>
              </w:rPr>
              <w:t>No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1B0E4E4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2 □</w:t>
            </w:r>
          </w:p>
        </w:tc>
      </w:tr>
      <w:tr w14:paraId="13A3E7A6">
        <w:trPr>
          <w:trHeight w:val="397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F65132A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Total Score</w:t>
            </w:r>
          </w:p>
        </w:tc>
      </w:tr>
    </w:tbl>
    <w:p w14:paraId="26BDFF42">
      <w:pPr>
        <w:spacing w:line="240" w:lineRule="atLeast"/>
        <w:ind w:firstLine="440" w:firstLineChars="200"/>
        <w:jc w:val="left"/>
        <w:rPr>
          <w:rFonts w:ascii="Calibri" w:hAnsi="Calibri" w:eastAsia="宋体" w:cs="Calibri"/>
          <w:b/>
          <w:bCs/>
          <w:sz w:val="22"/>
          <w:szCs w:val="2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716"/>
        <w:gridCol w:w="3417"/>
      </w:tblGrid>
      <w:tr w14:paraId="61A1ACA3">
        <w:trPr>
          <w:trHeight w:val="624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 w14:paraId="709CC904">
            <w:pPr>
              <w:widowControl/>
              <w:spacing w:line="240" w:lineRule="atLeast"/>
              <w:jc w:val="left"/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Score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 w14:paraId="15980C88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Outcome during treatment period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 w14:paraId="08F110D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Outcome after re-evaluation</w:t>
            </w:r>
          </w:p>
        </w:tc>
      </w:tr>
      <w:tr w14:paraId="40F54CC9">
        <w:trPr>
          <w:trHeight w:val="624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BF35D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01600" cy="2032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≤14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08D4B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Explain the purpose of palliative care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581658">
            <w:pPr>
              <w:tabs>
                <w:tab w:val="left" w:pos="610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Palliative care may be discontinued or the patient discharged</w:t>
            </w:r>
          </w:p>
          <w:p w14:paraId="271BDE8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</w:p>
        </w:tc>
      </w:tr>
      <w:tr w14:paraId="67ED4E32">
        <w:trPr>
          <w:trHeight w:val="624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5E19F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01600" cy="2032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≥15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062C55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Initiate palliative care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92C3D2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Continue palliative care</w:t>
            </w:r>
          </w:p>
        </w:tc>
      </w:tr>
      <w:tr w14:paraId="56D05100">
        <w:trPr>
          <w:trHeight w:val="624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72A73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drawing>
                <wp:inline distT="0" distB="0" distL="114300" distR="114300">
                  <wp:extent cx="101600" cy="2032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  <w:t>≥25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3E8D9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Immediate need to initiate palliative care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38317">
            <w:pPr>
              <w:widowControl/>
              <w:spacing w:line="240" w:lineRule="atLeast"/>
              <w:jc w:val="left"/>
              <w:rPr>
                <w:rFonts w:ascii="Calibri" w:hAnsi="Calibri" w:eastAsia="DengXian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Continue palliative care</w:t>
            </w:r>
          </w:p>
        </w:tc>
      </w:tr>
    </w:tbl>
    <w:p w14:paraId="2E674F94"/>
    <w:p w14:paraId="51FAFEF2"/>
    <w:p w14:paraId="0150EC19">
      <w:pPr>
        <w:tabs>
          <w:tab w:val="left" w:pos="61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lues">
    <w:panose1 w:val="00000500000000000000"/>
    <w:charset w:val="00"/>
    <w:family w:val="auto"/>
    <w:pitch w:val="default"/>
    <w:sig w:usb0="00000003" w:usb1="00000000" w:usb2="00000000" w:usb3="00000000" w:csb0="0000001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37A0"/>
    <w:rsid w:val="25F705AB"/>
    <w:rsid w:val="3CE7602D"/>
    <w:rsid w:val="3DBBA9E9"/>
    <w:rsid w:val="3F6DC1B4"/>
    <w:rsid w:val="3FE7D960"/>
    <w:rsid w:val="4FE737A0"/>
    <w:rsid w:val="5DAE42C4"/>
    <w:rsid w:val="5F67AD53"/>
    <w:rsid w:val="5FF5AFA0"/>
    <w:rsid w:val="5FFBD15C"/>
    <w:rsid w:val="7272702C"/>
    <w:rsid w:val="76972208"/>
    <w:rsid w:val="7EB7D3EB"/>
    <w:rsid w:val="7EDE07B6"/>
    <w:rsid w:val="7FDF94ED"/>
    <w:rsid w:val="A3D7F27F"/>
    <w:rsid w:val="AEAFD9AC"/>
    <w:rsid w:val="B71F8CEB"/>
    <w:rsid w:val="B9FAEA26"/>
    <w:rsid w:val="BE37ACEB"/>
    <w:rsid w:val="C7BF2F94"/>
    <w:rsid w:val="DFFF0F35"/>
    <w:rsid w:val="EE3F3F83"/>
    <w:rsid w:val="EFD5BB73"/>
    <w:rsid w:val="FADFA4E0"/>
    <w:rsid w:val="FDBD59A9"/>
    <w:rsid w:val="FEF8650B"/>
    <w:rsid w:val="FEFA7E12"/>
    <w:rsid w:val="FFD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="260" w:beforeLines="0" w:beforeAutospacing="0" w:after="140" w:afterLines="0" w:afterAutospacing="0" w:line="240" w:lineRule="auto"/>
      <w:outlineLvl w:val="1"/>
    </w:pPr>
    <w:rPr>
      <w:rFonts w:ascii="Helvetica" w:hAnsi="Helvetica" w:eastAsia="Helvetica" w:cstheme="minorBidi"/>
      <w:b/>
      <w:sz w:val="20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2025-10-23T16:38:00Z</dcterms:created>
  <dc:creator>阿里旦努·奴尔艾力</dc:creator>
  <cp:lastModifiedBy>阿里旦努·奴尔艾力</cp:lastModifiedBy>
  <dcterms:modified xsi:type="dcterms:W3CDTF">2025-10-30T18:14:57Z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CD0596F1A41D9218A2E9F968FD4AE01F_41</vt:lpwstr>
  </property>
</Properties>
</file>