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68CF6" w14:textId="2C5BF2CC" w:rsidR="00320AAB" w:rsidRPr="001E16B3" w:rsidRDefault="00000000">
      <w:pPr>
        <w:spacing w:line="480" w:lineRule="auto"/>
        <w:jc w:val="both"/>
        <w:rPr>
          <w:rFonts w:hint="eastAsia"/>
          <w:sz w:val="20"/>
          <w:lang w:eastAsia="zh-CN"/>
        </w:rPr>
      </w:pPr>
      <w:r w:rsidRPr="001E16B3">
        <w:rPr>
          <w:sz w:val="20"/>
        </w:rPr>
        <w:t>Supplementary Materials for</w:t>
      </w:r>
    </w:p>
    <w:p w14:paraId="25F518CD" w14:textId="4EBB3091" w:rsidR="00320AAB" w:rsidRPr="001E16B3" w:rsidRDefault="00000000" w:rsidP="001E16B3">
      <w:pPr>
        <w:spacing w:line="480" w:lineRule="auto"/>
        <w:jc w:val="center"/>
        <w:rPr>
          <w:sz w:val="20"/>
          <w:lang w:eastAsia="zh-CN"/>
        </w:rPr>
      </w:pPr>
      <w:r w:rsidRPr="001E16B3">
        <w:rPr>
          <w:b/>
          <w:bCs/>
          <w:color w:val="000000" w:themeColor="text1"/>
          <w:sz w:val="20"/>
          <w:lang w:eastAsia="zh-CN"/>
        </w:rPr>
        <w:t>Radiological and p</w:t>
      </w:r>
      <w:bookmarkStart w:id="0" w:name="MaterialsMethods"/>
      <w:bookmarkStart w:id="1" w:name="Tables"/>
      <w:bookmarkEnd w:id="0"/>
      <w:bookmarkEnd w:id="1"/>
      <w:r w:rsidRPr="001E16B3">
        <w:rPr>
          <w:b/>
          <w:bCs/>
          <w:color w:val="000000" w:themeColor="text1"/>
          <w:sz w:val="20"/>
        </w:rPr>
        <w:t>athological</w:t>
      </w:r>
      <w:r w:rsidRPr="001E16B3">
        <w:rPr>
          <w:b/>
          <w:bCs/>
          <w:color w:val="000000" w:themeColor="text1"/>
          <w:sz w:val="20"/>
          <w:lang w:eastAsia="zh-CN"/>
        </w:rPr>
        <w:t> integration p</w:t>
      </w:r>
      <w:r w:rsidRPr="001E16B3">
        <w:rPr>
          <w:b/>
          <w:bCs/>
          <w:color w:val="000000" w:themeColor="text1"/>
          <w:sz w:val="20"/>
        </w:rPr>
        <w:t>redicts</w:t>
      </w:r>
      <w:r w:rsidRPr="001E16B3">
        <w:rPr>
          <w:b/>
          <w:bCs/>
          <w:color w:val="000000" w:themeColor="text1"/>
          <w:sz w:val="20"/>
          <w:lang w:eastAsia="zh-CN"/>
        </w:rPr>
        <w:t xml:space="preserve"> the efficacy of bevacizumab</w:t>
      </w:r>
      <w:r w:rsidRPr="001E16B3">
        <w:rPr>
          <w:rFonts w:hint="eastAsia"/>
          <w:b/>
          <w:bCs/>
          <w:color w:val="000000" w:themeColor="text1"/>
          <w:sz w:val="20"/>
          <w:lang w:eastAsia="zh-CN"/>
        </w:rPr>
        <w:t xml:space="preserve"> </w:t>
      </w:r>
      <w:r w:rsidRPr="001E16B3">
        <w:rPr>
          <w:b/>
          <w:bCs/>
          <w:color w:val="000000" w:themeColor="text1"/>
          <w:sz w:val="20"/>
          <w:lang w:eastAsia="zh-CN"/>
        </w:rPr>
        <w:t>with chemotherapy </w:t>
      </w:r>
      <w:r w:rsidRPr="001E16B3">
        <w:rPr>
          <w:b/>
          <w:bCs/>
          <w:color w:val="000000" w:themeColor="text1"/>
          <w:sz w:val="20"/>
        </w:rPr>
        <w:t xml:space="preserve">in </w:t>
      </w:r>
      <w:r w:rsidRPr="001E16B3">
        <w:rPr>
          <w:b/>
          <w:bCs/>
          <w:color w:val="000000" w:themeColor="text1"/>
          <w:sz w:val="20"/>
          <w:lang w:eastAsia="zh-CN"/>
        </w:rPr>
        <w:t>c</w:t>
      </w:r>
      <w:r w:rsidRPr="001E16B3">
        <w:rPr>
          <w:b/>
          <w:bCs/>
          <w:color w:val="000000" w:themeColor="text1"/>
          <w:sz w:val="20"/>
        </w:rPr>
        <w:t xml:space="preserve">olorectal </w:t>
      </w:r>
      <w:r w:rsidRPr="001E16B3">
        <w:rPr>
          <w:b/>
          <w:bCs/>
          <w:color w:val="000000" w:themeColor="text1"/>
          <w:sz w:val="20"/>
          <w:lang w:eastAsia="zh-CN"/>
        </w:rPr>
        <w:t>c</w:t>
      </w:r>
      <w:r w:rsidRPr="001E16B3">
        <w:rPr>
          <w:b/>
          <w:bCs/>
          <w:color w:val="000000" w:themeColor="text1"/>
          <w:sz w:val="20"/>
        </w:rPr>
        <w:t xml:space="preserve">ancer </w:t>
      </w:r>
      <w:r w:rsidRPr="001E16B3">
        <w:rPr>
          <w:b/>
          <w:bCs/>
          <w:color w:val="000000" w:themeColor="text1"/>
          <w:sz w:val="20"/>
          <w:lang w:eastAsia="zh-CN"/>
        </w:rPr>
        <w:t>l</w:t>
      </w:r>
      <w:r w:rsidRPr="001E16B3">
        <w:rPr>
          <w:b/>
          <w:bCs/>
          <w:color w:val="000000" w:themeColor="text1"/>
          <w:sz w:val="20"/>
        </w:rPr>
        <w:t xml:space="preserve">iver </w:t>
      </w:r>
      <w:r w:rsidRPr="001E16B3">
        <w:rPr>
          <w:b/>
          <w:bCs/>
          <w:color w:val="000000" w:themeColor="text1"/>
          <w:sz w:val="20"/>
          <w:lang w:eastAsia="zh-CN"/>
        </w:rPr>
        <w:t>m</w:t>
      </w:r>
      <w:r w:rsidRPr="001E16B3">
        <w:rPr>
          <w:b/>
          <w:bCs/>
          <w:color w:val="000000" w:themeColor="text1"/>
          <w:sz w:val="20"/>
        </w:rPr>
        <w:t>etastases</w:t>
      </w:r>
    </w:p>
    <w:p w14:paraId="46C544EB" w14:textId="77777777" w:rsidR="00320AAB" w:rsidRDefault="00000000">
      <w:pPr>
        <w:rPr>
          <w:b/>
          <w:bCs/>
          <w:color w:val="000000" w:themeColor="text1"/>
          <w:szCs w:val="24"/>
          <w:lang w:eastAsia="zh-CN"/>
        </w:rPr>
      </w:pPr>
      <w:r>
        <w:rPr>
          <w:b/>
          <w:bCs/>
          <w:color w:val="000000" w:themeColor="text1"/>
          <w:szCs w:val="24"/>
        </w:rPr>
        <w:t xml:space="preserve">Supplementary </w:t>
      </w:r>
      <w:r>
        <w:rPr>
          <w:rFonts w:hint="eastAsia"/>
          <w:b/>
          <w:bCs/>
          <w:color w:val="000000" w:themeColor="text1"/>
          <w:szCs w:val="24"/>
          <w:lang w:eastAsia="zh-CN"/>
        </w:rPr>
        <w:t>Figures</w:t>
      </w:r>
    </w:p>
    <w:p w14:paraId="18F1BA0C" w14:textId="77777777" w:rsidR="00320AAB" w:rsidRDefault="00000000">
      <w:pPr>
        <w:pStyle w:val="SMHeading"/>
        <w:jc w:val="both"/>
        <w:rPr>
          <w:lang w:eastAsia="zh-CN"/>
        </w:rPr>
      </w:pPr>
      <w:r>
        <w:t>Supplementary</w:t>
      </w:r>
      <w:r>
        <w:rPr>
          <w:rFonts w:hint="eastAsia"/>
          <w:lang w:eastAsia="zh-CN"/>
        </w:rPr>
        <w:t xml:space="preserve"> </w:t>
      </w:r>
      <w:r>
        <w:t>Fig. S1.</w:t>
      </w:r>
      <w:r>
        <w:rPr>
          <w:rFonts w:hint="eastAsia"/>
          <w:lang w:eastAsia="zh-CN"/>
        </w:rPr>
        <w:t xml:space="preserve"> </w:t>
      </w:r>
    </w:p>
    <w:p w14:paraId="0C7B2D90" w14:textId="4D2D4536" w:rsidR="00320AAB" w:rsidRDefault="00BB2DF0">
      <w:pPr>
        <w:pStyle w:val="SMText"/>
        <w:ind w:firstLine="0"/>
        <w:jc w:val="both"/>
        <w:rPr>
          <w:b/>
          <w:bCs/>
          <w:szCs w:val="24"/>
        </w:rPr>
      </w:pPr>
      <w:r>
        <w:rPr>
          <w:noProof/>
          <w:sz w:val="20"/>
        </w:rPr>
        <w:drawing>
          <wp:inline distT="0" distB="0" distL="0" distR="0" wp14:anchorId="624F0D42" wp14:editId="3800797D">
            <wp:extent cx="5943600" cy="6804660"/>
            <wp:effectExtent l="0" t="0" r="0" b="0"/>
            <wp:docPr id="840820477" name="图片 1" descr="图片包含 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20477" name="图片 1" descr="图片包含 日程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FA090" w14:textId="77777777" w:rsidR="00320AAB" w:rsidRDefault="00000000">
      <w:pPr>
        <w:pStyle w:val="SMText"/>
        <w:ind w:firstLine="0"/>
        <w:jc w:val="both"/>
        <w:rPr>
          <w:b/>
          <w:bCs/>
          <w:sz w:val="20"/>
        </w:rPr>
      </w:pPr>
      <w:r>
        <w:rPr>
          <w:b/>
          <w:bCs/>
          <w:sz w:val="20"/>
        </w:rPr>
        <w:lastRenderedPageBreak/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b/>
          <w:bCs/>
          <w:sz w:val="20"/>
        </w:rPr>
        <w:t>Fig. S1.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b/>
          <w:bCs/>
          <w:color w:val="000000" w:themeColor="text1"/>
          <w:sz w:val="20"/>
        </w:rPr>
        <w:t>The inclusion and exclusion criteria for all cohorts.</w:t>
      </w:r>
      <w:r>
        <w:rPr>
          <w:rFonts w:hint="eastAsia"/>
          <w:color w:val="000000" w:themeColor="text1"/>
          <w:sz w:val="20"/>
          <w:lang w:eastAsia="zh-CN"/>
        </w:rPr>
        <w:t xml:space="preserve"> </w:t>
      </w:r>
      <w:r>
        <w:rPr>
          <w:color w:val="000000" w:themeColor="text1"/>
          <w:sz w:val="20"/>
        </w:rPr>
        <w:t>Abbreviations: CRLM, colorectal liver metastasis; PD, progressive disease; SMU, Southern Medical University; SCUT, South China University of Technology; ROI, region of interest.</w:t>
      </w:r>
    </w:p>
    <w:p w14:paraId="4BBC8B95" w14:textId="77777777" w:rsidR="00BB2DF0" w:rsidRDefault="00000000">
      <w:pPr>
        <w:pStyle w:val="SMHeading"/>
        <w:jc w:val="both"/>
        <w:rPr>
          <w:b w:val="0"/>
          <w:bCs w:val="0"/>
          <w:noProof/>
        </w:rPr>
      </w:pPr>
      <w:r>
        <w:t>Supplementary</w:t>
      </w:r>
      <w:r>
        <w:rPr>
          <w:rFonts w:hint="eastAsia"/>
          <w:lang w:eastAsia="zh-CN"/>
        </w:rPr>
        <w:t xml:space="preserve"> </w:t>
      </w:r>
      <w:r>
        <w:t>Fig. S2.</w:t>
      </w:r>
    </w:p>
    <w:p w14:paraId="5D0F9771" w14:textId="28D6991C" w:rsidR="00320AAB" w:rsidRDefault="00BB2DF0">
      <w:pPr>
        <w:pStyle w:val="SMHeading"/>
        <w:jc w:val="both"/>
        <w:rPr>
          <w:lang w:eastAsia="zh-CN"/>
        </w:rPr>
      </w:pPr>
      <w:r>
        <w:rPr>
          <w:b w:val="0"/>
          <w:bCs w:val="0"/>
          <w:noProof/>
        </w:rPr>
        <w:drawing>
          <wp:inline distT="0" distB="0" distL="0" distR="0" wp14:anchorId="046B28EE" wp14:editId="67F8346F">
            <wp:extent cx="5943600" cy="4998720"/>
            <wp:effectExtent l="0" t="0" r="0" b="0"/>
            <wp:docPr id="1682715142" name="图片 2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15142" name="图片 2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AFE1" w14:textId="19C46D1A" w:rsidR="00320AAB" w:rsidRDefault="00320AAB">
      <w:pPr>
        <w:pStyle w:val="SMcaption"/>
        <w:jc w:val="both"/>
        <w:rPr>
          <w:b/>
          <w:bCs/>
          <w:color w:val="000000" w:themeColor="text1"/>
          <w:szCs w:val="24"/>
        </w:rPr>
      </w:pPr>
    </w:p>
    <w:p w14:paraId="1F351ECF" w14:textId="5F46853E" w:rsidR="00320AAB" w:rsidRDefault="00000000">
      <w:pPr>
        <w:pStyle w:val="SMcaption"/>
        <w:jc w:val="both"/>
        <w:rPr>
          <w:b/>
          <w:bCs/>
          <w:color w:val="000000" w:themeColor="text1"/>
          <w:sz w:val="20"/>
          <w:lang w:eastAsia="zh-CN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b/>
          <w:bCs/>
          <w:color w:val="000000" w:themeColor="text1"/>
          <w:sz w:val="20"/>
        </w:rPr>
        <w:t>Fig. S2.</w:t>
      </w:r>
      <w:r>
        <w:rPr>
          <w:rFonts w:hint="eastAsia"/>
          <w:color w:val="000000" w:themeColor="text1"/>
          <w:sz w:val="20"/>
          <w:lang w:eastAsia="zh-CN"/>
        </w:rPr>
        <w:t xml:space="preserve"> </w:t>
      </w:r>
      <w:r>
        <w:rPr>
          <w:b/>
          <w:bCs/>
          <w:color w:val="000000" w:themeColor="text1"/>
          <w:sz w:val="20"/>
        </w:rPr>
        <w:t>Additional evaluations of radiomic scores.</w:t>
      </w:r>
      <w:r>
        <w:rPr>
          <w:rFonts w:hint="eastAsia"/>
          <w:color w:val="000000" w:themeColor="text1"/>
          <w:sz w:val="20"/>
          <w:lang w:eastAsia="zh-CN"/>
        </w:rPr>
        <w:t xml:space="preserve"> </w:t>
      </w:r>
      <w:r w:rsidR="00BB2DF0" w:rsidRPr="00BB2DF0">
        <w:rPr>
          <w:rFonts w:hint="eastAsia"/>
          <w:b/>
          <w:bCs/>
          <w:color w:val="000000" w:themeColor="text1"/>
          <w:sz w:val="20"/>
          <w:lang w:eastAsia="zh-CN"/>
        </w:rPr>
        <w:t>a</w:t>
      </w:r>
      <w:r>
        <w:rPr>
          <w:color w:val="000000" w:themeColor="text1"/>
          <w:sz w:val="20"/>
        </w:rPr>
        <w:t xml:space="preserve"> Waterfall </w:t>
      </w:r>
      <w:proofErr w:type="gramStart"/>
      <w:r>
        <w:rPr>
          <w:color w:val="000000" w:themeColor="text1"/>
          <w:sz w:val="20"/>
        </w:rPr>
        <w:t>plots</w:t>
      </w:r>
      <w:proofErr w:type="gramEnd"/>
      <w:r>
        <w:rPr>
          <w:color w:val="000000" w:themeColor="text1"/>
          <w:sz w:val="20"/>
        </w:rPr>
        <w:t xml:space="preserve"> showing radiomic scores arranged in ascending order for both the training cohort and the internal test cohort. </w:t>
      </w:r>
      <w:r w:rsidR="00BB2DF0" w:rsidRPr="00BB2DF0">
        <w:rPr>
          <w:rFonts w:hint="eastAsia"/>
          <w:b/>
          <w:bCs/>
          <w:color w:val="000000" w:themeColor="text1"/>
          <w:sz w:val="20"/>
          <w:lang w:eastAsia="zh-CN"/>
        </w:rPr>
        <w:t>b</w:t>
      </w:r>
      <w:r>
        <w:rPr>
          <w:color w:val="000000" w:themeColor="text1"/>
          <w:sz w:val="20"/>
        </w:rPr>
        <w:t xml:space="preserve"> ROC curves of models derived from all regions (blue), the tumoral region (orange), the peritumoral region (purple), the intratumoral region (pink), and the ring-shaped region (green) in both the training cohort and the internal test cohort. </w:t>
      </w:r>
      <w:r w:rsidR="00BB2DF0" w:rsidRPr="00BB2DF0">
        <w:rPr>
          <w:rFonts w:hint="eastAsia"/>
          <w:b/>
          <w:bCs/>
          <w:color w:val="000000" w:themeColor="text1"/>
          <w:sz w:val="20"/>
          <w:lang w:eastAsia="zh-CN"/>
        </w:rPr>
        <w:t>c</w:t>
      </w:r>
      <w:r>
        <w:rPr>
          <w:color w:val="000000" w:themeColor="text1"/>
          <w:sz w:val="20"/>
        </w:rPr>
        <w:t xml:space="preserve"> Heatmap displaying the relationship between the selected radiomic features and predictive outcomes. </w:t>
      </w:r>
      <w:r w:rsidR="00BB2DF0" w:rsidRPr="00BB2DF0">
        <w:rPr>
          <w:rFonts w:hint="eastAsia"/>
          <w:b/>
          <w:bCs/>
          <w:color w:val="000000" w:themeColor="text1"/>
          <w:sz w:val="20"/>
          <w:lang w:eastAsia="zh-CN"/>
        </w:rPr>
        <w:t>d</w:t>
      </w:r>
      <w:r>
        <w:rPr>
          <w:color w:val="000000" w:themeColor="text1"/>
          <w:sz w:val="20"/>
        </w:rPr>
        <w:t xml:space="preserve"> ROC curves of TRIP model predicting 12-month PR/SD (orange) and 6-month PR/SD (blue) in both cohorts. Abbreviations: ROC, receiver operator characteristic; AUC, area under the curve; PR, partial response; SD, stable disease.</w:t>
      </w:r>
    </w:p>
    <w:p w14:paraId="53EBBD65" w14:textId="77777777" w:rsidR="00320AAB" w:rsidRDefault="00000000">
      <w:pPr>
        <w:pStyle w:val="SMHeading"/>
        <w:jc w:val="both"/>
      </w:pPr>
      <w:r>
        <w:lastRenderedPageBreak/>
        <w:t>Supplementary</w:t>
      </w:r>
      <w:r>
        <w:rPr>
          <w:rFonts w:hint="eastAsia"/>
          <w:lang w:eastAsia="zh-CN"/>
        </w:rPr>
        <w:t xml:space="preserve"> </w:t>
      </w:r>
      <w:r>
        <w:t>Fig. S3.</w:t>
      </w:r>
      <w:r>
        <w:rPr>
          <w:color w:val="000000" w:themeColor="text1"/>
        </w:rPr>
        <w:t xml:space="preserve"> </w:t>
      </w:r>
    </w:p>
    <w:p w14:paraId="15CDAF80" w14:textId="22B915C1" w:rsidR="00320AAB" w:rsidRDefault="00BB2DF0">
      <w:pPr>
        <w:jc w:val="both"/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drawing>
          <wp:inline distT="0" distB="0" distL="0" distR="0" wp14:anchorId="214CD764" wp14:editId="18469CC0">
            <wp:extent cx="5935980" cy="7917180"/>
            <wp:effectExtent l="0" t="0" r="7620" b="7620"/>
            <wp:docPr id="15374438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272E2" w14:textId="3A581840" w:rsidR="00320AAB" w:rsidRDefault="00000000">
      <w:pPr>
        <w:jc w:val="both"/>
        <w:rPr>
          <w:rFonts w:ascii="Arial" w:hAnsi="Arial" w:cs="Arial"/>
          <w:color w:val="000000" w:themeColor="text1"/>
          <w:sz w:val="20"/>
          <w:lang w:eastAsia="zh-CN"/>
        </w:rPr>
      </w:pPr>
      <w:r>
        <w:rPr>
          <w:b/>
          <w:bCs/>
          <w:sz w:val="20"/>
        </w:rPr>
        <w:lastRenderedPageBreak/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rFonts w:hint="eastAsia"/>
          <w:b/>
          <w:bCs/>
          <w:color w:val="000000" w:themeColor="text1"/>
          <w:sz w:val="20"/>
          <w:lang w:eastAsia="zh-CN"/>
        </w:rPr>
        <w:t xml:space="preserve">Fig. S3. </w:t>
      </w:r>
      <w:r>
        <w:rPr>
          <w:b/>
          <w:bCs/>
          <w:color w:val="000000" w:themeColor="text1"/>
          <w:sz w:val="20"/>
        </w:rPr>
        <w:t>Stratified analysis.</w:t>
      </w:r>
      <w:r>
        <w:rPr>
          <w:rFonts w:hint="eastAsia"/>
          <w:color w:val="000000" w:themeColor="text1"/>
          <w:sz w:val="20"/>
          <w:lang w:eastAsia="zh-CN"/>
        </w:rPr>
        <w:t xml:space="preserve"> </w:t>
      </w:r>
      <w:r>
        <w:rPr>
          <w:color w:val="000000" w:themeColor="text1"/>
          <w:sz w:val="20"/>
        </w:rPr>
        <w:t xml:space="preserve">Focusing on KRAS mutation status </w:t>
      </w:r>
      <w:proofErr w:type="gramStart"/>
      <w:r w:rsidR="00BB2DF0" w:rsidRPr="00BB2DF0">
        <w:rPr>
          <w:rFonts w:hint="eastAsia"/>
          <w:b/>
          <w:bCs/>
          <w:color w:val="000000" w:themeColor="text1"/>
          <w:sz w:val="20"/>
          <w:lang w:eastAsia="zh-CN"/>
        </w:rPr>
        <w:t>a</w:t>
      </w:r>
      <w:r>
        <w:rPr>
          <w:color w:val="000000" w:themeColor="text1"/>
          <w:sz w:val="20"/>
        </w:rPr>
        <w:t xml:space="preserve"> and</w:t>
      </w:r>
      <w:proofErr w:type="gramEnd"/>
      <w:r>
        <w:rPr>
          <w:color w:val="000000" w:themeColor="text1"/>
          <w:sz w:val="20"/>
        </w:rPr>
        <w:t xml:space="preserve"> primary tumor location </w:t>
      </w:r>
      <w:r w:rsidR="00BB2DF0" w:rsidRPr="00BB2DF0">
        <w:rPr>
          <w:rFonts w:hint="eastAsia"/>
          <w:b/>
          <w:bCs/>
          <w:color w:val="000000" w:themeColor="text1"/>
          <w:sz w:val="20"/>
          <w:lang w:eastAsia="zh-CN"/>
        </w:rPr>
        <w:t>b</w:t>
      </w:r>
      <w:r>
        <w:rPr>
          <w:color w:val="000000" w:themeColor="text1"/>
          <w:sz w:val="20"/>
        </w:rPr>
        <w:t xml:space="preserve"> in the training cohort (upper) and the internal test cohort (lower). </w:t>
      </w:r>
    </w:p>
    <w:p w14:paraId="3A8DF01D" w14:textId="77777777" w:rsidR="00320AAB" w:rsidRDefault="00000000">
      <w:pPr>
        <w:pStyle w:val="SMHeading"/>
        <w:jc w:val="both"/>
      </w:pPr>
      <w:r>
        <w:t>Supplementary</w:t>
      </w:r>
      <w:r>
        <w:rPr>
          <w:rFonts w:hint="eastAsia"/>
          <w:lang w:eastAsia="zh-CN"/>
        </w:rPr>
        <w:t xml:space="preserve"> </w:t>
      </w:r>
      <w:r>
        <w:t>Fig. S</w:t>
      </w:r>
      <w:r>
        <w:rPr>
          <w:rFonts w:hint="eastAsia"/>
          <w:lang w:eastAsia="zh-CN"/>
        </w:rPr>
        <w:t>4</w:t>
      </w:r>
      <w:r>
        <w:t>.</w:t>
      </w:r>
      <w:r>
        <w:rPr>
          <w:color w:val="000000" w:themeColor="text1"/>
        </w:rPr>
        <w:t xml:space="preserve"> </w:t>
      </w:r>
    </w:p>
    <w:p w14:paraId="72416239" w14:textId="77777777" w:rsidR="00320AAB" w:rsidRDefault="00000000">
      <w:pPr>
        <w:jc w:val="both"/>
        <w:rPr>
          <w:rFonts w:eastAsia="宋体"/>
          <w:color w:val="000000" w:themeColor="text1"/>
          <w:szCs w:val="24"/>
        </w:rPr>
      </w:pP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0C19A97A" wp14:editId="4F87540F">
            <wp:extent cx="5036820" cy="4572000"/>
            <wp:effectExtent l="0" t="0" r="0" b="0"/>
            <wp:docPr id="710683740" name="图片 4" descr="图片包含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83740" name="图片 4" descr="图片包含 散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20ECE" w14:textId="77777777" w:rsidR="00320AAB" w:rsidRDefault="00000000">
      <w:pPr>
        <w:jc w:val="both"/>
        <w:rPr>
          <w:rFonts w:ascii="Arial" w:hAnsi="Arial" w:cs="Arial"/>
          <w:color w:val="000000" w:themeColor="text1"/>
          <w:sz w:val="20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rFonts w:eastAsia="宋体" w:hint="eastAsia"/>
          <w:b/>
          <w:bCs/>
          <w:color w:val="000000" w:themeColor="text1"/>
          <w:sz w:val="20"/>
          <w:lang w:eastAsia="zh-CN"/>
        </w:rPr>
        <w:t xml:space="preserve">Fig.S4. </w:t>
      </w:r>
      <w:r>
        <w:rPr>
          <w:rFonts w:eastAsia="宋体"/>
          <w:b/>
          <w:bCs/>
          <w:color w:val="000000" w:themeColor="text1"/>
          <w:sz w:val="20"/>
        </w:rPr>
        <w:t>Biological explanation of radiomic features.</w:t>
      </w:r>
      <w:r>
        <w:rPr>
          <w:rFonts w:eastAsia="宋体" w:hint="eastAsia"/>
          <w:color w:val="000000" w:themeColor="text1"/>
          <w:sz w:val="20"/>
          <w:lang w:eastAsia="zh-CN"/>
        </w:rPr>
        <w:t xml:space="preserve"> </w:t>
      </w:r>
      <w:r>
        <w:rPr>
          <w:rFonts w:eastAsia="宋体"/>
          <w:color w:val="000000" w:themeColor="text1"/>
          <w:sz w:val="20"/>
        </w:rPr>
        <w:t>Spearman’s correlation analysis of radiomic features, cell signatures, and biological pathways.</w:t>
      </w:r>
    </w:p>
    <w:p w14:paraId="39DED678" w14:textId="77777777" w:rsidR="00320AAB" w:rsidRDefault="00000000">
      <w:pPr>
        <w:jc w:val="both"/>
        <w:rPr>
          <w:sz w:val="20"/>
        </w:rPr>
      </w:pPr>
      <w:r>
        <w:rPr>
          <w:sz w:val="20"/>
        </w:rPr>
        <w:br w:type="page"/>
      </w:r>
    </w:p>
    <w:p w14:paraId="34D68712" w14:textId="77777777" w:rsidR="00320AAB" w:rsidRDefault="00000000">
      <w:pPr>
        <w:pStyle w:val="SMHeading"/>
        <w:jc w:val="both"/>
      </w:pPr>
      <w:r>
        <w:lastRenderedPageBreak/>
        <w:t>Supplementary</w:t>
      </w:r>
      <w:r>
        <w:rPr>
          <w:rFonts w:hint="eastAsia"/>
          <w:lang w:eastAsia="zh-CN"/>
        </w:rPr>
        <w:t xml:space="preserve"> </w:t>
      </w:r>
      <w:r>
        <w:t>Fig. S</w:t>
      </w:r>
      <w:r>
        <w:rPr>
          <w:rFonts w:hint="eastAsia"/>
          <w:lang w:eastAsia="zh-CN"/>
        </w:rPr>
        <w:t>5</w:t>
      </w:r>
      <w:r>
        <w:t>.</w:t>
      </w:r>
      <w:r>
        <w:rPr>
          <w:color w:val="000000" w:themeColor="text1"/>
        </w:rPr>
        <w:t xml:space="preserve"> </w:t>
      </w:r>
    </w:p>
    <w:p w14:paraId="25089056" w14:textId="3D42D470" w:rsidR="00320AAB" w:rsidRDefault="00BB2DF0">
      <w:pPr>
        <w:pStyle w:val="SMcaption"/>
        <w:jc w:val="both"/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</w:rPr>
        <w:drawing>
          <wp:inline distT="0" distB="0" distL="0" distR="0" wp14:anchorId="17A007D1" wp14:editId="168F734A">
            <wp:extent cx="5943600" cy="5760720"/>
            <wp:effectExtent l="0" t="0" r="0" b="0"/>
            <wp:docPr id="1113230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60211" w14:textId="6F058227" w:rsidR="00320AAB" w:rsidRDefault="00000000">
      <w:pPr>
        <w:pStyle w:val="SMcaption"/>
        <w:jc w:val="both"/>
        <w:rPr>
          <w:color w:val="000000" w:themeColor="text1"/>
          <w:sz w:val="20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rFonts w:hint="eastAsia"/>
          <w:b/>
          <w:bCs/>
          <w:color w:val="000000" w:themeColor="text1"/>
          <w:sz w:val="20"/>
          <w:lang w:eastAsia="zh-CN"/>
        </w:rPr>
        <w:t xml:space="preserve">Fig.S5. </w:t>
      </w:r>
      <w:r>
        <w:rPr>
          <w:b/>
          <w:bCs/>
          <w:color w:val="000000" w:themeColor="text1"/>
          <w:sz w:val="20"/>
        </w:rPr>
        <w:t>Development and interpretation of the pathomic signature.</w:t>
      </w:r>
      <w:r>
        <w:rPr>
          <w:rFonts w:hint="eastAsia"/>
          <w:b/>
          <w:bCs/>
          <w:color w:val="000000" w:themeColor="text1"/>
          <w:sz w:val="20"/>
          <w:lang w:eastAsia="zh-CN"/>
        </w:rPr>
        <w:t xml:space="preserve"> </w:t>
      </w:r>
      <w:r w:rsidR="00BB2DF0" w:rsidRPr="00BB2DF0">
        <w:rPr>
          <w:rFonts w:hint="eastAsia"/>
          <w:b/>
          <w:bCs/>
          <w:color w:val="000000" w:themeColor="text1"/>
          <w:sz w:val="20"/>
          <w:lang w:eastAsia="zh-CN"/>
        </w:rPr>
        <w:t>a</w:t>
      </w:r>
      <w:r>
        <w:rPr>
          <w:color w:val="000000" w:themeColor="text1"/>
          <w:sz w:val="20"/>
        </w:rPr>
        <w:t xml:space="preserve"> ROC curves of pathomic model in the training cohort (left) and the test cohort (right). UMAP visualization of sensitive subgroups</w:t>
      </w:r>
      <w:r w:rsidR="00BB2DF0">
        <w:rPr>
          <w:rFonts w:hint="eastAsia"/>
          <w:color w:val="000000" w:themeColor="text1"/>
          <w:sz w:val="20"/>
          <w:lang w:eastAsia="zh-CN"/>
        </w:rPr>
        <w:t xml:space="preserve"> </w:t>
      </w:r>
      <w:r w:rsidR="00BB2DF0" w:rsidRPr="00BB2DF0">
        <w:rPr>
          <w:rFonts w:hint="eastAsia"/>
          <w:b/>
          <w:bCs/>
          <w:color w:val="000000" w:themeColor="text1"/>
          <w:sz w:val="20"/>
          <w:lang w:eastAsia="zh-CN"/>
        </w:rPr>
        <w:t>b</w:t>
      </w:r>
      <w:r w:rsidRPr="00BB2DF0">
        <w:rPr>
          <w:b/>
          <w:bCs/>
          <w:color w:val="000000" w:themeColor="text1"/>
          <w:sz w:val="20"/>
        </w:rPr>
        <w:t xml:space="preserve"> </w:t>
      </w:r>
      <w:r>
        <w:rPr>
          <w:color w:val="000000" w:themeColor="text1"/>
          <w:sz w:val="20"/>
        </w:rPr>
        <w:t xml:space="preserve">and resistant subgroups. </w:t>
      </w:r>
      <w:r w:rsidR="00FA59BC">
        <w:rPr>
          <w:rFonts w:hint="eastAsia"/>
          <w:b/>
          <w:bCs/>
          <w:color w:val="000000" w:themeColor="text1"/>
          <w:sz w:val="20"/>
          <w:lang w:eastAsia="zh-CN"/>
        </w:rPr>
        <w:t>c</w:t>
      </w:r>
      <w:r w:rsidR="00283B1B">
        <w:rPr>
          <w:rFonts w:hint="eastAsia"/>
          <w:b/>
          <w:bCs/>
          <w:color w:val="000000" w:themeColor="text1"/>
          <w:sz w:val="20"/>
          <w:lang w:eastAsia="zh-CN"/>
        </w:rPr>
        <w:t xml:space="preserve"> </w:t>
      </w:r>
      <w:proofErr w:type="gramStart"/>
      <w:r>
        <w:rPr>
          <w:color w:val="000000" w:themeColor="text1"/>
          <w:sz w:val="20"/>
        </w:rPr>
        <w:t>The</w:t>
      </w:r>
      <w:proofErr w:type="gramEnd"/>
      <w:r>
        <w:rPr>
          <w:color w:val="000000" w:themeColor="text1"/>
          <w:sz w:val="20"/>
        </w:rPr>
        <w:t xml:space="preserve"> patches were denoted as 5 components, including hepatic cells (orange), tumor cells (red), fibroblasts (green), blood vessels (blue), and immune cells (purple), or as high predicted possibilities (red) and low predicted possibilities (blue). Each dot represents a patch (~0.5μm/pixel).</w:t>
      </w:r>
    </w:p>
    <w:p w14:paraId="19DA2350" w14:textId="77777777" w:rsidR="00320AAB" w:rsidRDefault="00000000">
      <w:pPr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br w:type="page"/>
      </w:r>
    </w:p>
    <w:p w14:paraId="6089856F" w14:textId="77777777" w:rsidR="00320AAB" w:rsidRDefault="00000000">
      <w:pPr>
        <w:pStyle w:val="SMHeading"/>
        <w:jc w:val="both"/>
      </w:pPr>
      <w:r>
        <w:lastRenderedPageBreak/>
        <w:t>Supplementary</w:t>
      </w:r>
      <w:r>
        <w:rPr>
          <w:rFonts w:hint="eastAsia"/>
          <w:lang w:eastAsia="zh-CN"/>
        </w:rPr>
        <w:t xml:space="preserve"> </w:t>
      </w:r>
      <w:r>
        <w:t>Fig. S</w:t>
      </w:r>
      <w:r>
        <w:rPr>
          <w:rFonts w:hint="eastAsia"/>
          <w:lang w:eastAsia="zh-CN"/>
        </w:rPr>
        <w:t>6</w:t>
      </w:r>
      <w:r>
        <w:t>.</w:t>
      </w:r>
      <w:r>
        <w:rPr>
          <w:color w:val="000000" w:themeColor="text1"/>
        </w:rPr>
        <w:t xml:space="preserve"> </w:t>
      </w:r>
    </w:p>
    <w:p w14:paraId="16D0D735" w14:textId="1E386FAE" w:rsidR="00320AAB" w:rsidRDefault="00BB2DF0">
      <w:pPr>
        <w:pStyle w:val="SMcaption"/>
        <w:jc w:val="both"/>
        <w:rPr>
          <w:color w:val="000000" w:themeColor="text1"/>
          <w:szCs w:val="24"/>
        </w:rPr>
      </w:pP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6FAA27FD" wp14:editId="7C3EF6D0">
            <wp:extent cx="5935980" cy="7551420"/>
            <wp:effectExtent l="0" t="0" r="7620" b="0"/>
            <wp:docPr id="17892688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C499" w14:textId="1168CAF6" w:rsidR="00320AAB" w:rsidRDefault="00000000">
      <w:pPr>
        <w:pStyle w:val="SMcaption"/>
        <w:jc w:val="both"/>
        <w:rPr>
          <w:color w:val="000000" w:themeColor="text1"/>
          <w:sz w:val="20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rFonts w:hint="eastAsia"/>
          <w:b/>
          <w:bCs/>
          <w:color w:val="000000" w:themeColor="text1"/>
          <w:sz w:val="20"/>
          <w:lang w:eastAsia="zh-CN"/>
        </w:rPr>
        <w:t xml:space="preserve">Fig.S6. </w:t>
      </w:r>
      <w:r>
        <w:rPr>
          <w:b/>
          <w:bCs/>
          <w:color w:val="000000" w:themeColor="text1"/>
          <w:sz w:val="20"/>
        </w:rPr>
        <w:t>External validation at the single-cell level.</w:t>
      </w:r>
      <w:r>
        <w:rPr>
          <w:rFonts w:hint="eastAsia"/>
          <w:b/>
          <w:bCs/>
          <w:color w:val="000000" w:themeColor="text1"/>
          <w:sz w:val="20"/>
          <w:lang w:eastAsia="zh-CN"/>
        </w:rPr>
        <w:t xml:space="preserve"> </w:t>
      </w:r>
      <w:r>
        <w:rPr>
          <w:color w:val="000000" w:themeColor="text1"/>
          <w:sz w:val="20"/>
        </w:rPr>
        <w:t xml:space="preserve">Visualization of single-cell RNA sequencing analysis (GSE245552) using a heatmap </w:t>
      </w:r>
      <w:r w:rsidR="00BB2DF0" w:rsidRPr="00BB2DF0">
        <w:rPr>
          <w:rFonts w:hint="eastAsia"/>
          <w:b/>
          <w:bCs/>
          <w:color w:val="000000" w:themeColor="text1"/>
          <w:sz w:val="20"/>
          <w:lang w:eastAsia="zh-CN"/>
        </w:rPr>
        <w:t>a</w:t>
      </w:r>
      <w:r>
        <w:rPr>
          <w:color w:val="000000" w:themeColor="text1"/>
          <w:sz w:val="20"/>
        </w:rPr>
        <w:t xml:space="preserve"> and a t-SNE plot</w:t>
      </w:r>
      <w:r w:rsidR="00BB2DF0">
        <w:rPr>
          <w:rFonts w:hint="eastAsia"/>
          <w:color w:val="000000" w:themeColor="text1"/>
          <w:sz w:val="20"/>
          <w:lang w:eastAsia="zh-CN"/>
        </w:rPr>
        <w:t xml:space="preserve"> </w:t>
      </w:r>
      <w:r w:rsidR="00BB2DF0" w:rsidRPr="00BB2DF0">
        <w:rPr>
          <w:rFonts w:hint="eastAsia"/>
          <w:b/>
          <w:bCs/>
          <w:color w:val="000000" w:themeColor="text1"/>
          <w:sz w:val="20"/>
          <w:lang w:eastAsia="zh-CN"/>
        </w:rPr>
        <w:t>b</w:t>
      </w:r>
      <w:r>
        <w:rPr>
          <w:color w:val="000000" w:themeColor="text1"/>
          <w:sz w:val="20"/>
        </w:rPr>
        <w:t xml:space="preserve">. Comparison of the oncogenic properties of fibroblasts between CRLM and normal colon tissue </w:t>
      </w:r>
      <w:r w:rsidR="00BB2DF0" w:rsidRPr="00BB2DF0">
        <w:rPr>
          <w:rFonts w:hint="eastAsia"/>
          <w:b/>
          <w:bCs/>
          <w:color w:val="000000" w:themeColor="text1"/>
          <w:sz w:val="20"/>
          <w:lang w:eastAsia="zh-CN"/>
        </w:rPr>
        <w:t xml:space="preserve">c </w:t>
      </w:r>
      <w:r>
        <w:rPr>
          <w:color w:val="000000" w:themeColor="text1"/>
          <w:sz w:val="20"/>
        </w:rPr>
        <w:t xml:space="preserve">or normal liver tissue </w:t>
      </w:r>
      <w:r w:rsidR="00BB2DF0" w:rsidRPr="00BB2DF0">
        <w:rPr>
          <w:rFonts w:hint="eastAsia"/>
          <w:b/>
          <w:bCs/>
          <w:color w:val="000000" w:themeColor="text1"/>
          <w:sz w:val="20"/>
          <w:lang w:eastAsia="zh-CN"/>
        </w:rPr>
        <w:t>d</w:t>
      </w:r>
      <w:r>
        <w:rPr>
          <w:color w:val="000000" w:themeColor="text1"/>
          <w:sz w:val="20"/>
        </w:rPr>
        <w:t xml:space="preserve"> through KEGG analysis.</w:t>
      </w:r>
    </w:p>
    <w:p w14:paraId="5567C259" w14:textId="77777777" w:rsidR="00320AAB" w:rsidRDefault="00320AAB">
      <w:pPr>
        <w:jc w:val="both"/>
        <w:rPr>
          <w:szCs w:val="24"/>
          <w:lang w:eastAsia="zh-CN"/>
        </w:rPr>
      </w:pPr>
    </w:p>
    <w:p w14:paraId="0897C60C" w14:textId="77777777" w:rsidR="00320AAB" w:rsidRDefault="00000000">
      <w:pPr>
        <w:rPr>
          <w:b/>
          <w:bCs/>
          <w:color w:val="000000" w:themeColor="text1"/>
          <w:szCs w:val="24"/>
        </w:rPr>
      </w:pPr>
      <w:r>
        <w:rPr>
          <w:b/>
          <w:bCs/>
          <w:color w:val="000000" w:themeColor="text1"/>
          <w:szCs w:val="24"/>
        </w:rPr>
        <w:t>Supplementary Tables</w:t>
      </w:r>
    </w:p>
    <w:p w14:paraId="41957B8C" w14:textId="77777777" w:rsidR="00320AAB" w:rsidRDefault="00000000">
      <w:pPr>
        <w:rPr>
          <w:b/>
          <w:bCs/>
          <w:color w:val="000000" w:themeColor="text1"/>
          <w:sz w:val="20"/>
        </w:rPr>
      </w:pPr>
      <w:r>
        <w:rPr>
          <w:b/>
          <w:bCs/>
          <w:color w:val="000000" w:themeColor="text1"/>
          <w:sz w:val="20"/>
        </w:rPr>
        <w:t>Legends for Tables S1 to S10</w:t>
      </w:r>
    </w:p>
    <w:p w14:paraId="1EB184C0" w14:textId="77777777" w:rsidR="00320AAB" w:rsidRDefault="00000000">
      <w:pPr>
        <w:rPr>
          <w:b/>
          <w:bCs/>
          <w:color w:val="000000" w:themeColor="text1"/>
          <w:sz w:val="20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b/>
          <w:bCs/>
          <w:color w:val="000000" w:themeColor="text1"/>
          <w:sz w:val="20"/>
        </w:rPr>
        <w:t>Table S1. Characteristics of all cohorts.</w:t>
      </w:r>
    </w:p>
    <w:p w14:paraId="1B3E79E4" w14:textId="77777777" w:rsidR="00320AAB" w:rsidRDefault="00000000">
      <w:pPr>
        <w:rPr>
          <w:b/>
          <w:bCs/>
          <w:color w:val="000000" w:themeColor="text1"/>
          <w:sz w:val="20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b/>
          <w:bCs/>
          <w:color w:val="000000" w:themeColor="text1"/>
          <w:sz w:val="20"/>
        </w:rPr>
        <w:t>Table S2. All radiomic features utilized in the model training process.</w:t>
      </w:r>
    </w:p>
    <w:p w14:paraId="46D6E5E3" w14:textId="77777777" w:rsidR="00320AAB" w:rsidRDefault="00000000">
      <w:pPr>
        <w:rPr>
          <w:b/>
          <w:bCs/>
          <w:color w:val="000000" w:themeColor="text1"/>
          <w:sz w:val="20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b/>
          <w:bCs/>
          <w:color w:val="000000" w:themeColor="text1"/>
          <w:sz w:val="20"/>
        </w:rPr>
        <w:t>Table S3. Predicting the performance of single ROI-derived radiomic models.</w:t>
      </w:r>
    </w:p>
    <w:p w14:paraId="3D3E08EF" w14:textId="77777777" w:rsidR="00320AAB" w:rsidRDefault="00000000">
      <w:pPr>
        <w:rPr>
          <w:b/>
          <w:bCs/>
          <w:color w:val="000000" w:themeColor="text1"/>
          <w:sz w:val="20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b/>
          <w:bCs/>
          <w:color w:val="000000" w:themeColor="text1"/>
          <w:sz w:val="20"/>
        </w:rPr>
        <w:t>Table S4. Univariate and multivariate logistic analysis.</w:t>
      </w:r>
    </w:p>
    <w:p w14:paraId="0FE9A001" w14:textId="77777777" w:rsidR="00320AAB" w:rsidRDefault="00000000">
      <w:pPr>
        <w:rPr>
          <w:b/>
          <w:bCs/>
          <w:color w:val="000000" w:themeColor="text1"/>
          <w:sz w:val="20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b/>
          <w:bCs/>
          <w:color w:val="000000" w:themeColor="text1"/>
          <w:sz w:val="20"/>
        </w:rPr>
        <w:t>Table S5. Univariate and multivariate Cox analysis of progression-free survival.</w:t>
      </w:r>
    </w:p>
    <w:p w14:paraId="10ABFE6A" w14:textId="77777777" w:rsidR="00320AAB" w:rsidRDefault="00000000">
      <w:pPr>
        <w:rPr>
          <w:b/>
          <w:bCs/>
          <w:color w:val="000000" w:themeColor="text1"/>
          <w:sz w:val="20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b/>
          <w:bCs/>
          <w:color w:val="000000" w:themeColor="text1"/>
          <w:sz w:val="20"/>
        </w:rPr>
        <w:t>Table S6. Univariate and multivariate Cox analysis of overall survival.</w:t>
      </w:r>
    </w:p>
    <w:p w14:paraId="314BD6E4" w14:textId="77777777" w:rsidR="00320AAB" w:rsidRDefault="00000000">
      <w:pPr>
        <w:rPr>
          <w:b/>
          <w:bCs/>
          <w:color w:val="000000" w:themeColor="text1"/>
          <w:sz w:val="20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b/>
          <w:bCs/>
          <w:color w:val="000000" w:themeColor="text1"/>
          <w:sz w:val="20"/>
        </w:rPr>
        <w:t>Table S7. Calibration of radiomic models and radiomic-pathomic models.</w:t>
      </w:r>
    </w:p>
    <w:p w14:paraId="457FAD03" w14:textId="77777777" w:rsidR="00320AAB" w:rsidRDefault="00000000">
      <w:pPr>
        <w:rPr>
          <w:b/>
          <w:bCs/>
          <w:color w:val="000000" w:themeColor="text1"/>
          <w:sz w:val="20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b/>
          <w:bCs/>
          <w:color w:val="000000" w:themeColor="text1"/>
          <w:sz w:val="20"/>
        </w:rPr>
        <w:t>Table S8. NRI test and IDI test of the radiomic-pathomic model compared with the radiomic model.</w:t>
      </w:r>
    </w:p>
    <w:p w14:paraId="4E1D312B" w14:textId="77777777" w:rsidR="00320AAB" w:rsidRDefault="00000000">
      <w:pPr>
        <w:rPr>
          <w:b/>
          <w:bCs/>
          <w:color w:val="000000" w:themeColor="text1"/>
          <w:sz w:val="20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b/>
          <w:bCs/>
          <w:color w:val="000000" w:themeColor="text1"/>
          <w:sz w:val="20"/>
        </w:rPr>
        <w:t>Table S9. Univariate and multivariate logistic analysis using radiomic-pathomic model.</w:t>
      </w:r>
    </w:p>
    <w:p w14:paraId="50F419BC" w14:textId="77777777" w:rsidR="00320AAB" w:rsidRDefault="00000000">
      <w:pPr>
        <w:rPr>
          <w:b/>
          <w:bCs/>
          <w:color w:val="000000" w:themeColor="text1"/>
          <w:sz w:val="20"/>
        </w:rPr>
      </w:pPr>
      <w:r>
        <w:rPr>
          <w:b/>
          <w:bCs/>
          <w:sz w:val="20"/>
        </w:rPr>
        <w:t>Supplementary</w:t>
      </w:r>
      <w:r>
        <w:rPr>
          <w:rFonts w:hint="eastAsia"/>
          <w:b/>
          <w:bCs/>
          <w:sz w:val="20"/>
          <w:lang w:eastAsia="zh-CN"/>
        </w:rPr>
        <w:t xml:space="preserve"> </w:t>
      </w:r>
      <w:r>
        <w:rPr>
          <w:b/>
          <w:bCs/>
          <w:color w:val="000000" w:themeColor="text1"/>
          <w:sz w:val="20"/>
        </w:rPr>
        <w:t>Table S10. Univariate and multivariate Cox analysis of progression-free survival using the radiomic-pathomic model.</w:t>
      </w:r>
    </w:p>
    <w:p w14:paraId="53599D37" w14:textId="1A05E31E" w:rsidR="00320AAB" w:rsidRDefault="00000000" w:rsidP="001E16B3">
      <w:pPr>
        <w:rPr>
          <w:szCs w:val="24"/>
          <w:lang w:eastAsia="zh-CN"/>
        </w:rPr>
      </w:pPr>
      <w:r>
        <w:rPr>
          <w:szCs w:val="24"/>
          <w:lang w:eastAsia="zh-CN"/>
        </w:rPr>
        <w:fldChar w:fldCharType="begin"/>
      </w:r>
      <w:r>
        <w:rPr>
          <w:szCs w:val="24"/>
          <w:lang w:eastAsia="zh-CN"/>
        </w:rPr>
        <w:instrText xml:space="preserve"> ADDIN EN.REFLIST </w:instrText>
      </w:r>
      <w:r>
        <w:rPr>
          <w:szCs w:val="24"/>
          <w:lang w:eastAsia="zh-CN"/>
        </w:rPr>
        <w:fldChar w:fldCharType="separate"/>
      </w:r>
      <w:r>
        <w:rPr>
          <w:szCs w:val="24"/>
          <w:lang w:eastAsia="zh-CN"/>
        </w:rPr>
        <w:fldChar w:fldCharType="end"/>
      </w:r>
    </w:p>
    <w:sectPr w:rsidR="00320AAB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88065" w14:textId="77777777" w:rsidR="002C5900" w:rsidRDefault="002C5900">
      <w:r>
        <w:separator/>
      </w:r>
    </w:p>
  </w:endnote>
  <w:endnote w:type="continuationSeparator" w:id="0">
    <w:p w14:paraId="09D82640" w14:textId="77777777" w:rsidR="002C5900" w:rsidRDefault="002C5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4625B" w14:textId="77777777" w:rsidR="00320AAB" w:rsidRDefault="00000000">
    <w:pPr>
      <w:pStyle w:val="aff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  <w:p w14:paraId="15ADF482" w14:textId="77777777" w:rsidR="00320AAB" w:rsidRDefault="00320AAB">
    <w:pPr>
      <w:pStyle w:val="af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BC65B" w14:textId="77777777" w:rsidR="002C5900" w:rsidRDefault="002C5900">
      <w:r>
        <w:separator/>
      </w:r>
    </w:p>
  </w:footnote>
  <w:footnote w:type="continuationSeparator" w:id="0">
    <w:p w14:paraId="3A4F7521" w14:textId="77777777" w:rsidR="002C5900" w:rsidRDefault="002C5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1FCE2" w14:textId="77777777" w:rsidR="00320AAB" w:rsidRDefault="00320AAB">
    <w:pPr>
      <w:jc w:val="right"/>
      <w:rPr>
        <w:sz w:val="20"/>
      </w:rPr>
    </w:pPr>
  </w:p>
  <w:p w14:paraId="225F4EBB" w14:textId="77777777" w:rsidR="00320AAB" w:rsidRDefault="00320A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 w16cid:durableId="2075421023">
    <w:abstractNumId w:val="3"/>
  </w:num>
  <w:num w:numId="2" w16cid:durableId="1730032184">
    <w:abstractNumId w:val="5"/>
  </w:num>
  <w:num w:numId="3" w16cid:durableId="582842339">
    <w:abstractNumId w:val="8"/>
  </w:num>
  <w:num w:numId="4" w16cid:durableId="206114720">
    <w:abstractNumId w:val="9"/>
  </w:num>
  <w:num w:numId="5" w16cid:durableId="270746433">
    <w:abstractNumId w:val="6"/>
  </w:num>
  <w:num w:numId="6" w16cid:durableId="1152257950">
    <w:abstractNumId w:val="2"/>
  </w:num>
  <w:num w:numId="7" w16cid:durableId="7147356">
    <w:abstractNumId w:val="7"/>
  </w:num>
  <w:num w:numId="8" w16cid:durableId="129636855">
    <w:abstractNumId w:val="4"/>
  </w:num>
  <w:num w:numId="9" w16cid:durableId="283316760">
    <w:abstractNumId w:val="1"/>
  </w:num>
  <w:num w:numId="10" w16cid:durableId="1244606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-1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0wpsa0vqxe9pseavwapa5r2x0rfd2pzp20p&quot;&gt;My EndNote Library&lt;record-ids&gt;&lt;item&gt;65&lt;/item&gt;&lt;item&gt;101&lt;/item&gt;&lt;item&gt;103&lt;/item&gt;&lt;item&gt;116&lt;/item&gt;&lt;item&gt;117&lt;/item&gt;&lt;item&gt;120&lt;/item&gt;&lt;item&gt;121&lt;/item&gt;&lt;item&gt;141&lt;/item&gt;&lt;item&gt;143&lt;/item&gt;&lt;/record-ids&gt;&lt;/item&gt;&lt;/Libraries&gt;"/>
  </w:docVars>
  <w:rsids>
    <w:rsidRoot w:val="002C030F"/>
    <w:rsid w:val="00015F74"/>
    <w:rsid w:val="0004160B"/>
    <w:rsid w:val="000613B3"/>
    <w:rsid w:val="00065EBD"/>
    <w:rsid w:val="00066D0C"/>
    <w:rsid w:val="0007718E"/>
    <w:rsid w:val="00083B44"/>
    <w:rsid w:val="000850DC"/>
    <w:rsid w:val="000A715E"/>
    <w:rsid w:val="000A79DB"/>
    <w:rsid w:val="000B0F53"/>
    <w:rsid w:val="000B5514"/>
    <w:rsid w:val="000C07BF"/>
    <w:rsid w:val="000C2771"/>
    <w:rsid w:val="000C45E9"/>
    <w:rsid w:val="000D46F4"/>
    <w:rsid w:val="000F0DCE"/>
    <w:rsid w:val="000F6BE3"/>
    <w:rsid w:val="00112C5B"/>
    <w:rsid w:val="00114193"/>
    <w:rsid w:val="00115A38"/>
    <w:rsid w:val="0011687B"/>
    <w:rsid w:val="00124F82"/>
    <w:rsid w:val="00127D92"/>
    <w:rsid w:val="0016337A"/>
    <w:rsid w:val="00164269"/>
    <w:rsid w:val="001A1BDE"/>
    <w:rsid w:val="001B0E4A"/>
    <w:rsid w:val="001B13CE"/>
    <w:rsid w:val="001C2D28"/>
    <w:rsid w:val="001E16B3"/>
    <w:rsid w:val="001F0876"/>
    <w:rsid w:val="001F167C"/>
    <w:rsid w:val="001F5E91"/>
    <w:rsid w:val="002077B9"/>
    <w:rsid w:val="00262D72"/>
    <w:rsid w:val="00283B1B"/>
    <w:rsid w:val="00294FBB"/>
    <w:rsid w:val="002C030F"/>
    <w:rsid w:val="002C5900"/>
    <w:rsid w:val="002F0FB6"/>
    <w:rsid w:val="002F3C49"/>
    <w:rsid w:val="002F4A07"/>
    <w:rsid w:val="0031671A"/>
    <w:rsid w:val="00320AAB"/>
    <w:rsid w:val="00331D75"/>
    <w:rsid w:val="0035320E"/>
    <w:rsid w:val="00355362"/>
    <w:rsid w:val="003603C3"/>
    <w:rsid w:val="00363E44"/>
    <w:rsid w:val="003659A8"/>
    <w:rsid w:val="00365E7D"/>
    <w:rsid w:val="003669F9"/>
    <w:rsid w:val="00392402"/>
    <w:rsid w:val="00393BAB"/>
    <w:rsid w:val="00395E86"/>
    <w:rsid w:val="003A2FD8"/>
    <w:rsid w:val="003B40E6"/>
    <w:rsid w:val="003C74AA"/>
    <w:rsid w:val="003E74FB"/>
    <w:rsid w:val="003F5904"/>
    <w:rsid w:val="003F6E14"/>
    <w:rsid w:val="003F6F90"/>
    <w:rsid w:val="00405336"/>
    <w:rsid w:val="004207DD"/>
    <w:rsid w:val="00432494"/>
    <w:rsid w:val="00435ABE"/>
    <w:rsid w:val="004571D5"/>
    <w:rsid w:val="00461D81"/>
    <w:rsid w:val="0046356B"/>
    <w:rsid w:val="00477182"/>
    <w:rsid w:val="004779CB"/>
    <w:rsid w:val="004925E1"/>
    <w:rsid w:val="004A6F57"/>
    <w:rsid w:val="004D0135"/>
    <w:rsid w:val="004E42D8"/>
    <w:rsid w:val="004E749B"/>
    <w:rsid w:val="004E7BA2"/>
    <w:rsid w:val="004F7EDF"/>
    <w:rsid w:val="005001AC"/>
    <w:rsid w:val="00515EC5"/>
    <w:rsid w:val="00527D71"/>
    <w:rsid w:val="00533910"/>
    <w:rsid w:val="00534215"/>
    <w:rsid w:val="005520A8"/>
    <w:rsid w:val="005575C0"/>
    <w:rsid w:val="005607DD"/>
    <w:rsid w:val="005A558C"/>
    <w:rsid w:val="005B4FBA"/>
    <w:rsid w:val="005D712F"/>
    <w:rsid w:val="005E28F8"/>
    <w:rsid w:val="005E4B01"/>
    <w:rsid w:val="005E6513"/>
    <w:rsid w:val="006008BC"/>
    <w:rsid w:val="00607E8E"/>
    <w:rsid w:val="00613A1B"/>
    <w:rsid w:val="00632CA3"/>
    <w:rsid w:val="006334C7"/>
    <w:rsid w:val="00651114"/>
    <w:rsid w:val="00664560"/>
    <w:rsid w:val="00670299"/>
    <w:rsid w:val="00691985"/>
    <w:rsid w:val="00694273"/>
    <w:rsid w:val="00697611"/>
    <w:rsid w:val="006A1B64"/>
    <w:rsid w:val="007108F5"/>
    <w:rsid w:val="00713E5B"/>
    <w:rsid w:val="007254C7"/>
    <w:rsid w:val="007402FC"/>
    <w:rsid w:val="007411A1"/>
    <w:rsid w:val="00793072"/>
    <w:rsid w:val="007B7739"/>
    <w:rsid w:val="007C45B3"/>
    <w:rsid w:val="007E2786"/>
    <w:rsid w:val="008071BB"/>
    <w:rsid w:val="00807D35"/>
    <w:rsid w:val="008218C4"/>
    <w:rsid w:val="00856EE0"/>
    <w:rsid w:val="00867A98"/>
    <w:rsid w:val="00870867"/>
    <w:rsid w:val="00885C9B"/>
    <w:rsid w:val="008C44D8"/>
    <w:rsid w:val="008D5D2A"/>
    <w:rsid w:val="009112CA"/>
    <w:rsid w:val="00914B63"/>
    <w:rsid w:val="00916E0E"/>
    <w:rsid w:val="009354F3"/>
    <w:rsid w:val="009430F9"/>
    <w:rsid w:val="009447DC"/>
    <w:rsid w:val="00945471"/>
    <w:rsid w:val="00950234"/>
    <w:rsid w:val="00957278"/>
    <w:rsid w:val="00961BA5"/>
    <w:rsid w:val="009743A9"/>
    <w:rsid w:val="009859AD"/>
    <w:rsid w:val="009A5287"/>
    <w:rsid w:val="009A7C5F"/>
    <w:rsid w:val="009B2AC5"/>
    <w:rsid w:val="009B7984"/>
    <w:rsid w:val="009F4BED"/>
    <w:rsid w:val="009F7D93"/>
    <w:rsid w:val="00A02E0C"/>
    <w:rsid w:val="00A3403B"/>
    <w:rsid w:val="00A35D68"/>
    <w:rsid w:val="00A51111"/>
    <w:rsid w:val="00A51A12"/>
    <w:rsid w:val="00A53A78"/>
    <w:rsid w:val="00A627D4"/>
    <w:rsid w:val="00A74DA2"/>
    <w:rsid w:val="00A77632"/>
    <w:rsid w:val="00A90756"/>
    <w:rsid w:val="00AB399E"/>
    <w:rsid w:val="00AC59D0"/>
    <w:rsid w:val="00AC7EF6"/>
    <w:rsid w:val="00AD16B1"/>
    <w:rsid w:val="00AD499C"/>
    <w:rsid w:val="00AF5148"/>
    <w:rsid w:val="00B10F7E"/>
    <w:rsid w:val="00B36869"/>
    <w:rsid w:val="00B41743"/>
    <w:rsid w:val="00B43B31"/>
    <w:rsid w:val="00B47CFA"/>
    <w:rsid w:val="00B574A3"/>
    <w:rsid w:val="00B57F00"/>
    <w:rsid w:val="00B63245"/>
    <w:rsid w:val="00B717A3"/>
    <w:rsid w:val="00B73C69"/>
    <w:rsid w:val="00B77B2A"/>
    <w:rsid w:val="00B82C22"/>
    <w:rsid w:val="00B93DBA"/>
    <w:rsid w:val="00B9440A"/>
    <w:rsid w:val="00BB2D2A"/>
    <w:rsid w:val="00BB2DF0"/>
    <w:rsid w:val="00BB58CE"/>
    <w:rsid w:val="00BC290E"/>
    <w:rsid w:val="00BC3E04"/>
    <w:rsid w:val="00BD068E"/>
    <w:rsid w:val="00BD58CF"/>
    <w:rsid w:val="00BF0C92"/>
    <w:rsid w:val="00C04CC1"/>
    <w:rsid w:val="00C23266"/>
    <w:rsid w:val="00C3692B"/>
    <w:rsid w:val="00C4096C"/>
    <w:rsid w:val="00C50C6D"/>
    <w:rsid w:val="00C600D9"/>
    <w:rsid w:val="00C92B22"/>
    <w:rsid w:val="00CC1384"/>
    <w:rsid w:val="00CD3720"/>
    <w:rsid w:val="00CE0A96"/>
    <w:rsid w:val="00CF1848"/>
    <w:rsid w:val="00CF4AA7"/>
    <w:rsid w:val="00CF5C2F"/>
    <w:rsid w:val="00D04BCF"/>
    <w:rsid w:val="00D103D3"/>
    <w:rsid w:val="00D11A56"/>
    <w:rsid w:val="00D143D9"/>
    <w:rsid w:val="00D30C95"/>
    <w:rsid w:val="00D4016B"/>
    <w:rsid w:val="00D51C15"/>
    <w:rsid w:val="00D5511B"/>
    <w:rsid w:val="00D620B1"/>
    <w:rsid w:val="00D766F1"/>
    <w:rsid w:val="00D77C8F"/>
    <w:rsid w:val="00D80878"/>
    <w:rsid w:val="00D83628"/>
    <w:rsid w:val="00DD2E17"/>
    <w:rsid w:val="00DE6ED2"/>
    <w:rsid w:val="00DF7D88"/>
    <w:rsid w:val="00E257C8"/>
    <w:rsid w:val="00E40A10"/>
    <w:rsid w:val="00E41512"/>
    <w:rsid w:val="00E436D0"/>
    <w:rsid w:val="00E4519A"/>
    <w:rsid w:val="00E50A31"/>
    <w:rsid w:val="00E66768"/>
    <w:rsid w:val="00E853D5"/>
    <w:rsid w:val="00E9633F"/>
    <w:rsid w:val="00E9773B"/>
    <w:rsid w:val="00EA6F42"/>
    <w:rsid w:val="00EC13A3"/>
    <w:rsid w:val="00EC7C85"/>
    <w:rsid w:val="00ED2CBE"/>
    <w:rsid w:val="00F10383"/>
    <w:rsid w:val="00F125EE"/>
    <w:rsid w:val="00F12E98"/>
    <w:rsid w:val="00F22029"/>
    <w:rsid w:val="00F515FB"/>
    <w:rsid w:val="00F630EA"/>
    <w:rsid w:val="00F7007E"/>
    <w:rsid w:val="00F72716"/>
    <w:rsid w:val="00F73193"/>
    <w:rsid w:val="00F74F95"/>
    <w:rsid w:val="00F80705"/>
    <w:rsid w:val="00F91EFC"/>
    <w:rsid w:val="00FA1481"/>
    <w:rsid w:val="00FA59BC"/>
    <w:rsid w:val="00FD1DC5"/>
    <w:rsid w:val="00FF04E3"/>
    <w:rsid w:val="22B84072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09641A"/>
  <w15:docId w15:val="{54A6EBC0-6006-4021-BF7F-82AD31B6C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semiHidden="1" w:qFormat="1"/>
    <w:lsdException w:name="heading 2" w:semiHidden="1" w:qFormat="1"/>
    <w:lsdException w:name="heading 3" w:semiHidden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qFormat="1"/>
    <w:lsdException w:name="index 2" w:semiHidden="1" w:qFormat="1"/>
    <w:lsdException w:name="index 3" w:semiHidden="1" w:qFormat="1"/>
    <w:lsdException w:name="index 4" w:semiHidden="1" w:qFormat="1"/>
    <w:lsdException w:name="index 5" w:semiHidden="1" w:qFormat="1"/>
    <w:lsdException w:name="index 6" w:semiHidden="1" w:qFormat="1"/>
    <w:lsdException w:name="index 7" w:semiHidden="1" w:qFormat="1"/>
    <w:lsdException w:name="index 8" w:semiHidden="1" w:qFormat="1"/>
    <w:lsdException w:name="index 9" w:semiHidden="1" w:qFormat="1"/>
    <w:lsdException w:name="toc 1" w:semiHidden="1" w:qFormat="1"/>
    <w:lsdException w:name="toc 2" w:semiHidden="1"/>
    <w:lsdException w:name="toc 3" w:semiHidden="1"/>
    <w:lsdException w:name="toc 4" w:semiHidden="1"/>
    <w:lsdException w:name="toc 5" w:semiHidden="1" w:qFormat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qFormat="1"/>
    <w:lsdException w:name="footnote text" w:semiHidden="1" w:qFormat="1"/>
    <w:lsdException w:name="annotation text" w:semiHidden="1" w:qFormat="1"/>
    <w:lsdException w:name="header" w:semiHidden="1" w:qFormat="1"/>
    <w:lsdException w:name="footer" w:semiHidden="1" w:qFormat="1"/>
    <w:lsdException w:name="index heading" w:semiHidden="1" w:qFormat="1"/>
    <w:lsdException w:name="caption" w:semiHidden="1" w:qFormat="1"/>
    <w:lsdException w:name="table of figures" w:semiHidden="1" w:qFormat="1"/>
    <w:lsdException w:name="envelope address" w:semiHidden="1" w:qFormat="1"/>
    <w:lsdException w:name="envelope return" w:semiHidden="1" w:qFormat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qFormat="1"/>
    <w:lsdException w:name="table of authorities" w:semiHidden="1" w:qFormat="1"/>
    <w:lsdException w:name="macro" w:semiHidden="1" w:qFormat="1"/>
    <w:lsdException w:name="toa heading" w:semiHidden="1"/>
    <w:lsdException w:name="List" w:semiHidden="1" w:qFormat="1"/>
    <w:lsdException w:name="List Bullet" w:semiHidden="1" w:qFormat="1"/>
    <w:lsdException w:name="List Number" w:semiHidden="1" w:qFormat="1"/>
    <w:lsdException w:name="List 2" w:semiHidden="1" w:qFormat="1"/>
    <w:lsdException w:name="List 3" w:semiHidden="1" w:qFormat="1"/>
    <w:lsdException w:name="List 4" w:semiHidden="1" w:qFormat="1"/>
    <w:lsdException w:name="List 5" w:semiHidden="1" w:qFormat="1"/>
    <w:lsdException w:name="List Bullet 2" w:semiHidden="1" w:qFormat="1"/>
    <w:lsdException w:name="List Bullet 3" w:semiHidden="1" w:qFormat="1"/>
    <w:lsdException w:name="List Bullet 4" w:semiHidden="1" w:qFormat="1"/>
    <w:lsdException w:name="List Bullet 5" w:semiHidden="1" w:qFormat="1"/>
    <w:lsdException w:name="List Number 2" w:semiHidden="1" w:qFormat="1"/>
    <w:lsdException w:name="List Number 3" w:semiHidden="1" w:qFormat="1"/>
    <w:lsdException w:name="List Number 4" w:semiHidden="1" w:qFormat="1"/>
    <w:lsdException w:name="List Number 5" w:semiHidden="1" w:qFormat="1"/>
    <w:lsdException w:name="Title" w:semiHidden="1" w:qFormat="1"/>
    <w:lsdException w:name="Closing" w:semiHidden="1" w:qFormat="1"/>
    <w:lsdException w:name="Signature" w:semiHidden="1" w:qFormat="1"/>
    <w:lsdException w:name="Default Paragraph Font" w:uiPriority="1" w:unhideWhenUsed="1"/>
    <w:lsdException w:name="Body Text" w:semiHidden="1"/>
    <w:lsdException w:name="Body Text Indent" w:semiHidden="1" w:qFormat="1"/>
    <w:lsdException w:name="List Continue" w:semiHidden="1" w:qFormat="1"/>
    <w:lsdException w:name="List Continue 2" w:semiHidden="1" w:qFormat="1"/>
    <w:lsdException w:name="List Continue 3" w:semiHidden="1" w:qFormat="1"/>
    <w:lsdException w:name="List Continue 4" w:semiHidden="1" w:qFormat="1"/>
    <w:lsdException w:name="List Continue 5" w:semiHidden="1" w:qFormat="1"/>
    <w:lsdException w:name="Message Header" w:semiHidden="1" w:qFormat="1"/>
    <w:lsdException w:name="Subtitle" w:semiHidden="1" w:qFormat="1"/>
    <w:lsdException w:name="Salutation" w:semiHidden="1" w:qFormat="1"/>
    <w:lsdException w:name="Date" w:semiHidden="1" w:qFormat="1"/>
    <w:lsdException w:name="Body Text First Indent" w:semiHidden="1" w:qFormat="1"/>
    <w:lsdException w:name="Body Text First Indent 2" w:semiHidden="1" w:qFormat="1"/>
    <w:lsdException w:name="Note Heading" w:semiHidden="1" w:qFormat="1"/>
    <w:lsdException w:name="Body Text 2" w:semiHidden="1"/>
    <w:lsdException w:name="Body Text 3" w:semiHidden="1"/>
    <w:lsdException w:name="Body Text Indent 2" w:semiHidden="1" w:qFormat="1"/>
    <w:lsdException w:name="Body Text Indent 3" w:semiHidden="1" w:qFormat="1"/>
    <w:lsdException w:name="Block Text" w:semiHidden="1"/>
    <w:lsdException w:name="Hyperlink" w:qFormat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qFormat="1"/>
    <w:lsdException w:name="Plain Text" w:semiHidden="1" w:qFormat="1"/>
    <w:lsdException w:name="E-mail Signature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qFormat="1"/>
    <w:lsdException w:name="HTML Acronym" w:semiHidden="1" w:unhideWhenUsed="1"/>
    <w:lsdException w:name="HTML Address" w:semiHidden="1" w:qFormat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sz w:val="24"/>
      <w:lang w:eastAsia="en-US"/>
    </w:rPr>
  </w:style>
  <w:style w:type="paragraph" w:styleId="1">
    <w:name w:val="heading 1"/>
    <w:basedOn w:val="a1"/>
    <w:next w:val="a1"/>
    <w:link w:val="10"/>
    <w:semiHidden/>
    <w:qFormat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32">
    <w:name w:val="List 3"/>
    <w:basedOn w:val="a1"/>
    <w:semiHidden/>
    <w:qFormat/>
    <w:pPr>
      <w:ind w:left="1080" w:hanging="360"/>
      <w:contextualSpacing/>
    </w:pPr>
  </w:style>
  <w:style w:type="paragraph" w:styleId="TOC7">
    <w:name w:val="toc 7"/>
    <w:basedOn w:val="a1"/>
    <w:next w:val="a1"/>
    <w:autoRedefine/>
    <w:semiHidden/>
    <w:pPr>
      <w:ind w:left="1440"/>
    </w:pPr>
  </w:style>
  <w:style w:type="paragraph" w:styleId="2">
    <w:name w:val="List Number 2"/>
    <w:basedOn w:val="a1"/>
    <w:semiHidden/>
    <w:qFormat/>
    <w:pPr>
      <w:numPr>
        <w:numId w:val="1"/>
      </w:numPr>
      <w:contextualSpacing/>
    </w:pPr>
  </w:style>
  <w:style w:type="paragraph" w:styleId="a7">
    <w:name w:val="table of authorities"/>
    <w:basedOn w:val="a1"/>
    <w:next w:val="a1"/>
    <w:semiHidden/>
    <w:qFormat/>
    <w:pPr>
      <w:ind w:left="240" w:hanging="240"/>
    </w:pPr>
  </w:style>
  <w:style w:type="paragraph" w:styleId="a8">
    <w:name w:val="Note Heading"/>
    <w:basedOn w:val="a1"/>
    <w:next w:val="a1"/>
    <w:link w:val="a9"/>
    <w:semiHidden/>
    <w:qFormat/>
  </w:style>
  <w:style w:type="paragraph" w:styleId="40">
    <w:name w:val="List Bullet 4"/>
    <w:basedOn w:val="a1"/>
    <w:semiHidden/>
    <w:qFormat/>
    <w:pPr>
      <w:numPr>
        <w:numId w:val="2"/>
      </w:numPr>
      <w:contextualSpacing/>
    </w:pPr>
  </w:style>
  <w:style w:type="paragraph" w:styleId="81">
    <w:name w:val="index 8"/>
    <w:basedOn w:val="a1"/>
    <w:next w:val="a1"/>
    <w:autoRedefine/>
    <w:semiHidden/>
    <w:qFormat/>
    <w:pPr>
      <w:ind w:left="1920" w:hanging="240"/>
    </w:pPr>
  </w:style>
  <w:style w:type="paragraph" w:styleId="aa">
    <w:name w:val="E-mail Signature"/>
    <w:basedOn w:val="a1"/>
    <w:link w:val="ab"/>
    <w:semiHidden/>
    <w:qFormat/>
  </w:style>
  <w:style w:type="paragraph" w:styleId="a">
    <w:name w:val="List Number"/>
    <w:basedOn w:val="a1"/>
    <w:semiHidden/>
    <w:qFormat/>
    <w:pPr>
      <w:numPr>
        <w:numId w:val="3"/>
      </w:numPr>
      <w:contextualSpacing/>
    </w:pPr>
  </w:style>
  <w:style w:type="paragraph" w:styleId="ac">
    <w:name w:val="Normal Indent"/>
    <w:basedOn w:val="a1"/>
    <w:semiHidden/>
    <w:qFormat/>
    <w:pPr>
      <w:ind w:left="720"/>
    </w:pPr>
  </w:style>
  <w:style w:type="paragraph" w:styleId="ad">
    <w:name w:val="caption"/>
    <w:basedOn w:val="a1"/>
    <w:next w:val="a1"/>
    <w:semiHidden/>
    <w:qFormat/>
    <w:rPr>
      <w:b/>
      <w:bCs/>
      <w:sz w:val="20"/>
    </w:rPr>
  </w:style>
  <w:style w:type="paragraph" w:styleId="53">
    <w:name w:val="index 5"/>
    <w:basedOn w:val="a1"/>
    <w:next w:val="a1"/>
    <w:autoRedefine/>
    <w:semiHidden/>
    <w:qFormat/>
    <w:pPr>
      <w:ind w:left="1200" w:hanging="240"/>
    </w:pPr>
  </w:style>
  <w:style w:type="paragraph" w:styleId="a0">
    <w:name w:val="List Bullet"/>
    <w:basedOn w:val="a1"/>
    <w:semiHidden/>
    <w:qFormat/>
    <w:pPr>
      <w:numPr>
        <w:numId w:val="4"/>
      </w:numPr>
      <w:contextualSpacing/>
    </w:pPr>
  </w:style>
  <w:style w:type="paragraph" w:styleId="ae">
    <w:name w:val="envelope address"/>
    <w:basedOn w:val="a1"/>
    <w:semiHidden/>
    <w:qFormat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">
    <w:name w:val="Document Map"/>
    <w:basedOn w:val="a1"/>
    <w:link w:val="af0"/>
    <w:semiHidden/>
    <w:qFormat/>
    <w:rPr>
      <w:rFonts w:ascii="Tahoma" w:hAnsi="Tahoma" w:cs="Tahoma"/>
      <w:sz w:val="16"/>
      <w:szCs w:val="16"/>
    </w:rPr>
  </w:style>
  <w:style w:type="paragraph" w:styleId="af1">
    <w:name w:val="toa heading"/>
    <w:basedOn w:val="a1"/>
    <w:next w:val="a1"/>
    <w:semiHidden/>
    <w:pPr>
      <w:spacing w:before="120"/>
    </w:pPr>
    <w:rPr>
      <w:rFonts w:ascii="Cambria" w:hAnsi="Cambria"/>
      <w:b/>
      <w:bCs/>
      <w:szCs w:val="24"/>
    </w:rPr>
  </w:style>
  <w:style w:type="paragraph" w:styleId="af2">
    <w:name w:val="annotation text"/>
    <w:basedOn w:val="a1"/>
    <w:link w:val="af3"/>
    <w:semiHidden/>
    <w:qFormat/>
    <w:rPr>
      <w:sz w:val="20"/>
    </w:rPr>
  </w:style>
  <w:style w:type="paragraph" w:styleId="61">
    <w:name w:val="index 6"/>
    <w:basedOn w:val="a1"/>
    <w:next w:val="a1"/>
    <w:autoRedefine/>
    <w:semiHidden/>
    <w:qFormat/>
    <w:pPr>
      <w:ind w:left="1440" w:hanging="240"/>
    </w:pPr>
  </w:style>
  <w:style w:type="paragraph" w:styleId="af4">
    <w:name w:val="Salutation"/>
    <w:basedOn w:val="a1"/>
    <w:next w:val="a1"/>
    <w:link w:val="af5"/>
    <w:semiHidden/>
    <w:qFormat/>
  </w:style>
  <w:style w:type="paragraph" w:styleId="33">
    <w:name w:val="Body Text 3"/>
    <w:basedOn w:val="a1"/>
    <w:link w:val="34"/>
    <w:semiHidden/>
    <w:pPr>
      <w:spacing w:after="120"/>
    </w:pPr>
    <w:rPr>
      <w:sz w:val="16"/>
      <w:szCs w:val="16"/>
    </w:rPr>
  </w:style>
  <w:style w:type="paragraph" w:styleId="af6">
    <w:name w:val="Closing"/>
    <w:basedOn w:val="a1"/>
    <w:link w:val="af7"/>
    <w:semiHidden/>
    <w:qFormat/>
    <w:pPr>
      <w:ind w:left="4320"/>
    </w:pPr>
  </w:style>
  <w:style w:type="paragraph" w:styleId="30">
    <w:name w:val="List Bullet 3"/>
    <w:basedOn w:val="a1"/>
    <w:semiHidden/>
    <w:qFormat/>
    <w:pPr>
      <w:numPr>
        <w:numId w:val="5"/>
      </w:numPr>
      <w:contextualSpacing/>
    </w:pPr>
  </w:style>
  <w:style w:type="paragraph" w:styleId="af8">
    <w:name w:val="Body Text"/>
    <w:basedOn w:val="a1"/>
    <w:link w:val="af9"/>
    <w:semiHidden/>
    <w:pPr>
      <w:spacing w:after="120"/>
    </w:pPr>
  </w:style>
  <w:style w:type="paragraph" w:styleId="afa">
    <w:name w:val="Body Text Indent"/>
    <w:basedOn w:val="a1"/>
    <w:link w:val="afb"/>
    <w:semiHidden/>
    <w:qFormat/>
    <w:pPr>
      <w:spacing w:after="120"/>
      <w:ind w:left="360"/>
    </w:pPr>
  </w:style>
  <w:style w:type="paragraph" w:styleId="3">
    <w:name w:val="List Number 3"/>
    <w:basedOn w:val="a1"/>
    <w:semiHidden/>
    <w:qFormat/>
    <w:pPr>
      <w:numPr>
        <w:numId w:val="6"/>
      </w:numPr>
      <w:contextualSpacing/>
    </w:pPr>
  </w:style>
  <w:style w:type="paragraph" w:styleId="23">
    <w:name w:val="List 2"/>
    <w:basedOn w:val="a1"/>
    <w:semiHidden/>
    <w:qFormat/>
    <w:pPr>
      <w:ind w:left="720" w:hanging="360"/>
      <w:contextualSpacing/>
    </w:pPr>
  </w:style>
  <w:style w:type="paragraph" w:styleId="afc">
    <w:name w:val="List Continue"/>
    <w:basedOn w:val="a1"/>
    <w:semiHidden/>
    <w:qFormat/>
    <w:pPr>
      <w:spacing w:after="120"/>
      <w:ind w:left="360"/>
      <w:contextualSpacing/>
    </w:pPr>
  </w:style>
  <w:style w:type="paragraph" w:styleId="afd">
    <w:name w:val="Block Text"/>
    <w:basedOn w:val="a1"/>
    <w:semiHidden/>
    <w:pPr>
      <w:spacing w:after="120"/>
      <w:ind w:left="1440" w:right="1440"/>
    </w:pPr>
  </w:style>
  <w:style w:type="paragraph" w:styleId="20">
    <w:name w:val="List Bullet 2"/>
    <w:basedOn w:val="a1"/>
    <w:semiHidden/>
    <w:qFormat/>
    <w:pPr>
      <w:numPr>
        <w:numId w:val="7"/>
      </w:numPr>
      <w:contextualSpacing/>
    </w:pPr>
  </w:style>
  <w:style w:type="paragraph" w:styleId="HTML">
    <w:name w:val="HTML Address"/>
    <w:basedOn w:val="a1"/>
    <w:link w:val="HTML0"/>
    <w:semiHidden/>
    <w:qFormat/>
    <w:rPr>
      <w:i/>
      <w:iCs/>
    </w:rPr>
  </w:style>
  <w:style w:type="paragraph" w:styleId="42">
    <w:name w:val="index 4"/>
    <w:basedOn w:val="a1"/>
    <w:next w:val="a1"/>
    <w:autoRedefine/>
    <w:semiHidden/>
    <w:qFormat/>
    <w:pPr>
      <w:ind w:left="960" w:hanging="240"/>
    </w:pPr>
  </w:style>
  <w:style w:type="paragraph" w:styleId="TOC5">
    <w:name w:val="toc 5"/>
    <w:basedOn w:val="a1"/>
    <w:next w:val="a1"/>
    <w:autoRedefine/>
    <w:semiHidden/>
    <w:qFormat/>
    <w:pPr>
      <w:ind w:left="960"/>
    </w:pPr>
  </w:style>
  <w:style w:type="paragraph" w:styleId="TOC3">
    <w:name w:val="toc 3"/>
    <w:basedOn w:val="a1"/>
    <w:next w:val="a1"/>
    <w:autoRedefine/>
    <w:semiHidden/>
    <w:pPr>
      <w:ind w:left="480"/>
    </w:pPr>
  </w:style>
  <w:style w:type="paragraph" w:styleId="afe">
    <w:name w:val="Plain Text"/>
    <w:basedOn w:val="a1"/>
    <w:link w:val="aff"/>
    <w:semiHidden/>
    <w:qFormat/>
    <w:rPr>
      <w:rFonts w:ascii="Courier New" w:hAnsi="Courier New" w:cs="Courier New"/>
      <w:sz w:val="20"/>
    </w:rPr>
  </w:style>
  <w:style w:type="paragraph" w:styleId="50">
    <w:name w:val="List Bullet 5"/>
    <w:basedOn w:val="a1"/>
    <w:semiHidden/>
    <w:qFormat/>
    <w:pPr>
      <w:numPr>
        <w:numId w:val="8"/>
      </w:numPr>
      <w:contextualSpacing/>
    </w:pPr>
  </w:style>
  <w:style w:type="paragraph" w:styleId="4">
    <w:name w:val="List Number 4"/>
    <w:basedOn w:val="a1"/>
    <w:semiHidden/>
    <w:qFormat/>
    <w:pPr>
      <w:numPr>
        <w:numId w:val="9"/>
      </w:numPr>
      <w:contextualSpacing/>
    </w:pPr>
  </w:style>
  <w:style w:type="paragraph" w:styleId="TOC8">
    <w:name w:val="toc 8"/>
    <w:basedOn w:val="a1"/>
    <w:next w:val="a1"/>
    <w:autoRedefine/>
    <w:semiHidden/>
    <w:pPr>
      <w:ind w:left="1680"/>
    </w:pPr>
  </w:style>
  <w:style w:type="paragraph" w:styleId="35">
    <w:name w:val="index 3"/>
    <w:basedOn w:val="a1"/>
    <w:next w:val="a1"/>
    <w:autoRedefine/>
    <w:semiHidden/>
    <w:qFormat/>
    <w:pPr>
      <w:ind w:left="720" w:hanging="240"/>
    </w:pPr>
  </w:style>
  <w:style w:type="paragraph" w:styleId="aff0">
    <w:name w:val="Date"/>
    <w:basedOn w:val="a1"/>
    <w:next w:val="a1"/>
    <w:link w:val="aff1"/>
    <w:semiHidden/>
    <w:qFormat/>
  </w:style>
  <w:style w:type="paragraph" w:styleId="24">
    <w:name w:val="Body Text Indent 2"/>
    <w:basedOn w:val="a1"/>
    <w:link w:val="25"/>
    <w:semiHidden/>
    <w:qFormat/>
    <w:pPr>
      <w:spacing w:after="120" w:line="480" w:lineRule="auto"/>
      <w:ind w:left="360"/>
    </w:pPr>
  </w:style>
  <w:style w:type="paragraph" w:styleId="aff2">
    <w:name w:val="endnote text"/>
    <w:basedOn w:val="a1"/>
    <w:link w:val="aff3"/>
    <w:semiHidden/>
    <w:qFormat/>
    <w:rPr>
      <w:sz w:val="20"/>
    </w:rPr>
  </w:style>
  <w:style w:type="paragraph" w:styleId="54">
    <w:name w:val="List Continue 5"/>
    <w:basedOn w:val="a1"/>
    <w:semiHidden/>
    <w:qFormat/>
    <w:pPr>
      <w:spacing w:after="120"/>
      <w:ind w:left="1800"/>
      <w:contextualSpacing/>
    </w:pPr>
  </w:style>
  <w:style w:type="paragraph" w:styleId="aff4">
    <w:name w:val="Balloon Text"/>
    <w:basedOn w:val="a1"/>
    <w:link w:val="aff5"/>
    <w:semiHidden/>
    <w:rPr>
      <w:rFonts w:ascii="Tahoma" w:hAnsi="Tahoma" w:cs="Tahoma"/>
      <w:sz w:val="16"/>
      <w:szCs w:val="16"/>
    </w:rPr>
  </w:style>
  <w:style w:type="paragraph" w:styleId="aff6">
    <w:name w:val="footer"/>
    <w:basedOn w:val="a1"/>
    <w:link w:val="aff7"/>
    <w:semiHidden/>
    <w:qFormat/>
    <w:pPr>
      <w:tabs>
        <w:tab w:val="center" w:pos="4680"/>
        <w:tab w:val="right" w:pos="9360"/>
      </w:tabs>
    </w:pPr>
  </w:style>
  <w:style w:type="paragraph" w:styleId="aff8">
    <w:name w:val="envelope return"/>
    <w:basedOn w:val="a1"/>
    <w:semiHidden/>
    <w:qFormat/>
    <w:rPr>
      <w:rFonts w:ascii="Cambria" w:hAnsi="Cambria"/>
      <w:sz w:val="20"/>
    </w:rPr>
  </w:style>
  <w:style w:type="paragraph" w:styleId="aff9">
    <w:name w:val="header"/>
    <w:basedOn w:val="a1"/>
    <w:link w:val="affa"/>
    <w:semiHidden/>
    <w:qFormat/>
    <w:pPr>
      <w:tabs>
        <w:tab w:val="center" w:pos="4680"/>
        <w:tab w:val="right" w:pos="9360"/>
      </w:tabs>
    </w:pPr>
  </w:style>
  <w:style w:type="paragraph" w:styleId="affb">
    <w:name w:val="Signature"/>
    <w:basedOn w:val="a1"/>
    <w:link w:val="affc"/>
    <w:semiHidden/>
    <w:qFormat/>
    <w:pPr>
      <w:ind w:left="4320"/>
    </w:pPr>
  </w:style>
  <w:style w:type="paragraph" w:styleId="TOC1">
    <w:name w:val="toc 1"/>
    <w:basedOn w:val="a1"/>
    <w:next w:val="a1"/>
    <w:autoRedefine/>
    <w:semiHidden/>
    <w:qFormat/>
  </w:style>
  <w:style w:type="paragraph" w:styleId="43">
    <w:name w:val="List Continue 4"/>
    <w:basedOn w:val="a1"/>
    <w:semiHidden/>
    <w:qFormat/>
    <w:pPr>
      <w:spacing w:after="120"/>
      <w:ind w:left="1440"/>
      <w:contextualSpacing/>
    </w:pPr>
  </w:style>
  <w:style w:type="paragraph" w:styleId="TOC4">
    <w:name w:val="toc 4"/>
    <w:basedOn w:val="a1"/>
    <w:next w:val="a1"/>
    <w:autoRedefine/>
    <w:semiHidden/>
    <w:pPr>
      <w:ind w:left="720"/>
    </w:pPr>
  </w:style>
  <w:style w:type="paragraph" w:styleId="affd">
    <w:name w:val="index heading"/>
    <w:basedOn w:val="a1"/>
    <w:next w:val="11"/>
    <w:semiHidden/>
    <w:qFormat/>
    <w:rPr>
      <w:rFonts w:ascii="Cambria" w:hAnsi="Cambria"/>
      <w:b/>
      <w:bCs/>
    </w:rPr>
  </w:style>
  <w:style w:type="paragraph" w:styleId="11">
    <w:name w:val="index 1"/>
    <w:basedOn w:val="a1"/>
    <w:next w:val="a1"/>
    <w:autoRedefine/>
    <w:semiHidden/>
    <w:qFormat/>
    <w:pPr>
      <w:ind w:left="240" w:hanging="240"/>
    </w:pPr>
  </w:style>
  <w:style w:type="paragraph" w:styleId="affe">
    <w:name w:val="Subtitle"/>
    <w:basedOn w:val="a1"/>
    <w:next w:val="a1"/>
    <w:link w:val="afff"/>
    <w:semiHidden/>
    <w:qFormat/>
    <w:pPr>
      <w:spacing w:after="60"/>
      <w:jc w:val="center"/>
      <w:outlineLvl w:val="1"/>
    </w:pPr>
    <w:rPr>
      <w:rFonts w:ascii="Cambria" w:hAnsi="Cambria"/>
      <w:szCs w:val="24"/>
    </w:rPr>
  </w:style>
  <w:style w:type="paragraph" w:styleId="5">
    <w:name w:val="List Number 5"/>
    <w:basedOn w:val="a1"/>
    <w:semiHidden/>
    <w:qFormat/>
    <w:pPr>
      <w:numPr>
        <w:numId w:val="10"/>
      </w:numPr>
      <w:contextualSpacing/>
    </w:pPr>
  </w:style>
  <w:style w:type="paragraph" w:styleId="afff0">
    <w:name w:val="List"/>
    <w:basedOn w:val="a1"/>
    <w:semiHidden/>
    <w:qFormat/>
    <w:pPr>
      <w:ind w:left="360" w:hanging="360"/>
      <w:contextualSpacing/>
    </w:pPr>
  </w:style>
  <w:style w:type="paragraph" w:styleId="afff1">
    <w:name w:val="footnote text"/>
    <w:basedOn w:val="a1"/>
    <w:link w:val="afff2"/>
    <w:semiHidden/>
    <w:qFormat/>
    <w:rPr>
      <w:sz w:val="20"/>
    </w:rPr>
  </w:style>
  <w:style w:type="paragraph" w:styleId="TOC6">
    <w:name w:val="toc 6"/>
    <w:basedOn w:val="a1"/>
    <w:next w:val="a1"/>
    <w:autoRedefine/>
    <w:semiHidden/>
    <w:pPr>
      <w:ind w:left="1200"/>
    </w:pPr>
  </w:style>
  <w:style w:type="paragraph" w:styleId="55">
    <w:name w:val="List 5"/>
    <w:basedOn w:val="a1"/>
    <w:semiHidden/>
    <w:qFormat/>
    <w:pPr>
      <w:ind w:left="1800" w:hanging="360"/>
      <w:contextualSpacing/>
    </w:pPr>
  </w:style>
  <w:style w:type="paragraph" w:styleId="36">
    <w:name w:val="Body Text Indent 3"/>
    <w:basedOn w:val="a1"/>
    <w:link w:val="37"/>
    <w:semiHidden/>
    <w:qFormat/>
    <w:pPr>
      <w:spacing w:after="120"/>
      <w:ind w:left="360"/>
    </w:pPr>
    <w:rPr>
      <w:sz w:val="16"/>
      <w:szCs w:val="16"/>
    </w:rPr>
  </w:style>
  <w:style w:type="paragraph" w:styleId="71">
    <w:name w:val="index 7"/>
    <w:basedOn w:val="a1"/>
    <w:next w:val="a1"/>
    <w:autoRedefine/>
    <w:semiHidden/>
    <w:qFormat/>
    <w:pPr>
      <w:ind w:left="1680" w:hanging="240"/>
    </w:pPr>
  </w:style>
  <w:style w:type="paragraph" w:styleId="91">
    <w:name w:val="index 9"/>
    <w:basedOn w:val="a1"/>
    <w:next w:val="a1"/>
    <w:autoRedefine/>
    <w:semiHidden/>
    <w:qFormat/>
    <w:pPr>
      <w:ind w:left="2160" w:hanging="240"/>
    </w:pPr>
  </w:style>
  <w:style w:type="paragraph" w:styleId="afff3">
    <w:name w:val="table of figures"/>
    <w:basedOn w:val="a1"/>
    <w:next w:val="a1"/>
    <w:semiHidden/>
    <w:qFormat/>
  </w:style>
  <w:style w:type="paragraph" w:styleId="TOC2">
    <w:name w:val="toc 2"/>
    <w:basedOn w:val="a1"/>
    <w:next w:val="a1"/>
    <w:autoRedefine/>
    <w:semiHidden/>
    <w:pPr>
      <w:ind w:left="240"/>
    </w:pPr>
  </w:style>
  <w:style w:type="paragraph" w:styleId="TOC9">
    <w:name w:val="toc 9"/>
    <w:basedOn w:val="a1"/>
    <w:next w:val="a1"/>
    <w:autoRedefine/>
    <w:semiHidden/>
    <w:pPr>
      <w:ind w:left="1920"/>
    </w:pPr>
  </w:style>
  <w:style w:type="paragraph" w:styleId="26">
    <w:name w:val="Body Text 2"/>
    <w:basedOn w:val="a1"/>
    <w:link w:val="27"/>
    <w:semiHidden/>
    <w:pPr>
      <w:spacing w:after="120" w:line="480" w:lineRule="auto"/>
    </w:pPr>
  </w:style>
  <w:style w:type="paragraph" w:styleId="44">
    <w:name w:val="List 4"/>
    <w:basedOn w:val="a1"/>
    <w:semiHidden/>
    <w:qFormat/>
    <w:pPr>
      <w:ind w:left="1440" w:hanging="360"/>
      <w:contextualSpacing/>
    </w:pPr>
  </w:style>
  <w:style w:type="paragraph" w:styleId="28">
    <w:name w:val="List Continue 2"/>
    <w:basedOn w:val="a1"/>
    <w:semiHidden/>
    <w:qFormat/>
    <w:pPr>
      <w:spacing w:after="120"/>
      <w:ind w:left="720"/>
      <w:contextualSpacing/>
    </w:pPr>
  </w:style>
  <w:style w:type="paragraph" w:styleId="afff4">
    <w:name w:val="Message Header"/>
    <w:basedOn w:val="a1"/>
    <w:link w:val="afff5"/>
    <w:semiHidden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paragraph" w:styleId="HTML1">
    <w:name w:val="HTML Preformatted"/>
    <w:basedOn w:val="a1"/>
    <w:link w:val="HTML2"/>
    <w:semiHidden/>
    <w:qFormat/>
    <w:rPr>
      <w:rFonts w:ascii="Courier New" w:hAnsi="Courier New" w:cs="Courier New"/>
      <w:sz w:val="20"/>
    </w:rPr>
  </w:style>
  <w:style w:type="paragraph" w:styleId="afff6">
    <w:name w:val="Normal (Web)"/>
    <w:basedOn w:val="a1"/>
    <w:semiHidden/>
    <w:qFormat/>
    <w:rPr>
      <w:szCs w:val="24"/>
    </w:rPr>
  </w:style>
  <w:style w:type="paragraph" w:styleId="38">
    <w:name w:val="List Continue 3"/>
    <w:basedOn w:val="a1"/>
    <w:semiHidden/>
    <w:qFormat/>
    <w:pPr>
      <w:spacing w:after="120"/>
      <w:ind w:left="1080"/>
      <w:contextualSpacing/>
    </w:pPr>
  </w:style>
  <w:style w:type="paragraph" w:styleId="29">
    <w:name w:val="index 2"/>
    <w:basedOn w:val="a1"/>
    <w:next w:val="a1"/>
    <w:autoRedefine/>
    <w:semiHidden/>
    <w:qFormat/>
    <w:pPr>
      <w:ind w:left="480" w:hanging="240"/>
    </w:pPr>
  </w:style>
  <w:style w:type="paragraph" w:styleId="afff7">
    <w:name w:val="Title"/>
    <w:basedOn w:val="a1"/>
    <w:next w:val="a1"/>
    <w:link w:val="afff8"/>
    <w:semiHidden/>
    <w:qFormat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afff9">
    <w:name w:val="annotation subject"/>
    <w:basedOn w:val="af2"/>
    <w:next w:val="af2"/>
    <w:link w:val="afffa"/>
    <w:semiHidden/>
    <w:qFormat/>
    <w:rPr>
      <w:b/>
      <w:bCs/>
    </w:rPr>
  </w:style>
  <w:style w:type="paragraph" w:styleId="afffb">
    <w:name w:val="Body Text First Indent"/>
    <w:basedOn w:val="af8"/>
    <w:link w:val="afffc"/>
    <w:semiHidden/>
    <w:qFormat/>
    <w:pPr>
      <w:ind w:firstLine="210"/>
    </w:pPr>
  </w:style>
  <w:style w:type="paragraph" w:styleId="2a">
    <w:name w:val="Body Text First Indent 2"/>
    <w:basedOn w:val="afa"/>
    <w:link w:val="2b"/>
    <w:semiHidden/>
    <w:qFormat/>
    <w:pPr>
      <w:ind w:firstLine="210"/>
    </w:pPr>
  </w:style>
  <w:style w:type="character" w:styleId="afffd">
    <w:name w:val="page number"/>
    <w:basedOn w:val="a2"/>
    <w:semiHidden/>
  </w:style>
  <w:style w:type="character" w:styleId="afffe">
    <w:name w:val="FollowedHyperlink"/>
    <w:semiHidden/>
    <w:unhideWhenUsed/>
    <w:rPr>
      <w:color w:val="800080"/>
      <w:u w:val="single"/>
    </w:rPr>
  </w:style>
  <w:style w:type="character" w:styleId="affff">
    <w:name w:val="Hyperlink"/>
    <w:qFormat/>
    <w:rPr>
      <w:color w:val="0000FF"/>
      <w:u w:val="single"/>
    </w:rPr>
  </w:style>
  <w:style w:type="character" w:styleId="affff0">
    <w:name w:val="annotation reference"/>
    <w:semiHidden/>
    <w:unhideWhenUsed/>
    <w:rPr>
      <w:sz w:val="16"/>
      <w:szCs w:val="16"/>
    </w:rPr>
  </w:style>
  <w:style w:type="character" w:customStyle="1" w:styleId="10">
    <w:name w:val="标题 1 字符"/>
    <w:link w:val="1"/>
    <w:semiHidden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</w:style>
  <w:style w:type="paragraph" w:customStyle="1" w:styleId="SMSubheading">
    <w:name w:val="SM Subheading"/>
    <w:basedOn w:val="a1"/>
    <w:qFormat/>
    <w:rPr>
      <w:u w:val="words"/>
    </w:rPr>
  </w:style>
  <w:style w:type="paragraph" w:customStyle="1" w:styleId="SMText">
    <w:name w:val="SM Text"/>
    <w:basedOn w:val="a1"/>
    <w:qFormat/>
    <w:pPr>
      <w:ind w:firstLine="480"/>
    </w:pPr>
  </w:style>
  <w:style w:type="paragraph" w:customStyle="1" w:styleId="SMcaption">
    <w:name w:val="SM caption"/>
    <w:basedOn w:val="SMText"/>
    <w:qFormat/>
    <w:pPr>
      <w:ind w:firstLine="0"/>
    </w:pPr>
  </w:style>
  <w:style w:type="character" w:customStyle="1" w:styleId="aff5">
    <w:name w:val="批注框文本 字符"/>
    <w:link w:val="aff4"/>
    <w:semiHidden/>
    <w:rPr>
      <w:rFonts w:ascii="Tahoma" w:hAnsi="Tahoma" w:cs="Tahoma"/>
      <w:sz w:val="16"/>
      <w:szCs w:val="16"/>
    </w:rPr>
  </w:style>
  <w:style w:type="paragraph" w:customStyle="1" w:styleId="12">
    <w:name w:val="书目1"/>
    <w:basedOn w:val="a1"/>
    <w:next w:val="a1"/>
    <w:uiPriority w:val="37"/>
    <w:semiHidden/>
  </w:style>
  <w:style w:type="character" w:customStyle="1" w:styleId="af9">
    <w:name w:val="正文文本 字符"/>
    <w:link w:val="af8"/>
    <w:semiHidden/>
    <w:rPr>
      <w:sz w:val="24"/>
    </w:rPr>
  </w:style>
  <w:style w:type="character" w:customStyle="1" w:styleId="27">
    <w:name w:val="正文文本 2 字符"/>
    <w:link w:val="26"/>
    <w:semiHidden/>
    <w:rPr>
      <w:sz w:val="24"/>
    </w:rPr>
  </w:style>
  <w:style w:type="character" w:customStyle="1" w:styleId="34">
    <w:name w:val="正文文本 3 字符"/>
    <w:link w:val="33"/>
    <w:semiHidden/>
    <w:rPr>
      <w:sz w:val="16"/>
      <w:szCs w:val="16"/>
    </w:rPr>
  </w:style>
  <w:style w:type="character" w:customStyle="1" w:styleId="afffc">
    <w:name w:val="正文文本首行缩进 字符"/>
    <w:link w:val="afffb"/>
    <w:semiHidden/>
    <w:qFormat/>
    <w:rPr>
      <w:sz w:val="24"/>
    </w:rPr>
  </w:style>
  <w:style w:type="character" w:customStyle="1" w:styleId="afb">
    <w:name w:val="正文文本缩进 字符"/>
    <w:link w:val="afa"/>
    <w:semiHidden/>
    <w:qFormat/>
    <w:rPr>
      <w:sz w:val="24"/>
    </w:rPr>
  </w:style>
  <w:style w:type="character" w:customStyle="1" w:styleId="2b">
    <w:name w:val="正文文本首行缩进 2 字符"/>
    <w:link w:val="2a"/>
    <w:semiHidden/>
    <w:qFormat/>
    <w:rPr>
      <w:sz w:val="24"/>
    </w:rPr>
  </w:style>
  <w:style w:type="character" w:customStyle="1" w:styleId="25">
    <w:name w:val="正文文本缩进 2 字符"/>
    <w:link w:val="24"/>
    <w:semiHidden/>
    <w:qFormat/>
    <w:rPr>
      <w:sz w:val="24"/>
    </w:rPr>
  </w:style>
  <w:style w:type="character" w:customStyle="1" w:styleId="37">
    <w:name w:val="正文文本缩进 3 字符"/>
    <w:link w:val="36"/>
    <w:semiHidden/>
    <w:qFormat/>
    <w:rPr>
      <w:sz w:val="16"/>
      <w:szCs w:val="16"/>
    </w:rPr>
  </w:style>
  <w:style w:type="character" w:customStyle="1" w:styleId="af7">
    <w:name w:val="结束语 字符"/>
    <w:link w:val="af6"/>
    <w:semiHidden/>
    <w:qFormat/>
    <w:rPr>
      <w:sz w:val="24"/>
    </w:rPr>
  </w:style>
  <w:style w:type="character" w:customStyle="1" w:styleId="af3">
    <w:name w:val="批注文字 字符"/>
    <w:basedOn w:val="a2"/>
    <w:link w:val="af2"/>
    <w:semiHidden/>
    <w:qFormat/>
  </w:style>
  <w:style w:type="character" w:customStyle="1" w:styleId="afffa">
    <w:name w:val="批注主题 字符"/>
    <w:link w:val="afff9"/>
    <w:semiHidden/>
    <w:qFormat/>
    <w:rPr>
      <w:b/>
      <w:bCs/>
    </w:rPr>
  </w:style>
  <w:style w:type="character" w:customStyle="1" w:styleId="aff1">
    <w:name w:val="日期 字符"/>
    <w:link w:val="aff0"/>
    <w:semiHidden/>
    <w:qFormat/>
    <w:rPr>
      <w:sz w:val="24"/>
    </w:rPr>
  </w:style>
  <w:style w:type="character" w:customStyle="1" w:styleId="af0">
    <w:name w:val="文档结构图 字符"/>
    <w:link w:val="af"/>
    <w:semiHidden/>
    <w:qFormat/>
    <w:rPr>
      <w:rFonts w:ascii="Tahoma" w:hAnsi="Tahoma" w:cs="Tahoma"/>
      <w:sz w:val="16"/>
      <w:szCs w:val="16"/>
    </w:rPr>
  </w:style>
  <w:style w:type="character" w:customStyle="1" w:styleId="ab">
    <w:name w:val="电子邮件签名 字符"/>
    <w:link w:val="aa"/>
    <w:semiHidden/>
    <w:qFormat/>
    <w:rPr>
      <w:sz w:val="24"/>
    </w:rPr>
  </w:style>
  <w:style w:type="character" w:customStyle="1" w:styleId="aff3">
    <w:name w:val="尾注文本 字符"/>
    <w:basedOn w:val="a2"/>
    <w:link w:val="aff2"/>
    <w:semiHidden/>
    <w:qFormat/>
  </w:style>
  <w:style w:type="character" w:customStyle="1" w:styleId="aff7">
    <w:name w:val="页脚 字符"/>
    <w:link w:val="aff6"/>
    <w:semiHidden/>
    <w:qFormat/>
    <w:rPr>
      <w:sz w:val="24"/>
    </w:rPr>
  </w:style>
  <w:style w:type="character" w:customStyle="1" w:styleId="afff2">
    <w:name w:val="脚注文本 字符"/>
    <w:basedOn w:val="a2"/>
    <w:link w:val="afff1"/>
    <w:semiHidden/>
    <w:qFormat/>
  </w:style>
  <w:style w:type="character" w:customStyle="1" w:styleId="affa">
    <w:name w:val="页眉 字符"/>
    <w:link w:val="aff9"/>
    <w:semiHidden/>
    <w:qFormat/>
    <w:rPr>
      <w:sz w:val="24"/>
    </w:rPr>
  </w:style>
  <w:style w:type="character" w:customStyle="1" w:styleId="HTML0">
    <w:name w:val="HTML 地址 字符"/>
    <w:link w:val="HTML"/>
    <w:semiHidden/>
    <w:qFormat/>
    <w:rPr>
      <w:i/>
      <w:iCs/>
      <w:sz w:val="24"/>
    </w:rPr>
  </w:style>
  <w:style w:type="character" w:customStyle="1" w:styleId="HTML2">
    <w:name w:val="HTML 预设格式 字符"/>
    <w:link w:val="HTML1"/>
    <w:semiHidden/>
    <w:qFormat/>
    <w:rPr>
      <w:rFonts w:ascii="Courier New" w:hAnsi="Courier New" w:cs="Courier New"/>
    </w:rPr>
  </w:style>
  <w:style w:type="paragraph" w:styleId="affff1">
    <w:name w:val="Intense Quote"/>
    <w:basedOn w:val="a1"/>
    <w:next w:val="a1"/>
    <w:link w:val="affff2"/>
    <w:uiPriority w:val="30"/>
    <w:semiHidden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2">
    <w:name w:val="明显引用 字符"/>
    <w:link w:val="affff1"/>
    <w:uiPriority w:val="30"/>
    <w:semiHidden/>
    <w:qFormat/>
    <w:rPr>
      <w:b/>
      <w:bCs/>
      <w:i/>
      <w:iCs/>
      <w:color w:val="4F81BD"/>
      <w:sz w:val="24"/>
    </w:rPr>
  </w:style>
  <w:style w:type="paragraph" w:styleId="affff3">
    <w:name w:val="List Paragraph"/>
    <w:basedOn w:val="a1"/>
    <w:uiPriority w:val="34"/>
    <w:semiHidden/>
    <w:qFormat/>
    <w:pPr>
      <w:ind w:left="720"/>
    </w:pPr>
  </w:style>
  <w:style w:type="character" w:customStyle="1" w:styleId="a6">
    <w:name w:val="宏文本 字符"/>
    <w:link w:val="a5"/>
    <w:semiHidden/>
    <w:qFormat/>
    <w:rPr>
      <w:rFonts w:ascii="Courier New" w:hAnsi="Courier New" w:cs="Courier New"/>
      <w:lang w:val="en-US" w:eastAsia="en-US" w:bidi="ar-SA"/>
    </w:rPr>
  </w:style>
  <w:style w:type="character" w:customStyle="1" w:styleId="afff5">
    <w:name w:val="信息标题 字符"/>
    <w:link w:val="afff4"/>
    <w:semiHidden/>
    <w:qFormat/>
    <w:rPr>
      <w:rFonts w:ascii="Cambria" w:hAnsi="Cambria"/>
      <w:sz w:val="24"/>
      <w:szCs w:val="24"/>
      <w:shd w:val="pct20" w:color="auto" w:fill="auto"/>
    </w:rPr>
  </w:style>
  <w:style w:type="paragraph" w:styleId="affff4">
    <w:name w:val="No Spacing"/>
    <w:uiPriority w:val="1"/>
    <w:semiHidden/>
    <w:qFormat/>
    <w:rPr>
      <w:sz w:val="24"/>
      <w:lang w:eastAsia="en-US"/>
    </w:rPr>
  </w:style>
  <w:style w:type="character" w:customStyle="1" w:styleId="a9">
    <w:name w:val="注释标题 字符"/>
    <w:link w:val="a8"/>
    <w:semiHidden/>
    <w:qFormat/>
    <w:rPr>
      <w:sz w:val="24"/>
    </w:rPr>
  </w:style>
  <w:style w:type="character" w:customStyle="1" w:styleId="aff">
    <w:name w:val="纯文本 字符"/>
    <w:link w:val="afe"/>
    <w:semiHidden/>
    <w:qFormat/>
    <w:rPr>
      <w:rFonts w:ascii="Courier New" w:hAnsi="Courier New" w:cs="Courier New"/>
    </w:rPr>
  </w:style>
  <w:style w:type="paragraph" w:styleId="affff5">
    <w:name w:val="Quote"/>
    <w:basedOn w:val="a1"/>
    <w:next w:val="a1"/>
    <w:link w:val="affff6"/>
    <w:uiPriority w:val="29"/>
    <w:semiHidden/>
    <w:qFormat/>
    <w:rPr>
      <w:i/>
      <w:iCs/>
      <w:color w:val="000000"/>
    </w:rPr>
  </w:style>
  <w:style w:type="character" w:customStyle="1" w:styleId="affff6">
    <w:name w:val="引用 字符"/>
    <w:link w:val="affff5"/>
    <w:uiPriority w:val="29"/>
    <w:semiHidden/>
    <w:qFormat/>
    <w:rPr>
      <w:i/>
      <w:iCs/>
      <w:color w:val="000000"/>
      <w:sz w:val="24"/>
    </w:rPr>
  </w:style>
  <w:style w:type="character" w:customStyle="1" w:styleId="af5">
    <w:name w:val="称呼 字符"/>
    <w:link w:val="af4"/>
    <w:semiHidden/>
    <w:qFormat/>
    <w:rPr>
      <w:sz w:val="24"/>
    </w:rPr>
  </w:style>
  <w:style w:type="character" w:customStyle="1" w:styleId="affc">
    <w:name w:val="签名 字符"/>
    <w:link w:val="affb"/>
    <w:semiHidden/>
    <w:qFormat/>
    <w:rPr>
      <w:sz w:val="24"/>
    </w:rPr>
  </w:style>
  <w:style w:type="character" w:customStyle="1" w:styleId="afff">
    <w:name w:val="副标题 字符"/>
    <w:link w:val="affe"/>
    <w:semiHidden/>
    <w:qFormat/>
    <w:rPr>
      <w:rFonts w:ascii="Cambria" w:hAnsi="Cambria"/>
      <w:sz w:val="24"/>
      <w:szCs w:val="24"/>
    </w:rPr>
  </w:style>
  <w:style w:type="character" w:customStyle="1" w:styleId="afff8">
    <w:name w:val="标题 字符"/>
    <w:link w:val="afff7"/>
    <w:semiHidden/>
    <w:rPr>
      <w:rFonts w:ascii="Cambria" w:hAnsi="Cambria"/>
      <w:b/>
      <w:bCs/>
      <w:kern w:val="28"/>
      <w:sz w:val="32"/>
      <w:szCs w:val="32"/>
    </w:rPr>
  </w:style>
  <w:style w:type="paragraph" w:customStyle="1" w:styleId="TOC10">
    <w:name w:val="TOC 标题1"/>
    <w:basedOn w:val="1"/>
    <w:next w:val="a1"/>
    <w:uiPriority w:val="39"/>
    <w:semiHidden/>
    <w:unhideWhenUsed/>
    <w:qFormat/>
    <w:pPr>
      <w:outlineLvl w:val="9"/>
    </w:pPr>
    <w:rPr>
      <w:rFonts w:ascii="Cambria" w:hAnsi="Cambria"/>
      <w:sz w:val="32"/>
      <w:szCs w:val="32"/>
    </w:rPr>
  </w:style>
  <w:style w:type="character" w:customStyle="1" w:styleId="13">
    <w:name w:val="未处理的提及1"/>
    <w:basedOn w:val="a2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PubInfo">
    <w:name w:val="PubInfo"/>
    <w:basedOn w:val="a1"/>
    <w:qFormat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a1"/>
    <w:qFormat/>
    <w:pPr>
      <w:suppressAutoHyphens/>
      <w:jc w:val="center"/>
    </w:pPr>
    <w:rPr>
      <w:sz w:val="20"/>
      <w:lang w:eastAsia="ar-SA"/>
    </w:rPr>
  </w:style>
  <w:style w:type="paragraph" w:customStyle="1" w:styleId="Paragraph">
    <w:name w:val="Paragraph"/>
    <w:basedOn w:val="a1"/>
    <w:qFormat/>
    <w:pPr>
      <w:spacing w:before="120"/>
      <w:ind w:firstLine="720"/>
    </w:pPr>
    <w:rPr>
      <w:rFonts w:eastAsia="Times New Roman"/>
      <w:szCs w:val="24"/>
    </w:rPr>
  </w:style>
  <w:style w:type="paragraph" w:customStyle="1" w:styleId="EndNoteBibliographyTitle">
    <w:name w:val="EndNote Bibliography Title"/>
    <w:basedOn w:val="a1"/>
    <w:link w:val="EndNoteBibliographyTitle0"/>
    <w:qFormat/>
    <w:pPr>
      <w:jc w:val="center"/>
    </w:pPr>
  </w:style>
  <w:style w:type="character" w:customStyle="1" w:styleId="EndNoteBibliographyTitle0">
    <w:name w:val="EndNote Bibliography Title 字符"/>
    <w:basedOn w:val="a2"/>
    <w:link w:val="EndNoteBibliographyTitle"/>
    <w:rPr>
      <w:sz w:val="24"/>
    </w:rPr>
  </w:style>
  <w:style w:type="paragraph" w:customStyle="1" w:styleId="EndNoteBibliography">
    <w:name w:val="EndNote Bibliography"/>
    <w:basedOn w:val="a1"/>
    <w:link w:val="EndNoteBibliography0"/>
    <w:pPr>
      <w:jc w:val="both"/>
    </w:pPr>
  </w:style>
  <w:style w:type="character" w:customStyle="1" w:styleId="EndNoteBibliography0">
    <w:name w:val="EndNote Bibliography 字符"/>
    <w:basedOn w:val="a2"/>
    <w:link w:val="EndNoteBibliography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7AA305-2A68-49BD-8EE1-95785FFB44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476</Words>
  <Characters>3059</Characters>
  <Application>Microsoft Office Word</Application>
  <DocSecurity>0</DocSecurity>
  <Lines>58</Lines>
  <Paragraphs>31</Paragraphs>
  <ScaleCrop>false</ScaleCrop>
  <Company>AAAS</Company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粵丹 李</cp:lastModifiedBy>
  <cp:revision>8</cp:revision>
  <cp:lastPrinted>2018-01-11T19:53:00Z</cp:lastPrinted>
  <dcterms:created xsi:type="dcterms:W3CDTF">2025-10-06T12:58:00Z</dcterms:created>
  <dcterms:modified xsi:type="dcterms:W3CDTF">2025-10-08T12:21:00Z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  <property fmtid="{D5CDD505-2E9C-101B-9397-08002B2CF9AE}" pid="3" name="GrammarlyDocumentId">
    <vt:lpwstr>62c96e72-7d2a-4c35-a17e-dc7cc81c248a</vt:lpwstr>
  </property>
  <property fmtid="{D5CDD505-2E9C-101B-9397-08002B2CF9AE}" pid="4" name="KSOProductBuildVer">
    <vt:lpwstr>2052-12.1.0.23125</vt:lpwstr>
  </property>
  <property fmtid="{D5CDD505-2E9C-101B-9397-08002B2CF9AE}" pid="5" name="ICV">
    <vt:lpwstr>03389A78468349E895A7DB9952296763_13</vt:lpwstr>
  </property>
</Properties>
</file>