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uppressLineNumbers/>
        <w:spacing w:before="260" w:after="260" w:line="480" w:lineRule="auto"/>
        <w:outlineLvl w:val="2"/>
        <w:rPr>
          <w:rFonts w:ascii="Times New Roman" w:hAnsi="Times New Roman" w:eastAsia="宋体" w:cs="Times New Roman"/>
          <w:bCs/>
          <w:sz w:val="21"/>
          <w:szCs w:val="21"/>
          <w14:ligatures w14:val="none"/>
        </w:rPr>
      </w:pPr>
      <w:r>
        <w:rPr>
          <w:rFonts w:ascii="Times New Roman" w:hAnsi="Times New Roman" w:eastAsia="宋体" w:cs="Times New Roman"/>
          <w:b/>
          <w:sz w:val="24"/>
          <w:szCs w:val="24"/>
          <w14:ligatures w14:val="none"/>
        </w:rPr>
        <w:t xml:space="preserve">Association Between </w:t>
      </w:r>
      <w:bookmarkStart w:id="0" w:name="OLE_LINK30"/>
      <w:r>
        <w:rPr>
          <w:rFonts w:ascii="Times New Roman" w:hAnsi="Times New Roman" w:eastAsia="宋体" w:cs="Times New Roman"/>
          <w:b/>
          <w:sz w:val="24"/>
          <w:szCs w:val="24"/>
          <w14:ligatures w14:val="none"/>
        </w:rPr>
        <w:t xml:space="preserve">Body Composition Patterns, </w:t>
      </w:r>
      <w:bookmarkStart w:id="1" w:name="OLE_LINK25"/>
      <w:r>
        <w:rPr>
          <w:rFonts w:ascii="Times New Roman" w:hAnsi="Times New Roman" w:eastAsia="宋体" w:cs="Times New Roman"/>
          <w:b/>
          <w:sz w:val="24"/>
          <w:szCs w:val="24"/>
          <w14:ligatures w14:val="none"/>
        </w:rPr>
        <w:t>Brain Diseases and Injuries</w:t>
      </w:r>
      <w:bookmarkEnd w:id="1"/>
      <w:r>
        <w:rPr>
          <w:rFonts w:ascii="Times New Roman" w:hAnsi="Times New Roman" w:eastAsia="宋体" w:cs="Times New Roman"/>
          <w:b/>
          <w:sz w:val="24"/>
          <w:szCs w:val="24"/>
          <w14:ligatures w14:val="none"/>
        </w:rPr>
        <w:t xml:space="preserve"> and Risk of Epilepsy</w:t>
      </w:r>
      <w:bookmarkEnd w:id="0"/>
      <w:r>
        <w:rPr>
          <w:rFonts w:ascii="Times New Roman" w:hAnsi="Times New Roman" w:eastAsia="宋体" w:cs="Times New Roman"/>
          <w:b/>
          <w:sz w:val="24"/>
          <w:szCs w:val="24"/>
          <w14:ligatures w14:val="none"/>
        </w:rPr>
        <w:t>: a Prospective Cohort Study</w:t>
      </w:r>
      <w:bookmarkStart w:id="60" w:name="_GoBack"/>
      <w:bookmarkEnd w:id="60"/>
    </w:p>
    <w:p>
      <w:pPr>
        <w:keepNext/>
        <w:keepLines/>
        <w:widowControl w:val="0"/>
        <w:spacing w:before="260" w:after="260" w:line="480" w:lineRule="auto"/>
        <w:jc w:val="center"/>
        <w:outlineLvl w:val="2"/>
        <w:rPr>
          <w:b/>
          <w:bCs/>
          <w:sz w:val="22"/>
          <w:szCs w:val="22"/>
        </w:rPr>
      </w:pPr>
      <w:r>
        <w:rPr>
          <w:b/>
          <w:bCs/>
          <w:sz w:val="24"/>
          <w:szCs w:val="24"/>
        </w:rPr>
        <w:t>Supplementary Content</w:t>
      </w:r>
    </w:p>
    <w:p>
      <w:pPr>
        <w:pStyle w:val="21"/>
        <w:tabs>
          <w:tab w:val="right" w:leader="dot" w:pos="12950"/>
        </w:tabs>
        <w:spacing w:line="360" w:lineRule="auto"/>
        <w:rPr>
          <w:rFonts w:hint="eastAsia" w:ascii="Times New Roman" w:hAnsiTheme="minorHAnsi" w:eastAsiaTheme="minorEastAsia"/>
          <w:smallCaps w:val="0"/>
          <w:color w:val="auto"/>
          <w:kern w:val="2"/>
          <w:sz w:val="21"/>
          <w:szCs w:val="24"/>
          <w14:ligatures w14:val="standardContextual"/>
        </w:rPr>
      </w:pPr>
      <w:r>
        <w:rPr>
          <w:rFonts w:ascii="Times New Roman" w:cs="Times New Roman"/>
          <w:smallCaps w:val="0"/>
          <w:color w:val="auto"/>
          <w:sz w:val="21"/>
          <w:szCs w:val="21"/>
        </w:rPr>
        <w:fldChar w:fldCharType="begin"/>
      </w:r>
      <w:r>
        <w:rPr>
          <w:rFonts w:ascii="Times New Roman" w:cs="Times New Roman"/>
          <w:smallCaps w:val="0"/>
          <w:color w:val="auto"/>
          <w:sz w:val="21"/>
          <w:szCs w:val="21"/>
        </w:rPr>
        <w:instrText xml:space="preserve"> TOC \h \z \t "表格" \c </w:instrText>
      </w:r>
      <w:r>
        <w:rPr>
          <w:rFonts w:ascii="Times New Roman" w:cs="Times New Roman"/>
          <w:smallCaps w:val="0"/>
          <w:color w:val="auto"/>
          <w:sz w:val="21"/>
          <w:szCs w:val="21"/>
        </w:rPr>
        <w:fldChar w:fldCharType="separate"/>
      </w:r>
      <w:r>
        <w:fldChar w:fldCharType="begin"/>
      </w:r>
      <w:r>
        <w:instrText xml:space="preserve"> HYPERLINK \l "_Toc196124145" </w:instrText>
      </w:r>
      <w:r>
        <w:fldChar w:fldCharType="separate"/>
      </w:r>
      <w:r>
        <w:rPr>
          <w:rStyle w:val="27"/>
          <w:rFonts w:hint="eastAsia" w:ascii="Times New Roman"/>
          <w:smallCaps w:val="0"/>
          <w:color w:val="auto"/>
          <w:sz w:val="21"/>
        </w:rPr>
        <w:t>S1 Figure. Flow chart of study population.</w:t>
      </w:r>
      <w:r>
        <w:rPr>
          <w:rFonts w:hint="eastAsia" w:ascii="Times New Roman"/>
          <w:smallCaps w:val="0"/>
          <w:color w:val="auto"/>
          <w:sz w:val="21"/>
        </w:rPr>
        <w:tab/>
      </w:r>
      <w:r>
        <w:rPr>
          <w:rFonts w:hint="eastAsia" w:ascii="Times New Roman"/>
          <w:smallCaps w:val="0"/>
          <w:color w:val="auto"/>
          <w:sz w:val="21"/>
        </w:rPr>
        <w:fldChar w:fldCharType="begin"/>
      </w:r>
      <w:r>
        <w:rPr>
          <w:rFonts w:hint="eastAsia" w:ascii="Times New Roman"/>
          <w:smallCaps w:val="0"/>
          <w:color w:val="auto"/>
          <w:sz w:val="21"/>
        </w:rPr>
        <w:instrText xml:space="preserve"> </w:instrText>
      </w:r>
      <w:r>
        <w:rPr>
          <w:rFonts w:ascii="Times New Roman"/>
          <w:smallCaps w:val="0"/>
          <w:color w:val="auto"/>
          <w:sz w:val="21"/>
        </w:rPr>
        <w:instrText xml:space="preserve">PAGEREF _Toc196124145 \h</w:instrText>
      </w:r>
      <w:r>
        <w:rPr>
          <w:rFonts w:hint="eastAsia" w:ascii="Times New Roman"/>
          <w:smallCaps w:val="0"/>
          <w:color w:val="auto"/>
          <w:sz w:val="21"/>
        </w:rPr>
        <w:instrText xml:space="preserve"> </w:instrText>
      </w:r>
      <w:r>
        <w:rPr>
          <w:rFonts w:hint="eastAsia" w:ascii="Times New Roman"/>
          <w:smallCaps w:val="0"/>
          <w:color w:val="auto"/>
          <w:sz w:val="21"/>
        </w:rPr>
        <w:fldChar w:fldCharType="separate"/>
      </w:r>
      <w:r>
        <w:rPr>
          <w:rFonts w:hint="eastAsia" w:ascii="Times New Roman"/>
          <w:smallCaps w:val="0"/>
          <w:color w:val="auto"/>
          <w:sz w:val="21"/>
        </w:rPr>
        <w:t>2</w:t>
      </w:r>
      <w:r>
        <w:rPr>
          <w:rFonts w:hint="eastAsia" w:ascii="Times New Roman"/>
          <w:smallCaps w:val="0"/>
          <w:color w:val="auto"/>
          <w:sz w:val="21"/>
        </w:rPr>
        <w:fldChar w:fldCharType="end"/>
      </w:r>
      <w:r>
        <w:rPr>
          <w:rFonts w:hint="eastAsia" w:ascii="Times New Roman"/>
          <w:smallCaps w:val="0"/>
          <w:color w:val="auto"/>
          <w:sz w:val="21"/>
        </w:rPr>
        <w:fldChar w:fldCharType="end"/>
      </w:r>
    </w:p>
    <w:p>
      <w:pPr>
        <w:pStyle w:val="21"/>
        <w:tabs>
          <w:tab w:val="right" w:leader="dot" w:pos="12950"/>
        </w:tabs>
        <w:spacing w:line="360" w:lineRule="auto"/>
        <w:rPr>
          <w:rFonts w:hint="eastAsia" w:ascii="Times New Roman" w:hAnsiTheme="minorHAnsi" w:eastAsiaTheme="minorEastAsia"/>
          <w:smallCaps w:val="0"/>
          <w:color w:val="auto"/>
          <w:kern w:val="2"/>
          <w:sz w:val="21"/>
          <w:szCs w:val="24"/>
          <w14:ligatures w14:val="standardContextual"/>
        </w:rPr>
      </w:pPr>
      <w:r>
        <w:fldChar w:fldCharType="begin"/>
      </w:r>
      <w:r>
        <w:instrText xml:space="preserve"> HYPERLINK \l "_Toc196124146" </w:instrText>
      </w:r>
      <w:r>
        <w:fldChar w:fldCharType="separate"/>
      </w:r>
      <w:r>
        <w:rPr>
          <w:rStyle w:val="27"/>
          <w:rFonts w:hint="eastAsia" w:ascii="Times New Roman"/>
          <w:smallCaps w:val="0"/>
          <w:color w:val="auto"/>
          <w:sz w:val="21"/>
        </w:rPr>
        <w:t>S2 Figure. Identified patterns of body composition derived from principal component analysis.</w:t>
      </w:r>
      <w:r>
        <w:rPr>
          <w:rFonts w:hint="eastAsia" w:ascii="Times New Roman"/>
          <w:smallCaps w:val="0"/>
          <w:color w:val="auto"/>
          <w:sz w:val="21"/>
        </w:rPr>
        <w:tab/>
      </w:r>
      <w:r>
        <w:rPr>
          <w:rFonts w:hint="eastAsia" w:ascii="Times New Roman"/>
          <w:smallCaps w:val="0"/>
          <w:color w:val="auto"/>
          <w:sz w:val="21"/>
        </w:rPr>
        <w:fldChar w:fldCharType="begin"/>
      </w:r>
      <w:r>
        <w:rPr>
          <w:rFonts w:hint="eastAsia" w:ascii="Times New Roman"/>
          <w:smallCaps w:val="0"/>
          <w:color w:val="auto"/>
          <w:sz w:val="21"/>
        </w:rPr>
        <w:instrText xml:space="preserve"> </w:instrText>
      </w:r>
      <w:r>
        <w:rPr>
          <w:rFonts w:ascii="Times New Roman"/>
          <w:smallCaps w:val="0"/>
          <w:color w:val="auto"/>
          <w:sz w:val="21"/>
        </w:rPr>
        <w:instrText xml:space="preserve">PAGEREF _Toc196124146 \h</w:instrText>
      </w:r>
      <w:r>
        <w:rPr>
          <w:rFonts w:hint="eastAsia" w:ascii="Times New Roman"/>
          <w:smallCaps w:val="0"/>
          <w:color w:val="auto"/>
          <w:sz w:val="21"/>
        </w:rPr>
        <w:instrText xml:space="preserve"> </w:instrText>
      </w:r>
      <w:r>
        <w:rPr>
          <w:rFonts w:hint="eastAsia" w:ascii="Times New Roman"/>
          <w:smallCaps w:val="0"/>
          <w:color w:val="auto"/>
          <w:sz w:val="21"/>
        </w:rPr>
        <w:fldChar w:fldCharType="separate"/>
      </w:r>
      <w:r>
        <w:rPr>
          <w:rFonts w:hint="eastAsia" w:ascii="Times New Roman"/>
          <w:smallCaps w:val="0"/>
          <w:color w:val="auto"/>
          <w:sz w:val="21"/>
        </w:rPr>
        <w:t>3</w:t>
      </w:r>
      <w:r>
        <w:rPr>
          <w:rFonts w:hint="eastAsia" w:ascii="Times New Roman"/>
          <w:smallCaps w:val="0"/>
          <w:color w:val="auto"/>
          <w:sz w:val="21"/>
        </w:rPr>
        <w:fldChar w:fldCharType="end"/>
      </w:r>
      <w:r>
        <w:rPr>
          <w:rFonts w:hint="eastAsia" w:ascii="Times New Roman"/>
          <w:smallCaps w:val="0"/>
          <w:color w:val="auto"/>
          <w:sz w:val="21"/>
        </w:rPr>
        <w:fldChar w:fldCharType="end"/>
      </w:r>
    </w:p>
    <w:p>
      <w:pPr>
        <w:pStyle w:val="21"/>
        <w:tabs>
          <w:tab w:val="right" w:leader="dot" w:pos="12950"/>
        </w:tabs>
        <w:spacing w:line="360" w:lineRule="auto"/>
        <w:rPr>
          <w:rFonts w:hint="eastAsia" w:ascii="Times New Roman" w:hAnsiTheme="minorHAnsi" w:eastAsiaTheme="minorEastAsia"/>
          <w:smallCaps w:val="0"/>
          <w:color w:val="auto"/>
          <w:kern w:val="2"/>
          <w:sz w:val="21"/>
          <w:szCs w:val="24"/>
          <w14:ligatures w14:val="standardContextual"/>
        </w:rPr>
      </w:pPr>
      <w:r>
        <w:fldChar w:fldCharType="begin"/>
      </w:r>
      <w:r>
        <w:instrText xml:space="preserve"> HYPERLINK \l "_Toc196124147" </w:instrText>
      </w:r>
      <w:r>
        <w:fldChar w:fldCharType="separate"/>
      </w:r>
      <w:r>
        <w:rPr>
          <w:rStyle w:val="27"/>
          <w:rFonts w:hint="eastAsia" w:ascii="Times New Roman"/>
          <w:bCs/>
          <w:smallCaps w:val="0"/>
          <w:color w:val="auto"/>
          <w:sz w:val="21"/>
        </w:rPr>
        <w:t xml:space="preserve">S3 </w:t>
      </w:r>
      <w:r>
        <w:rPr>
          <w:rStyle w:val="27"/>
          <w:rFonts w:hint="eastAsia" w:ascii="Times New Roman"/>
          <w:smallCaps w:val="0"/>
          <w:color w:val="auto"/>
          <w:sz w:val="21"/>
        </w:rPr>
        <w:t>Table. Outcome definitions.</w:t>
      </w:r>
      <w:r>
        <w:rPr>
          <w:rFonts w:hint="eastAsia" w:ascii="Times New Roman"/>
          <w:smallCaps w:val="0"/>
          <w:color w:val="auto"/>
          <w:sz w:val="21"/>
        </w:rPr>
        <w:tab/>
      </w:r>
      <w:r>
        <w:rPr>
          <w:rFonts w:hint="eastAsia" w:ascii="Times New Roman"/>
          <w:smallCaps w:val="0"/>
          <w:color w:val="auto"/>
          <w:sz w:val="21"/>
        </w:rPr>
        <w:fldChar w:fldCharType="begin"/>
      </w:r>
      <w:r>
        <w:rPr>
          <w:rFonts w:hint="eastAsia" w:ascii="Times New Roman"/>
          <w:smallCaps w:val="0"/>
          <w:color w:val="auto"/>
          <w:sz w:val="21"/>
        </w:rPr>
        <w:instrText xml:space="preserve"> </w:instrText>
      </w:r>
      <w:r>
        <w:rPr>
          <w:rFonts w:ascii="Times New Roman"/>
          <w:smallCaps w:val="0"/>
          <w:color w:val="auto"/>
          <w:sz w:val="21"/>
        </w:rPr>
        <w:instrText xml:space="preserve">PAGEREF _Toc196124147 \h</w:instrText>
      </w:r>
      <w:r>
        <w:rPr>
          <w:rFonts w:hint="eastAsia" w:ascii="Times New Roman"/>
          <w:smallCaps w:val="0"/>
          <w:color w:val="auto"/>
          <w:sz w:val="21"/>
        </w:rPr>
        <w:instrText xml:space="preserve"> </w:instrText>
      </w:r>
      <w:r>
        <w:rPr>
          <w:rFonts w:hint="eastAsia" w:ascii="Times New Roman"/>
          <w:smallCaps w:val="0"/>
          <w:color w:val="auto"/>
          <w:sz w:val="21"/>
        </w:rPr>
        <w:fldChar w:fldCharType="separate"/>
      </w:r>
      <w:r>
        <w:rPr>
          <w:rFonts w:hint="eastAsia" w:ascii="Times New Roman"/>
          <w:smallCaps w:val="0"/>
          <w:color w:val="auto"/>
          <w:sz w:val="21"/>
        </w:rPr>
        <w:t>4</w:t>
      </w:r>
      <w:r>
        <w:rPr>
          <w:rFonts w:hint="eastAsia" w:ascii="Times New Roman"/>
          <w:smallCaps w:val="0"/>
          <w:color w:val="auto"/>
          <w:sz w:val="21"/>
        </w:rPr>
        <w:fldChar w:fldCharType="end"/>
      </w:r>
      <w:r>
        <w:rPr>
          <w:rFonts w:hint="eastAsia" w:ascii="Times New Roman"/>
          <w:smallCaps w:val="0"/>
          <w:color w:val="auto"/>
          <w:sz w:val="21"/>
        </w:rPr>
        <w:fldChar w:fldCharType="end"/>
      </w:r>
    </w:p>
    <w:p>
      <w:pPr>
        <w:pStyle w:val="21"/>
        <w:tabs>
          <w:tab w:val="right" w:leader="dot" w:pos="12950"/>
        </w:tabs>
        <w:spacing w:line="360" w:lineRule="auto"/>
        <w:rPr>
          <w:rFonts w:hint="eastAsia" w:ascii="Times New Roman" w:hAnsiTheme="minorHAnsi" w:eastAsiaTheme="minorEastAsia"/>
          <w:smallCaps w:val="0"/>
          <w:color w:val="auto"/>
          <w:kern w:val="2"/>
          <w:sz w:val="21"/>
          <w:szCs w:val="24"/>
          <w14:ligatures w14:val="standardContextual"/>
        </w:rPr>
      </w:pPr>
      <w:r>
        <w:fldChar w:fldCharType="begin"/>
      </w:r>
      <w:r>
        <w:instrText xml:space="preserve"> HYPERLINK \l "_Toc196124148" </w:instrText>
      </w:r>
      <w:r>
        <w:fldChar w:fldCharType="separate"/>
      </w:r>
      <w:r>
        <w:rPr>
          <w:rStyle w:val="27"/>
          <w:rFonts w:hint="eastAsia" w:ascii="Times New Roman"/>
          <w:smallCaps w:val="0"/>
          <w:color w:val="auto"/>
          <w:sz w:val="21"/>
        </w:rPr>
        <w:t>S4 Table. Summary results of 20 SNPs used for constructing polygenic risk score.</w:t>
      </w:r>
      <w:r>
        <w:rPr>
          <w:rFonts w:hint="eastAsia" w:ascii="Times New Roman"/>
          <w:smallCaps w:val="0"/>
          <w:color w:val="auto"/>
          <w:sz w:val="21"/>
        </w:rPr>
        <w:tab/>
      </w:r>
      <w:r>
        <w:rPr>
          <w:rFonts w:hint="eastAsia" w:ascii="Times New Roman"/>
          <w:smallCaps w:val="0"/>
          <w:color w:val="auto"/>
          <w:sz w:val="21"/>
        </w:rPr>
        <w:fldChar w:fldCharType="begin"/>
      </w:r>
      <w:r>
        <w:rPr>
          <w:rFonts w:hint="eastAsia" w:ascii="Times New Roman"/>
          <w:smallCaps w:val="0"/>
          <w:color w:val="auto"/>
          <w:sz w:val="21"/>
        </w:rPr>
        <w:instrText xml:space="preserve"> </w:instrText>
      </w:r>
      <w:r>
        <w:rPr>
          <w:rFonts w:ascii="Times New Roman"/>
          <w:smallCaps w:val="0"/>
          <w:color w:val="auto"/>
          <w:sz w:val="21"/>
        </w:rPr>
        <w:instrText xml:space="preserve">PAGEREF _Toc196124148 \h</w:instrText>
      </w:r>
      <w:r>
        <w:rPr>
          <w:rFonts w:hint="eastAsia" w:ascii="Times New Roman"/>
          <w:smallCaps w:val="0"/>
          <w:color w:val="auto"/>
          <w:sz w:val="21"/>
        </w:rPr>
        <w:instrText xml:space="preserve"> </w:instrText>
      </w:r>
      <w:r>
        <w:rPr>
          <w:rFonts w:hint="eastAsia" w:ascii="Times New Roman"/>
          <w:smallCaps w:val="0"/>
          <w:color w:val="auto"/>
          <w:sz w:val="21"/>
        </w:rPr>
        <w:fldChar w:fldCharType="separate"/>
      </w:r>
      <w:r>
        <w:rPr>
          <w:rFonts w:hint="eastAsia" w:ascii="Times New Roman"/>
          <w:smallCaps w:val="0"/>
          <w:color w:val="auto"/>
          <w:sz w:val="21"/>
        </w:rPr>
        <w:t>5</w:t>
      </w:r>
      <w:r>
        <w:rPr>
          <w:rFonts w:hint="eastAsia" w:ascii="Times New Roman"/>
          <w:smallCaps w:val="0"/>
          <w:color w:val="auto"/>
          <w:sz w:val="21"/>
        </w:rPr>
        <w:fldChar w:fldCharType="end"/>
      </w:r>
      <w:r>
        <w:rPr>
          <w:rFonts w:hint="eastAsia" w:ascii="Times New Roman"/>
          <w:smallCaps w:val="0"/>
          <w:color w:val="auto"/>
          <w:sz w:val="21"/>
        </w:rPr>
        <w:fldChar w:fldCharType="end"/>
      </w:r>
    </w:p>
    <w:p>
      <w:pPr>
        <w:pStyle w:val="21"/>
        <w:tabs>
          <w:tab w:val="right" w:leader="dot" w:pos="12950"/>
        </w:tabs>
        <w:spacing w:line="360" w:lineRule="auto"/>
        <w:rPr>
          <w:rFonts w:hint="eastAsia" w:ascii="Times New Roman" w:hAnsiTheme="minorHAnsi" w:eastAsiaTheme="minorEastAsia"/>
          <w:smallCaps w:val="0"/>
          <w:color w:val="auto"/>
          <w:kern w:val="2"/>
          <w:sz w:val="21"/>
          <w:szCs w:val="24"/>
          <w14:ligatures w14:val="standardContextual"/>
        </w:rPr>
      </w:pPr>
      <w:r>
        <w:fldChar w:fldCharType="begin"/>
      </w:r>
      <w:r>
        <w:instrText xml:space="preserve"> HYPERLINK \l "_Toc196124149" </w:instrText>
      </w:r>
      <w:r>
        <w:fldChar w:fldCharType="separate"/>
      </w:r>
      <w:r>
        <w:rPr>
          <w:rStyle w:val="27"/>
          <w:rFonts w:hint="eastAsia" w:ascii="Times New Roman"/>
          <w:bCs/>
          <w:smallCaps w:val="0"/>
          <w:color w:val="auto"/>
          <w:sz w:val="21"/>
        </w:rPr>
        <w:t xml:space="preserve">S5 Table. </w:t>
      </w:r>
      <w:r>
        <w:rPr>
          <w:rStyle w:val="27"/>
          <w:rFonts w:hint="eastAsia" w:ascii="Times New Roman"/>
          <w:smallCaps w:val="0"/>
          <w:color w:val="auto"/>
          <w:sz w:val="21"/>
        </w:rPr>
        <w:t>Disease definitions.</w:t>
      </w:r>
      <w:r>
        <w:rPr>
          <w:rFonts w:hint="eastAsia" w:ascii="Times New Roman"/>
          <w:smallCaps w:val="0"/>
          <w:color w:val="auto"/>
          <w:sz w:val="21"/>
        </w:rPr>
        <w:tab/>
      </w:r>
      <w:r>
        <w:rPr>
          <w:rFonts w:hint="eastAsia" w:ascii="Times New Roman"/>
          <w:smallCaps w:val="0"/>
          <w:color w:val="auto"/>
          <w:sz w:val="21"/>
        </w:rPr>
        <w:fldChar w:fldCharType="begin"/>
      </w:r>
      <w:r>
        <w:rPr>
          <w:rFonts w:hint="eastAsia" w:ascii="Times New Roman"/>
          <w:smallCaps w:val="0"/>
          <w:color w:val="auto"/>
          <w:sz w:val="21"/>
        </w:rPr>
        <w:instrText xml:space="preserve"> </w:instrText>
      </w:r>
      <w:r>
        <w:rPr>
          <w:rFonts w:ascii="Times New Roman"/>
          <w:smallCaps w:val="0"/>
          <w:color w:val="auto"/>
          <w:sz w:val="21"/>
        </w:rPr>
        <w:instrText xml:space="preserve">PAGEREF _Toc196124149 \h</w:instrText>
      </w:r>
      <w:r>
        <w:rPr>
          <w:rFonts w:hint="eastAsia" w:ascii="Times New Roman"/>
          <w:smallCaps w:val="0"/>
          <w:color w:val="auto"/>
          <w:sz w:val="21"/>
        </w:rPr>
        <w:instrText xml:space="preserve"> </w:instrText>
      </w:r>
      <w:r>
        <w:rPr>
          <w:rFonts w:hint="eastAsia" w:ascii="Times New Roman"/>
          <w:smallCaps w:val="0"/>
          <w:color w:val="auto"/>
          <w:sz w:val="21"/>
        </w:rPr>
        <w:fldChar w:fldCharType="separate"/>
      </w:r>
      <w:r>
        <w:rPr>
          <w:rFonts w:hint="eastAsia" w:ascii="Times New Roman"/>
          <w:smallCaps w:val="0"/>
          <w:color w:val="auto"/>
          <w:sz w:val="21"/>
        </w:rPr>
        <w:t>6</w:t>
      </w:r>
      <w:r>
        <w:rPr>
          <w:rFonts w:hint="eastAsia" w:ascii="Times New Roman"/>
          <w:smallCaps w:val="0"/>
          <w:color w:val="auto"/>
          <w:sz w:val="21"/>
        </w:rPr>
        <w:fldChar w:fldCharType="end"/>
      </w:r>
      <w:r>
        <w:rPr>
          <w:rFonts w:hint="eastAsia" w:ascii="Times New Roman"/>
          <w:smallCaps w:val="0"/>
          <w:color w:val="auto"/>
          <w:sz w:val="21"/>
        </w:rPr>
        <w:fldChar w:fldCharType="end"/>
      </w:r>
    </w:p>
    <w:p>
      <w:pPr>
        <w:pStyle w:val="21"/>
        <w:tabs>
          <w:tab w:val="right" w:leader="dot" w:pos="12950"/>
        </w:tabs>
        <w:spacing w:line="360" w:lineRule="auto"/>
        <w:rPr>
          <w:rFonts w:hint="eastAsia" w:ascii="Times New Roman" w:hAnsiTheme="minorHAnsi" w:eastAsiaTheme="minorEastAsia"/>
          <w:smallCaps w:val="0"/>
          <w:color w:val="auto"/>
          <w:kern w:val="2"/>
          <w:sz w:val="21"/>
          <w:szCs w:val="24"/>
          <w14:ligatures w14:val="standardContextual"/>
        </w:rPr>
      </w:pPr>
      <w:r>
        <w:fldChar w:fldCharType="begin"/>
      </w:r>
      <w:r>
        <w:instrText xml:space="preserve"> HYPERLINK \l "_Toc196124150" </w:instrText>
      </w:r>
      <w:r>
        <w:fldChar w:fldCharType="separate"/>
      </w:r>
      <w:r>
        <w:rPr>
          <w:rStyle w:val="27"/>
          <w:rFonts w:hint="eastAsia" w:ascii="Times New Roman"/>
          <w:smallCaps w:val="0"/>
          <w:color w:val="auto"/>
          <w:sz w:val="21"/>
        </w:rPr>
        <w:t>S6 Table. Baseline characteristics of participants according to the epilepsy diagnosis at the end of follow-up.</w:t>
      </w:r>
      <w:r>
        <w:rPr>
          <w:rFonts w:hint="eastAsia" w:ascii="Times New Roman"/>
          <w:smallCaps w:val="0"/>
          <w:color w:val="auto"/>
          <w:sz w:val="21"/>
        </w:rPr>
        <w:tab/>
      </w:r>
      <w:r>
        <w:rPr>
          <w:rFonts w:hint="eastAsia" w:ascii="Times New Roman"/>
          <w:smallCaps w:val="0"/>
          <w:color w:val="auto"/>
          <w:sz w:val="21"/>
        </w:rPr>
        <w:fldChar w:fldCharType="begin"/>
      </w:r>
      <w:r>
        <w:rPr>
          <w:rFonts w:hint="eastAsia" w:ascii="Times New Roman"/>
          <w:smallCaps w:val="0"/>
          <w:color w:val="auto"/>
          <w:sz w:val="21"/>
        </w:rPr>
        <w:instrText xml:space="preserve"> </w:instrText>
      </w:r>
      <w:r>
        <w:rPr>
          <w:rFonts w:ascii="Times New Roman"/>
          <w:smallCaps w:val="0"/>
          <w:color w:val="auto"/>
          <w:sz w:val="21"/>
        </w:rPr>
        <w:instrText xml:space="preserve">PAGEREF _Toc196124150 \h</w:instrText>
      </w:r>
      <w:r>
        <w:rPr>
          <w:rFonts w:hint="eastAsia" w:ascii="Times New Roman"/>
          <w:smallCaps w:val="0"/>
          <w:color w:val="auto"/>
          <w:sz w:val="21"/>
        </w:rPr>
        <w:instrText xml:space="preserve"> </w:instrText>
      </w:r>
      <w:r>
        <w:rPr>
          <w:rFonts w:hint="eastAsia" w:ascii="Times New Roman"/>
          <w:smallCaps w:val="0"/>
          <w:color w:val="auto"/>
          <w:sz w:val="21"/>
        </w:rPr>
        <w:fldChar w:fldCharType="separate"/>
      </w:r>
      <w:r>
        <w:rPr>
          <w:rFonts w:hint="eastAsia" w:ascii="Times New Roman"/>
          <w:smallCaps w:val="0"/>
          <w:color w:val="auto"/>
          <w:sz w:val="21"/>
        </w:rPr>
        <w:t>7</w:t>
      </w:r>
      <w:r>
        <w:rPr>
          <w:rFonts w:hint="eastAsia" w:ascii="Times New Roman"/>
          <w:smallCaps w:val="0"/>
          <w:color w:val="auto"/>
          <w:sz w:val="21"/>
        </w:rPr>
        <w:fldChar w:fldCharType="end"/>
      </w:r>
      <w:r>
        <w:rPr>
          <w:rFonts w:hint="eastAsia" w:ascii="Times New Roman"/>
          <w:smallCaps w:val="0"/>
          <w:color w:val="auto"/>
          <w:sz w:val="21"/>
        </w:rPr>
        <w:fldChar w:fldCharType="end"/>
      </w:r>
    </w:p>
    <w:p>
      <w:pPr>
        <w:pStyle w:val="21"/>
        <w:tabs>
          <w:tab w:val="right" w:leader="dot" w:pos="12950"/>
        </w:tabs>
        <w:spacing w:line="360" w:lineRule="auto"/>
        <w:rPr>
          <w:rFonts w:hint="eastAsia" w:ascii="Times New Roman" w:hAnsiTheme="minorHAnsi" w:eastAsiaTheme="minorEastAsia"/>
          <w:smallCaps w:val="0"/>
          <w:color w:val="auto"/>
          <w:kern w:val="2"/>
          <w:sz w:val="21"/>
          <w:szCs w:val="24"/>
          <w14:ligatures w14:val="standardContextual"/>
        </w:rPr>
      </w:pPr>
      <w:r>
        <w:fldChar w:fldCharType="begin"/>
      </w:r>
      <w:r>
        <w:instrText xml:space="preserve"> HYPERLINK \l "_Toc196124151" </w:instrText>
      </w:r>
      <w:r>
        <w:fldChar w:fldCharType="separate"/>
      </w:r>
      <w:r>
        <w:rPr>
          <w:rStyle w:val="27"/>
          <w:rFonts w:hint="eastAsia" w:ascii="Times New Roman"/>
          <w:smallCaps w:val="0"/>
          <w:color w:val="auto"/>
          <w:sz w:val="21"/>
        </w:rPr>
        <w:t>S7 Table. Hazard ratios for incident epilepsy according to body composition patterns on a continuous scale in multivariable Cox proportional hazards models.</w:t>
      </w:r>
      <w:r>
        <w:rPr>
          <w:rFonts w:hint="eastAsia" w:ascii="Times New Roman"/>
          <w:smallCaps w:val="0"/>
          <w:color w:val="auto"/>
          <w:sz w:val="21"/>
        </w:rPr>
        <w:tab/>
      </w:r>
      <w:r>
        <w:rPr>
          <w:rFonts w:hint="eastAsia" w:ascii="Times New Roman"/>
          <w:smallCaps w:val="0"/>
          <w:color w:val="auto"/>
          <w:sz w:val="21"/>
        </w:rPr>
        <w:fldChar w:fldCharType="begin"/>
      </w:r>
      <w:r>
        <w:rPr>
          <w:rFonts w:hint="eastAsia" w:ascii="Times New Roman"/>
          <w:smallCaps w:val="0"/>
          <w:color w:val="auto"/>
          <w:sz w:val="21"/>
        </w:rPr>
        <w:instrText xml:space="preserve"> </w:instrText>
      </w:r>
      <w:r>
        <w:rPr>
          <w:rFonts w:ascii="Times New Roman"/>
          <w:smallCaps w:val="0"/>
          <w:color w:val="auto"/>
          <w:sz w:val="21"/>
        </w:rPr>
        <w:instrText xml:space="preserve">PAGEREF _Toc196124151 \h</w:instrText>
      </w:r>
      <w:r>
        <w:rPr>
          <w:rFonts w:hint="eastAsia" w:ascii="Times New Roman"/>
          <w:smallCaps w:val="0"/>
          <w:color w:val="auto"/>
          <w:sz w:val="21"/>
        </w:rPr>
        <w:instrText xml:space="preserve"> </w:instrText>
      </w:r>
      <w:r>
        <w:rPr>
          <w:rFonts w:hint="eastAsia" w:ascii="Times New Roman"/>
          <w:smallCaps w:val="0"/>
          <w:color w:val="auto"/>
          <w:sz w:val="21"/>
        </w:rPr>
        <w:fldChar w:fldCharType="separate"/>
      </w:r>
      <w:r>
        <w:rPr>
          <w:rFonts w:hint="eastAsia" w:ascii="Times New Roman"/>
          <w:smallCaps w:val="0"/>
          <w:color w:val="auto"/>
          <w:sz w:val="21"/>
        </w:rPr>
        <w:t>9</w:t>
      </w:r>
      <w:r>
        <w:rPr>
          <w:rFonts w:hint="eastAsia" w:ascii="Times New Roman"/>
          <w:smallCaps w:val="0"/>
          <w:color w:val="auto"/>
          <w:sz w:val="21"/>
        </w:rPr>
        <w:fldChar w:fldCharType="end"/>
      </w:r>
      <w:r>
        <w:rPr>
          <w:rFonts w:hint="eastAsia" w:ascii="Times New Roman"/>
          <w:smallCaps w:val="0"/>
          <w:color w:val="auto"/>
          <w:sz w:val="21"/>
        </w:rPr>
        <w:fldChar w:fldCharType="end"/>
      </w:r>
    </w:p>
    <w:p>
      <w:pPr>
        <w:pStyle w:val="21"/>
        <w:tabs>
          <w:tab w:val="right" w:leader="dot" w:pos="12950"/>
        </w:tabs>
        <w:spacing w:line="360" w:lineRule="auto"/>
        <w:rPr>
          <w:rFonts w:hint="eastAsia" w:ascii="Times New Roman" w:hAnsiTheme="minorHAnsi" w:eastAsiaTheme="minorEastAsia"/>
          <w:smallCaps w:val="0"/>
          <w:color w:val="auto"/>
          <w:kern w:val="2"/>
          <w:sz w:val="21"/>
          <w:szCs w:val="24"/>
          <w14:ligatures w14:val="standardContextual"/>
        </w:rPr>
      </w:pPr>
      <w:r>
        <w:fldChar w:fldCharType="begin"/>
      </w:r>
      <w:r>
        <w:instrText xml:space="preserve"> HYPERLINK \l "_Toc196124152" </w:instrText>
      </w:r>
      <w:r>
        <w:fldChar w:fldCharType="separate"/>
      </w:r>
      <w:r>
        <w:rPr>
          <w:rStyle w:val="27"/>
          <w:rFonts w:hint="eastAsia" w:ascii="Times New Roman"/>
          <w:smallCaps w:val="0"/>
          <w:color w:val="auto"/>
          <w:sz w:val="21"/>
        </w:rPr>
        <w:t>S8 Table. Hazard ratios for incident epilepsy according to individual components of body composition in multivariable Cox proportional hazards models.</w:t>
      </w:r>
      <w:r>
        <w:rPr>
          <w:rFonts w:hint="eastAsia" w:ascii="Times New Roman"/>
          <w:smallCaps w:val="0"/>
          <w:color w:val="auto"/>
          <w:sz w:val="21"/>
        </w:rPr>
        <w:tab/>
      </w:r>
      <w:r>
        <w:rPr>
          <w:rFonts w:hint="eastAsia" w:ascii="Times New Roman"/>
          <w:smallCaps w:val="0"/>
          <w:color w:val="auto"/>
          <w:sz w:val="21"/>
        </w:rPr>
        <w:fldChar w:fldCharType="begin"/>
      </w:r>
      <w:r>
        <w:rPr>
          <w:rFonts w:hint="eastAsia" w:ascii="Times New Roman"/>
          <w:smallCaps w:val="0"/>
          <w:color w:val="auto"/>
          <w:sz w:val="21"/>
        </w:rPr>
        <w:instrText xml:space="preserve"> </w:instrText>
      </w:r>
      <w:r>
        <w:rPr>
          <w:rFonts w:ascii="Times New Roman"/>
          <w:smallCaps w:val="0"/>
          <w:color w:val="auto"/>
          <w:sz w:val="21"/>
        </w:rPr>
        <w:instrText xml:space="preserve">PAGEREF _Toc196124152 \h</w:instrText>
      </w:r>
      <w:r>
        <w:rPr>
          <w:rFonts w:hint="eastAsia" w:ascii="Times New Roman"/>
          <w:smallCaps w:val="0"/>
          <w:color w:val="auto"/>
          <w:sz w:val="21"/>
        </w:rPr>
        <w:instrText xml:space="preserve"> </w:instrText>
      </w:r>
      <w:r>
        <w:rPr>
          <w:rFonts w:hint="eastAsia" w:ascii="Times New Roman"/>
          <w:smallCaps w:val="0"/>
          <w:color w:val="auto"/>
          <w:sz w:val="21"/>
        </w:rPr>
        <w:fldChar w:fldCharType="separate"/>
      </w:r>
      <w:r>
        <w:rPr>
          <w:rFonts w:hint="eastAsia" w:ascii="Times New Roman"/>
          <w:smallCaps w:val="0"/>
          <w:color w:val="auto"/>
          <w:sz w:val="21"/>
        </w:rPr>
        <w:t>10</w:t>
      </w:r>
      <w:r>
        <w:rPr>
          <w:rFonts w:hint="eastAsia" w:ascii="Times New Roman"/>
          <w:smallCaps w:val="0"/>
          <w:color w:val="auto"/>
          <w:sz w:val="21"/>
        </w:rPr>
        <w:fldChar w:fldCharType="end"/>
      </w:r>
      <w:r>
        <w:rPr>
          <w:rFonts w:hint="eastAsia" w:ascii="Times New Roman"/>
          <w:smallCaps w:val="0"/>
          <w:color w:val="auto"/>
          <w:sz w:val="21"/>
        </w:rPr>
        <w:fldChar w:fldCharType="end"/>
      </w:r>
    </w:p>
    <w:p>
      <w:pPr>
        <w:pStyle w:val="21"/>
        <w:tabs>
          <w:tab w:val="right" w:leader="dot" w:pos="12950"/>
        </w:tabs>
        <w:spacing w:line="360" w:lineRule="auto"/>
        <w:rPr>
          <w:rFonts w:hint="eastAsia" w:ascii="Times New Roman" w:hAnsiTheme="minorHAnsi" w:eastAsiaTheme="minorEastAsia"/>
          <w:smallCaps w:val="0"/>
          <w:color w:val="auto"/>
          <w:kern w:val="2"/>
          <w:sz w:val="21"/>
          <w:szCs w:val="24"/>
          <w14:ligatures w14:val="standardContextual"/>
        </w:rPr>
      </w:pPr>
      <w:r>
        <w:fldChar w:fldCharType="begin"/>
      </w:r>
      <w:r>
        <w:instrText xml:space="preserve"> HYPERLINK \l "_Toc196124153" </w:instrText>
      </w:r>
      <w:r>
        <w:fldChar w:fldCharType="separate"/>
      </w:r>
      <w:r>
        <w:rPr>
          <w:rStyle w:val="27"/>
          <w:rFonts w:hint="eastAsia" w:ascii="Times New Roman"/>
          <w:smallCaps w:val="0"/>
          <w:color w:val="auto"/>
          <w:sz w:val="21"/>
        </w:rPr>
        <w:t>S9 Table. Mediation analyses of brain diseases and injuries on the associations between body composition patterns and epilepsy.</w:t>
      </w:r>
      <w:r>
        <w:rPr>
          <w:rFonts w:hint="eastAsia" w:ascii="Times New Roman"/>
          <w:smallCaps w:val="0"/>
          <w:color w:val="auto"/>
          <w:sz w:val="21"/>
        </w:rPr>
        <w:tab/>
      </w:r>
      <w:r>
        <w:rPr>
          <w:rFonts w:hint="eastAsia" w:ascii="Times New Roman"/>
          <w:smallCaps w:val="0"/>
          <w:color w:val="auto"/>
          <w:sz w:val="21"/>
        </w:rPr>
        <w:fldChar w:fldCharType="begin"/>
      </w:r>
      <w:r>
        <w:rPr>
          <w:rFonts w:hint="eastAsia" w:ascii="Times New Roman"/>
          <w:smallCaps w:val="0"/>
          <w:color w:val="auto"/>
          <w:sz w:val="21"/>
        </w:rPr>
        <w:instrText xml:space="preserve"> </w:instrText>
      </w:r>
      <w:r>
        <w:rPr>
          <w:rFonts w:ascii="Times New Roman"/>
          <w:smallCaps w:val="0"/>
          <w:color w:val="auto"/>
          <w:sz w:val="21"/>
        </w:rPr>
        <w:instrText xml:space="preserve">PAGEREF _Toc196124153 \h</w:instrText>
      </w:r>
      <w:r>
        <w:rPr>
          <w:rFonts w:hint="eastAsia" w:ascii="Times New Roman"/>
          <w:smallCaps w:val="0"/>
          <w:color w:val="auto"/>
          <w:sz w:val="21"/>
        </w:rPr>
        <w:instrText xml:space="preserve"> </w:instrText>
      </w:r>
      <w:r>
        <w:rPr>
          <w:rFonts w:hint="eastAsia" w:ascii="Times New Roman"/>
          <w:smallCaps w:val="0"/>
          <w:color w:val="auto"/>
          <w:sz w:val="21"/>
        </w:rPr>
        <w:fldChar w:fldCharType="separate"/>
      </w:r>
      <w:r>
        <w:rPr>
          <w:rFonts w:hint="eastAsia" w:ascii="Times New Roman"/>
          <w:smallCaps w:val="0"/>
          <w:color w:val="auto"/>
          <w:sz w:val="21"/>
        </w:rPr>
        <w:t>15</w:t>
      </w:r>
      <w:r>
        <w:rPr>
          <w:rFonts w:hint="eastAsia" w:ascii="Times New Roman"/>
          <w:smallCaps w:val="0"/>
          <w:color w:val="auto"/>
          <w:sz w:val="21"/>
        </w:rPr>
        <w:fldChar w:fldCharType="end"/>
      </w:r>
      <w:r>
        <w:rPr>
          <w:rFonts w:hint="eastAsia" w:ascii="Times New Roman"/>
          <w:smallCaps w:val="0"/>
          <w:color w:val="auto"/>
          <w:sz w:val="21"/>
        </w:rPr>
        <w:fldChar w:fldCharType="end"/>
      </w:r>
    </w:p>
    <w:p>
      <w:pPr>
        <w:pStyle w:val="21"/>
        <w:tabs>
          <w:tab w:val="right" w:leader="dot" w:pos="12950"/>
        </w:tabs>
        <w:spacing w:line="360" w:lineRule="auto"/>
        <w:rPr>
          <w:rFonts w:hint="eastAsia" w:ascii="Times New Roman" w:hAnsiTheme="minorHAnsi" w:eastAsiaTheme="minorEastAsia"/>
          <w:smallCaps w:val="0"/>
          <w:color w:val="auto"/>
          <w:kern w:val="2"/>
          <w:sz w:val="21"/>
          <w:szCs w:val="24"/>
          <w14:ligatures w14:val="standardContextual"/>
        </w:rPr>
      </w:pPr>
      <w:r>
        <w:fldChar w:fldCharType="begin"/>
      </w:r>
      <w:r>
        <w:instrText xml:space="preserve"> HYPERLINK \l "_Toc196124154" </w:instrText>
      </w:r>
      <w:r>
        <w:fldChar w:fldCharType="separate"/>
      </w:r>
      <w:r>
        <w:rPr>
          <w:rStyle w:val="27"/>
          <w:rFonts w:hint="eastAsia" w:ascii="Times New Roman"/>
          <w:smallCaps w:val="0"/>
          <w:color w:val="auto"/>
          <w:sz w:val="21"/>
        </w:rPr>
        <w:t>S10 Table. Sensitivity analyses of the associations between body composition patterns and risk of epilepsy excluding participants who self-reported taking antiepileptic drugs and applying a 2-year lag time.</w:t>
      </w:r>
      <w:r>
        <w:rPr>
          <w:rFonts w:hint="eastAsia" w:ascii="Times New Roman"/>
          <w:smallCaps w:val="0"/>
          <w:color w:val="auto"/>
          <w:sz w:val="21"/>
        </w:rPr>
        <w:tab/>
      </w:r>
      <w:r>
        <w:rPr>
          <w:rFonts w:hint="eastAsia" w:ascii="Times New Roman"/>
          <w:smallCaps w:val="0"/>
          <w:color w:val="auto"/>
          <w:sz w:val="21"/>
        </w:rPr>
        <w:fldChar w:fldCharType="begin"/>
      </w:r>
      <w:r>
        <w:rPr>
          <w:rFonts w:hint="eastAsia" w:ascii="Times New Roman"/>
          <w:smallCaps w:val="0"/>
          <w:color w:val="auto"/>
          <w:sz w:val="21"/>
        </w:rPr>
        <w:instrText xml:space="preserve"> </w:instrText>
      </w:r>
      <w:r>
        <w:rPr>
          <w:rFonts w:ascii="Times New Roman"/>
          <w:smallCaps w:val="0"/>
          <w:color w:val="auto"/>
          <w:sz w:val="21"/>
        </w:rPr>
        <w:instrText xml:space="preserve">PAGEREF _Toc196124154 \h</w:instrText>
      </w:r>
      <w:r>
        <w:rPr>
          <w:rFonts w:hint="eastAsia" w:ascii="Times New Roman"/>
          <w:smallCaps w:val="0"/>
          <w:color w:val="auto"/>
          <w:sz w:val="21"/>
        </w:rPr>
        <w:instrText xml:space="preserve"> </w:instrText>
      </w:r>
      <w:r>
        <w:rPr>
          <w:rFonts w:hint="eastAsia" w:ascii="Times New Roman"/>
          <w:smallCaps w:val="0"/>
          <w:color w:val="auto"/>
          <w:sz w:val="21"/>
        </w:rPr>
        <w:fldChar w:fldCharType="separate"/>
      </w:r>
      <w:r>
        <w:rPr>
          <w:rFonts w:hint="eastAsia" w:ascii="Times New Roman"/>
          <w:smallCaps w:val="0"/>
          <w:color w:val="auto"/>
          <w:sz w:val="21"/>
        </w:rPr>
        <w:t>18</w:t>
      </w:r>
      <w:r>
        <w:rPr>
          <w:rFonts w:hint="eastAsia" w:ascii="Times New Roman"/>
          <w:smallCaps w:val="0"/>
          <w:color w:val="auto"/>
          <w:sz w:val="21"/>
        </w:rPr>
        <w:fldChar w:fldCharType="end"/>
      </w:r>
      <w:r>
        <w:rPr>
          <w:rFonts w:hint="eastAsia" w:ascii="Times New Roman"/>
          <w:smallCaps w:val="0"/>
          <w:color w:val="auto"/>
          <w:sz w:val="21"/>
        </w:rPr>
        <w:fldChar w:fldCharType="end"/>
      </w:r>
    </w:p>
    <w:p>
      <w:pPr>
        <w:pStyle w:val="21"/>
        <w:tabs>
          <w:tab w:val="right" w:leader="dot" w:pos="12950"/>
        </w:tabs>
        <w:spacing w:line="360" w:lineRule="auto"/>
        <w:rPr>
          <w:rFonts w:hint="eastAsia" w:ascii="Times New Roman" w:hAnsiTheme="minorHAnsi" w:eastAsiaTheme="minorEastAsia"/>
          <w:smallCaps w:val="0"/>
          <w:color w:val="auto"/>
          <w:kern w:val="2"/>
          <w:sz w:val="21"/>
          <w:szCs w:val="24"/>
          <w14:ligatures w14:val="standardContextual"/>
        </w:rPr>
      </w:pPr>
      <w:r>
        <w:fldChar w:fldCharType="begin"/>
      </w:r>
      <w:r>
        <w:instrText xml:space="preserve"> HYPERLINK \l "_Toc196124155" </w:instrText>
      </w:r>
      <w:r>
        <w:fldChar w:fldCharType="separate"/>
      </w:r>
      <w:r>
        <w:rPr>
          <w:rStyle w:val="27"/>
          <w:rFonts w:hint="eastAsia" w:ascii="Times New Roman"/>
          <w:smallCaps w:val="0"/>
          <w:color w:val="auto"/>
          <w:sz w:val="21"/>
        </w:rPr>
        <w:t>S11 Table. Sensitivity analyses of the associations between body composition patterns and risk of epilepsy among the white only.</w:t>
      </w:r>
      <w:r>
        <w:rPr>
          <w:rFonts w:hint="eastAsia" w:ascii="Times New Roman"/>
          <w:smallCaps w:val="0"/>
          <w:color w:val="auto"/>
          <w:sz w:val="21"/>
        </w:rPr>
        <w:tab/>
      </w:r>
      <w:r>
        <w:rPr>
          <w:rFonts w:hint="eastAsia" w:ascii="Times New Roman"/>
          <w:smallCaps w:val="0"/>
          <w:color w:val="auto"/>
          <w:sz w:val="21"/>
        </w:rPr>
        <w:fldChar w:fldCharType="begin"/>
      </w:r>
      <w:r>
        <w:rPr>
          <w:rFonts w:hint="eastAsia" w:ascii="Times New Roman"/>
          <w:smallCaps w:val="0"/>
          <w:color w:val="auto"/>
          <w:sz w:val="21"/>
        </w:rPr>
        <w:instrText xml:space="preserve"> </w:instrText>
      </w:r>
      <w:r>
        <w:rPr>
          <w:rFonts w:ascii="Times New Roman"/>
          <w:smallCaps w:val="0"/>
          <w:color w:val="auto"/>
          <w:sz w:val="21"/>
        </w:rPr>
        <w:instrText xml:space="preserve">PAGEREF _Toc196124155 \h</w:instrText>
      </w:r>
      <w:r>
        <w:rPr>
          <w:rFonts w:hint="eastAsia" w:ascii="Times New Roman"/>
          <w:smallCaps w:val="0"/>
          <w:color w:val="auto"/>
          <w:sz w:val="21"/>
        </w:rPr>
        <w:instrText xml:space="preserve"> </w:instrText>
      </w:r>
      <w:r>
        <w:rPr>
          <w:rFonts w:hint="eastAsia" w:ascii="Times New Roman"/>
          <w:smallCaps w:val="0"/>
          <w:color w:val="auto"/>
          <w:sz w:val="21"/>
        </w:rPr>
        <w:fldChar w:fldCharType="separate"/>
      </w:r>
      <w:r>
        <w:rPr>
          <w:rFonts w:hint="eastAsia" w:ascii="Times New Roman"/>
          <w:smallCaps w:val="0"/>
          <w:color w:val="auto"/>
          <w:sz w:val="21"/>
        </w:rPr>
        <w:t>19</w:t>
      </w:r>
      <w:r>
        <w:rPr>
          <w:rFonts w:hint="eastAsia" w:ascii="Times New Roman"/>
          <w:smallCaps w:val="0"/>
          <w:color w:val="auto"/>
          <w:sz w:val="21"/>
        </w:rPr>
        <w:fldChar w:fldCharType="end"/>
      </w:r>
      <w:r>
        <w:rPr>
          <w:rFonts w:hint="eastAsia" w:ascii="Times New Roman"/>
          <w:smallCaps w:val="0"/>
          <w:color w:val="auto"/>
          <w:sz w:val="21"/>
        </w:rPr>
        <w:fldChar w:fldCharType="end"/>
      </w:r>
    </w:p>
    <w:p>
      <w:pPr>
        <w:pStyle w:val="21"/>
        <w:tabs>
          <w:tab w:val="right" w:leader="dot" w:pos="12950"/>
        </w:tabs>
        <w:spacing w:line="360" w:lineRule="auto"/>
        <w:rPr>
          <w:rFonts w:hint="eastAsia" w:ascii="Times New Roman" w:hAnsiTheme="minorHAnsi" w:eastAsiaTheme="minorEastAsia"/>
          <w:smallCaps w:val="0"/>
          <w:color w:val="auto"/>
          <w:kern w:val="2"/>
          <w:sz w:val="21"/>
          <w:szCs w:val="24"/>
          <w14:ligatures w14:val="standardContextual"/>
        </w:rPr>
      </w:pPr>
      <w:r>
        <w:fldChar w:fldCharType="begin"/>
      </w:r>
      <w:r>
        <w:instrText xml:space="preserve"> HYPERLINK \l "_Toc196124156" </w:instrText>
      </w:r>
      <w:r>
        <w:fldChar w:fldCharType="separate"/>
      </w:r>
      <w:r>
        <w:rPr>
          <w:rStyle w:val="27"/>
          <w:rFonts w:hint="eastAsia" w:ascii="Times New Roman"/>
          <w:smallCaps w:val="0"/>
          <w:color w:val="auto"/>
          <w:sz w:val="21"/>
        </w:rPr>
        <w:t>S12 Table. Sensitivity analyses of the associations between body composition patterns and risk of epilepsy using Fine-Grey models accounting for the competing risk of all-cause mortality.</w:t>
      </w:r>
      <w:r>
        <w:rPr>
          <w:rFonts w:hint="eastAsia" w:ascii="Times New Roman"/>
          <w:smallCaps w:val="0"/>
          <w:color w:val="auto"/>
          <w:sz w:val="21"/>
        </w:rPr>
        <w:tab/>
      </w:r>
      <w:r>
        <w:rPr>
          <w:rFonts w:hint="eastAsia" w:ascii="Times New Roman"/>
          <w:smallCaps w:val="0"/>
          <w:color w:val="auto"/>
          <w:sz w:val="21"/>
        </w:rPr>
        <w:fldChar w:fldCharType="begin"/>
      </w:r>
      <w:r>
        <w:rPr>
          <w:rFonts w:hint="eastAsia" w:ascii="Times New Roman"/>
          <w:smallCaps w:val="0"/>
          <w:color w:val="auto"/>
          <w:sz w:val="21"/>
        </w:rPr>
        <w:instrText xml:space="preserve"> </w:instrText>
      </w:r>
      <w:r>
        <w:rPr>
          <w:rFonts w:ascii="Times New Roman"/>
          <w:smallCaps w:val="0"/>
          <w:color w:val="auto"/>
          <w:sz w:val="21"/>
        </w:rPr>
        <w:instrText xml:space="preserve">PAGEREF _Toc196124156 \h</w:instrText>
      </w:r>
      <w:r>
        <w:rPr>
          <w:rFonts w:hint="eastAsia" w:ascii="Times New Roman"/>
          <w:smallCaps w:val="0"/>
          <w:color w:val="auto"/>
          <w:sz w:val="21"/>
        </w:rPr>
        <w:instrText xml:space="preserve"> </w:instrText>
      </w:r>
      <w:r>
        <w:rPr>
          <w:rFonts w:hint="eastAsia" w:ascii="Times New Roman"/>
          <w:smallCaps w:val="0"/>
          <w:color w:val="auto"/>
          <w:sz w:val="21"/>
        </w:rPr>
        <w:fldChar w:fldCharType="separate"/>
      </w:r>
      <w:r>
        <w:rPr>
          <w:rFonts w:hint="eastAsia" w:ascii="Times New Roman"/>
          <w:smallCaps w:val="0"/>
          <w:color w:val="auto"/>
          <w:sz w:val="21"/>
        </w:rPr>
        <w:t>20</w:t>
      </w:r>
      <w:r>
        <w:rPr>
          <w:rFonts w:hint="eastAsia" w:ascii="Times New Roman"/>
          <w:smallCaps w:val="0"/>
          <w:color w:val="auto"/>
          <w:sz w:val="21"/>
        </w:rPr>
        <w:fldChar w:fldCharType="end"/>
      </w:r>
      <w:r>
        <w:rPr>
          <w:rFonts w:hint="eastAsia" w:ascii="Times New Roman"/>
          <w:smallCaps w:val="0"/>
          <w:color w:val="auto"/>
          <w:sz w:val="21"/>
        </w:rPr>
        <w:fldChar w:fldCharType="end"/>
      </w:r>
    </w:p>
    <w:p>
      <w:pPr>
        <w:pStyle w:val="21"/>
        <w:tabs>
          <w:tab w:val="right" w:leader="dot" w:pos="12950"/>
        </w:tabs>
        <w:spacing w:line="360" w:lineRule="auto"/>
        <w:rPr>
          <w:rFonts w:hint="eastAsia" w:ascii="Times New Roman" w:hAnsiTheme="minorHAnsi" w:eastAsiaTheme="minorEastAsia"/>
          <w:smallCaps w:val="0"/>
          <w:color w:val="auto"/>
          <w:kern w:val="2"/>
          <w:sz w:val="21"/>
          <w:szCs w:val="24"/>
          <w14:ligatures w14:val="standardContextual"/>
        </w:rPr>
      </w:pPr>
      <w:r>
        <w:fldChar w:fldCharType="begin"/>
      </w:r>
      <w:r>
        <w:instrText xml:space="preserve"> HYPERLINK \l "_Toc196124157" </w:instrText>
      </w:r>
      <w:r>
        <w:fldChar w:fldCharType="separate"/>
      </w:r>
      <w:r>
        <w:rPr>
          <w:rStyle w:val="27"/>
          <w:rFonts w:hint="eastAsia" w:ascii="Times New Roman"/>
          <w:smallCaps w:val="0"/>
          <w:color w:val="auto"/>
          <w:sz w:val="21"/>
        </w:rPr>
        <w:t>S13 Table. Sensitivity analyses of the associations between body composition patterns and risk of generalized epilepsy.</w:t>
      </w:r>
      <w:r>
        <w:rPr>
          <w:rFonts w:hint="eastAsia" w:ascii="Times New Roman"/>
          <w:smallCaps w:val="0"/>
          <w:color w:val="auto"/>
          <w:sz w:val="21"/>
        </w:rPr>
        <w:tab/>
      </w:r>
      <w:r>
        <w:rPr>
          <w:rFonts w:hint="eastAsia" w:ascii="Times New Roman"/>
          <w:smallCaps w:val="0"/>
          <w:color w:val="auto"/>
          <w:sz w:val="21"/>
        </w:rPr>
        <w:fldChar w:fldCharType="begin"/>
      </w:r>
      <w:r>
        <w:rPr>
          <w:rFonts w:hint="eastAsia" w:ascii="Times New Roman"/>
          <w:smallCaps w:val="0"/>
          <w:color w:val="auto"/>
          <w:sz w:val="21"/>
        </w:rPr>
        <w:instrText xml:space="preserve"> </w:instrText>
      </w:r>
      <w:r>
        <w:rPr>
          <w:rFonts w:ascii="Times New Roman"/>
          <w:smallCaps w:val="0"/>
          <w:color w:val="auto"/>
          <w:sz w:val="21"/>
        </w:rPr>
        <w:instrText xml:space="preserve">PAGEREF _Toc196124157 \h</w:instrText>
      </w:r>
      <w:r>
        <w:rPr>
          <w:rFonts w:hint="eastAsia" w:ascii="Times New Roman"/>
          <w:smallCaps w:val="0"/>
          <w:color w:val="auto"/>
          <w:sz w:val="21"/>
        </w:rPr>
        <w:instrText xml:space="preserve"> </w:instrText>
      </w:r>
      <w:r>
        <w:rPr>
          <w:rFonts w:hint="eastAsia" w:ascii="Times New Roman"/>
          <w:smallCaps w:val="0"/>
          <w:color w:val="auto"/>
          <w:sz w:val="21"/>
        </w:rPr>
        <w:fldChar w:fldCharType="separate"/>
      </w:r>
      <w:r>
        <w:rPr>
          <w:rFonts w:hint="eastAsia" w:ascii="Times New Roman"/>
          <w:smallCaps w:val="0"/>
          <w:color w:val="auto"/>
          <w:sz w:val="21"/>
        </w:rPr>
        <w:t>21</w:t>
      </w:r>
      <w:r>
        <w:rPr>
          <w:rFonts w:hint="eastAsia" w:ascii="Times New Roman"/>
          <w:smallCaps w:val="0"/>
          <w:color w:val="auto"/>
          <w:sz w:val="21"/>
        </w:rPr>
        <w:fldChar w:fldCharType="end"/>
      </w:r>
      <w:r>
        <w:rPr>
          <w:rFonts w:hint="eastAsia" w:ascii="Times New Roman"/>
          <w:smallCaps w:val="0"/>
          <w:color w:val="auto"/>
          <w:sz w:val="21"/>
        </w:rPr>
        <w:fldChar w:fldCharType="end"/>
      </w:r>
    </w:p>
    <w:p>
      <w:pPr>
        <w:pStyle w:val="21"/>
        <w:tabs>
          <w:tab w:val="right" w:leader="dot" w:pos="12950"/>
        </w:tabs>
        <w:spacing w:line="360" w:lineRule="auto"/>
        <w:rPr>
          <w:rFonts w:hint="eastAsia" w:ascii="Times New Roman" w:hAnsiTheme="minorHAnsi" w:eastAsiaTheme="minorEastAsia"/>
          <w:smallCaps w:val="0"/>
          <w:color w:val="auto"/>
          <w:kern w:val="2"/>
          <w:sz w:val="21"/>
          <w:szCs w:val="24"/>
          <w14:ligatures w14:val="standardContextual"/>
        </w:rPr>
      </w:pPr>
      <w:r>
        <w:fldChar w:fldCharType="begin"/>
      </w:r>
      <w:r>
        <w:instrText xml:space="preserve"> HYPERLINK \l "_Toc196124158" </w:instrText>
      </w:r>
      <w:r>
        <w:fldChar w:fldCharType="separate"/>
      </w:r>
      <w:r>
        <w:rPr>
          <w:rStyle w:val="27"/>
          <w:rFonts w:hint="eastAsia" w:ascii="Times New Roman"/>
          <w:smallCaps w:val="0"/>
          <w:color w:val="auto"/>
          <w:sz w:val="21"/>
        </w:rPr>
        <w:t>S14 Table. Sensitivity analyses of the associations between body composition patterns and risk of focal epilepsy.</w:t>
      </w:r>
      <w:r>
        <w:rPr>
          <w:rFonts w:hint="eastAsia" w:ascii="Times New Roman"/>
          <w:smallCaps w:val="0"/>
          <w:color w:val="auto"/>
          <w:sz w:val="21"/>
        </w:rPr>
        <w:tab/>
      </w:r>
      <w:r>
        <w:rPr>
          <w:rFonts w:hint="eastAsia" w:ascii="Times New Roman"/>
          <w:smallCaps w:val="0"/>
          <w:color w:val="auto"/>
          <w:sz w:val="21"/>
        </w:rPr>
        <w:fldChar w:fldCharType="begin"/>
      </w:r>
      <w:r>
        <w:rPr>
          <w:rFonts w:hint="eastAsia" w:ascii="Times New Roman"/>
          <w:smallCaps w:val="0"/>
          <w:color w:val="auto"/>
          <w:sz w:val="21"/>
        </w:rPr>
        <w:instrText xml:space="preserve"> </w:instrText>
      </w:r>
      <w:r>
        <w:rPr>
          <w:rFonts w:ascii="Times New Roman"/>
          <w:smallCaps w:val="0"/>
          <w:color w:val="auto"/>
          <w:sz w:val="21"/>
        </w:rPr>
        <w:instrText xml:space="preserve">PAGEREF _Toc196124158 \h</w:instrText>
      </w:r>
      <w:r>
        <w:rPr>
          <w:rFonts w:hint="eastAsia" w:ascii="Times New Roman"/>
          <w:smallCaps w:val="0"/>
          <w:color w:val="auto"/>
          <w:sz w:val="21"/>
        </w:rPr>
        <w:instrText xml:space="preserve"> </w:instrText>
      </w:r>
      <w:r>
        <w:rPr>
          <w:rFonts w:hint="eastAsia" w:ascii="Times New Roman"/>
          <w:smallCaps w:val="0"/>
          <w:color w:val="auto"/>
          <w:sz w:val="21"/>
        </w:rPr>
        <w:fldChar w:fldCharType="separate"/>
      </w:r>
      <w:r>
        <w:rPr>
          <w:rFonts w:hint="eastAsia" w:ascii="Times New Roman"/>
          <w:smallCaps w:val="0"/>
          <w:color w:val="auto"/>
          <w:sz w:val="21"/>
        </w:rPr>
        <w:t>22</w:t>
      </w:r>
      <w:r>
        <w:rPr>
          <w:rFonts w:hint="eastAsia" w:ascii="Times New Roman"/>
          <w:smallCaps w:val="0"/>
          <w:color w:val="auto"/>
          <w:sz w:val="21"/>
        </w:rPr>
        <w:fldChar w:fldCharType="end"/>
      </w:r>
      <w:r>
        <w:rPr>
          <w:rFonts w:hint="eastAsia" w:ascii="Times New Roman"/>
          <w:smallCaps w:val="0"/>
          <w:color w:val="auto"/>
          <w:sz w:val="21"/>
        </w:rPr>
        <w:fldChar w:fldCharType="end"/>
      </w:r>
    </w:p>
    <w:p>
      <w:pPr>
        <w:spacing w:line="360" w:lineRule="auto"/>
        <w:rPr>
          <w:rFonts w:hint="eastAsia" w:cs="Times New Roman"/>
          <w:szCs w:val="21"/>
        </w:rPr>
        <w:sectPr>
          <w:headerReference r:id="rId3" w:type="default"/>
          <w:footerReference r:id="rId4" w:type="default"/>
          <w:pgSz w:w="15840" w:h="12240" w:orient="landscape"/>
          <w:pgMar w:top="1440" w:right="1800" w:bottom="1440" w:left="1800" w:header="720" w:footer="720" w:gutter="0"/>
          <w:cols w:space="720" w:num="1"/>
          <w:docGrid w:linePitch="326" w:charSpace="0"/>
        </w:sectPr>
      </w:pPr>
      <w:r>
        <w:rPr>
          <w:rFonts w:cs="Times New Roman"/>
          <w:color w:val="auto"/>
          <w:szCs w:val="21"/>
        </w:rPr>
        <w:fldChar w:fldCharType="end"/>
      </w:r>
    </w:p>
    <w:p>
      <w:pPr>
        <w:rPr>
          <w:rFonts w:cs="Times New Roman"/>
          <w:szCs w:val="21"/>
        </w:rPr>
      </w:pPr>
    </w:p>
    <w:p>
      <w:pPr>
        <w:rPr>
          <w:rFonts w:cs="Times New Roman"/>
          <w:szCs w:val="21"/>
        </w:rPr>
      </w:pPr>
      <w:r>
        <w:rPr>
          <w:rFonts w:cs="Times New Roman"/>
          <w:szCs w:val="21"/>
        </w:rPr>
        <w:drawing>
          <wp:inline distT="0" distB="0" distL="0" distR="0">
            <wp:extent cx="5671185" cy="4798060"/>
            <wp:effectExtent l="0" t="0" r="5715" b="2540"/>
            <wp:docPr id="4144263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426338" name="图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675522" cy="4801505"/>
                    </a:xfrm>
                    <a:prstGeom prst="rect">
                      <a:avLst/>
                    </a:prstGeom>
                    <a:noFill/>
                    <a:ln>
                      <a:noFill/>
                    </a:ln>
                  </pic:spPr>
                </pic:pic>
              </a:graphicData>
            </a:graphic>
          </wp:inline>
        </w:drawing>
      </w:r>
    </w:p>
    <w:p>
      <w:pPr>
        <w:pStyle w:val="49"/>
        <w:sectPr>
          <w:pgSz w:w="12240" w:h="15840"/>
          <w:pgMar w:top="1440" w:right="1800" w:bottom="1440" w:left="1800" w:header="720" w:footer="720" w:gutter="0"/>
          <w:cols w:space="720" w:num="1"/>
          <w:docGrid w:linePitch="326" w:charSpace="0"/>
        </w:sectPr>
      </w:pPr>
      <w:bookmarkStart w:id="2" w:name="_Toc196124145"/>
      <w:bookmarkStart w:id="3" w:name="_Toc196124116"/>
      <w:bookmarkStart w:id="4" w:name="_Toc196122910"/>
      <w:bookmarkStart w:id="5" w:name="_Toc196123183"/>
      <w:bookmarkStart w:id="6" w:name="_Hlk196122657"/>
      <w:r>
        <w:t xml:space="preserve">S1 Figure. </w:t>
      </w:r>
      <w:r>
        <w:rPr>
          <w:rFonts w:hint="eastAsia"/>
        </w:rPr>
        <w:t>Flow chart of study population.</w:t>
      </w:r>
      <w:bookmarkEnd w:id="2"/>
      <w:bookmarkEnd w:id="3"/>
      <w:bookmarkEnd w:id="4"/>
      <w:bookmarkEnd w:id="5"/>
    </w:p>
    <w:bookmarkEnd w:id="6"/>
    <w:p>
      <w:pPr>
        <w:rPr>
          <w:rFonts w:cs="Times New Roman"/>
          <w:b/>
          <w:bCs/>
          <w:szCs w:val="21"/>
        </w:rPr>
      </w:pPr>
      <w:r>
        <w:rPr>
          <w:rFonts w:cs="Times New Roman"/>
          <w:b/>
          <w:bCs/>
          <w:szCs w:val="21"/>
        </w:rPr>
        <w:drawing>
          <wp:inline distT="0" distB="0" distL="0" distR="0">
            <wp:extent cx="7490460" cy="4583430"/>
            <wp:effectExtent l="0" t="0" r="7620" b="3810"/>
            <wp:docPr id="129340925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409258" name="图片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7550809" cy="4620380"/>
                    </a:xfrm>
                    <a:prstGeom prst="rect">
                      <a:avLst/>
                    </a:prstGeom>
                    <a:noFill/>
                    <a:ln>
                      <a:noFill/>
                    </a:ln>
                  </pic:spPr>
                </pic:pic>
              </a:graphicData>
            </a:graphic>
          </wp:inline>
        </w:drawing>
      </w:r>
      <w:r>
        <w:rPr>
          <w:sz w:val="21"/>
        </w:rPr>
        <mc:AlternateContent>
          <mc:Choice Requires="wps">
            <w:drawing>
              <wp:anchor distT="0" distB="0" distL="114300" distR="114300" simplePos="0" relativeHeight="251660288" behindDoc="0" locked="0" layoutInCell="1" allowOverlap="1">
                <wp:simplePos x="0" y="0"/>
                <wp:positionH relativeFrom="column">
                  <wp:posOffset>161290</wp:posOffset>
                </wp:positionH>
                <wp:positionV relativeFrom="paragraph">
                  <wp:posOffset>2287270</wp:posOffset>
                </wp:positionV>
                <wp:extent cx="1014095" cy="33972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014095" cy="3397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2"/>
                                <w:szCs w:val="21"/>
                                <w:lang w:val="en-US" w:eastAsia="zh-CN"/>
                              </w:rPr>
                            </w:pPr>
                            <w:r>
                              <w:rPr>
                                <w:rFonts w:hint="eastAsia"/>
                                <w:b/>
                                <w:bCs/>
                                <w:sz w:val="22"/>
                                <w:szCs w:val="21"/>
                                <w:lang w:val="en-US" w:eastAsia="zh-CN"/>
                              </w:rPr>
                              <w:t>Female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7pt;margin-top:180.1pt;height:26.75pt;width:79.85pt;z-index:251660288;mso-width-relative:page;mso-height-relative:page;" filled="f" stroked="f" coordsize="21600,21600" o:gfxdata="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HrAds2wAAAAoBAAAPAAAAAAAAAAEAIAAAACIAAABk&#10;cnMvZG93bnJldi54bWxQSwECFAAUAAAACACHTuJAlMoaiTwCAABmBAAADgAAAAAAAAABACAAAAAq&#10;AQAAZHJzL2Uyb0RvYy54bWxQSwUGAAAAAAYABgBZAQAA2AUAAAAA&#10;">
                <v:fill on="f" focussize="0,0"/>
                <v:stroke on="f" weight="0.5pt"/>
                <v:imagedata o:title=""/>
                <o:lock v:ext="edit" aspectratio="f"/>
                <v:textbox>
                  <w:txbxContent>
                    <w:p>
                      <w:pPr>
                        <w:rPr>
                          <w:rFonts w:hint="eastAsia" w:eastAsiaTheme="minorEastAsia"/>
                          <w:b/>
                          <w:bCs/>
                          <w:sz w:val="22"/>
                          <w:szCs w:val="21"/>
                          <w:lang w:val="en-US" w:eastAsia="zh-CN"/>
                        </w:rPr>
                      </w:pPr>
                      <w:r>
                        <w:rPr>
                          <w:rFonts w:hint="eastAsia"/>
                          <w:b/>
                          <w:bCs/>
                          <w:sz w:val="22"/>
                          <w:szCs w:val="21"/>
                          <w:lang w:val="en-US" w:eastAsia="zh-CN"/>
                        </w:rPr>
                        <w:t>Female</w:t>
                      </w: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167005</wp:posOffset>
                </wp:positionH>
                <wp:positionV relativeFrom="paragraph">
                  <wp:posOffset>89535</wp:posOffset>
                </wp:positionV>
                <wp:extent cx="1014095" cy="339725"/>
                <wp:effectExtent l="0" t="0" r="6985" b="10795"/>
                <wp:wrapNone/>
                <wp:docPr id="1" name="文本框 1"/>
                <wp:cNvGraphicFramePr/>
                <a:graphic xmlns:a="http://schemas.openxmlformats.org/drawingml/2006/main">
                  <a:graphicData uri="http://schemas.microsoft.com/office/word/2010/wordprocessingShape">
                    <wps:wsp>
                      <wps:cNvSpPr txBox="1"/>
                      <wps:spPr>
                        <a:xfrm>
                          <a:off x="1063625" y="1162050"/>
                          <a:ext cx="1014095" cy="3397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2"/>
                                <w:szCs w:val="21"/>
                                <w:lang w:val="en-US" w:eastAsia="zh-CN"/>
                              </w:rPr>
                            </w:pPr>
                            <w:r>
                              <w:rPr>
                                <w:rFonts w:hint="eastAsia"/>
                                <w:b/>
                                <w:bCs/>
                                <w:sz w:val="22"/>
                                <w:szCs w:val="21"/>
                                <w:lang w:val="en-US" w:eastAsia="zh-CN"/>
                              </w:rPr>
                              <w:t>Male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5pt;margin-top:7.05pt;height:26.75pt;width:79.85pt;z-index:251659264;mso-width-relative:page;mso-height-relative:page;" filled="f" stroked="f" coordsize="21600,21600" o:gfxdata="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lzdYl2AAAAAgBAAAPAAAAAAAAAAEAIAAAACIA&#10;AABkcnMvZG93bnJldi54bWxQSwECFAAUAAAACACHTuJAyoKuakICAAByBAAADgAAAAAAAAABACAA&#10;AAAnAQAAZHJzL2Uyb0RvYy54bWxQSwUGAAAAAAYABgBZAQAA2wUAAAAA&#10;">
                <v:fill on="f" focussize="0,0"/>
                <v:stroke on="f" weight="0.5pt"/>
                <v:imagedata o:title=""/>
                <o:lock v:ext="edit" aspectratio="f"/>
                <v:textbox>
                  <w:txbxContent>
                    <w:p>
                      <w:pPr>
                        <w:rPr>
                          <w:rFonts w:hint="eastAsia" w:eastAsiaTheme="minorEastAsia"/>
                          <w:b/>
                          <w:bCs/>
                          <w:sz w:val="22"/>
                          <w:szCs w:val="21"/>
                          <w:lang w:val="en-US" w:eastAsia="zh-CN"/>
                        </w:rPr>
                      </w:pPr>
                      <w:r>
                        <w:rPr>
                          <w:rFonts w:hint="eastAsia"/>
                          <w:b/>
                          <w:bCs/>
                          <w:sz w:val="22"/>
                          <w:szCs w:val="21"/>
                          <w:lang w:val="en-US" w:eastAsia="zh-CN"/>
                        </w:rPr>
                        <w:t>Male</w:t>
                      </w:r>
                    </w:p>
                  </w:txbxContent>
                </v:textbox>
              </v:shape>
            </w:pict>
          </mc:Fallback>
        </mc:AlternateContent>
      </w:r>
    </w:p>
    <w:p>
      <w:pPr>
        <w:pStyle w:val="49"/>
        <w:spacing w:line="360" w:lineRule="auto"/>
      </w:pPr>
      <w:bookmarkStart w:id="7" w:name="_Toc196124146"/>
      <w:bookmarkStart w:id="8" w:name="_Toc196124117"/>
      <w:bookmarkStart w:id="9" w:name="_Toc196122911"/>
      <w:bookmarkStart w:id="10" w:name="_Toc196123184"/>
      <w:r>
        <w:rPr>
          <w:rFonts w:hint="eastAsia"/>
        </w:rPr>
        <w:t>S2 Figure. Identified patterns of body composition derived from principal component analysis.</w:t>
      </w:r>
      <w:bookmarkEnd w:id="7"/>
      <w:bookmarkEnd w:id="8"/>
      <w:bookmarkEnd w:id="9"/>
      <w:bookmarkEnd w:id="10"/>
    </w:p>
    <w:p>
      <w:pPr>
        <w:spacing w:line="360" w:lineRule="auto"/>
        <w:rPr>
          <w:rFonts w:cs="Times New Roman"/>
          <w:szCs w:val="21"/>
        </w:rPr>
        <w:sectPr>
          <w:pgSz w:w="15840" w:h="12240" w:orient="landscape"/>
          <w:pgMar w:top="1800" w:right="1440" w:bottom="1800" w:left="1440" w:header="720" w:footer="720" w:gutter="0"/>
          <w:cols w:space="720" w:num="1"/>
          <w:docGrid w:linePitch="326" w:charSpace="0"/>
        </w:sectPr>
      </w:pPr>
      <w:r>
        <w:rPr>
          <w:rFonts w:hint="eastAsia" w:cs="Times New Roman"/>
          <w:szCs w:val="21"/>
        </w:rPr>
        <w:t xml:space="preserve">Abbreviations: </w:t>
      </w:r>
      <w:bookmarkStart w:id="11" w:name="OLE_LINK102"/>
      <w:r>
        <w:rPr>
          <w:rFonts w:hint="eastAsia" w:cs="Times New Roman"/>
          <w:szCs w:val="21"/>
        </w:rPr>
        <w:t xml:space="preserve">PC, principal component; </w:t>
      </w:r>
      <w:bookmarkStart w:id="12" w:name="OLE_LINK105"/>
      <w:r>
        <w:rPr>
          <w:rFonts w:hint="eastAsia" w:cs="Times New Roman"/>
          <w:szCs w:val="21"/>
        </w:rPr>
        <w:t>WC, waist circumference; HC, hip circumference; WTH, waist-to-hip ratio; WTHR, waist-to-height ratio; WWI, waist-to-weight ratio; BSI, body shape index; FM, fat mass; LM, lean mass; Grip, grip strength; BMI, body mass index; BMD, bone mineral density.</w:t>
      </w:r>
      <w:bookmarkEnd w:id="11"/>
      <w:bookmarkEnd w:id="12"/>
    </w:p>
    <w:p>
      <w:pPr>
        <w:pStyle w:val="49"/>
        <w:spacing w:line="360" w:lineRule="auto"/>
      </w:pPr>
      <w:bookmarkStart w:id="13" w:name="_Toc196122912"/>
      <w:bookmarkStart w:id="14" w:name="_Toc196123185"/>
      <w:bookmarkStart w:id="15" w:name="_Toc196124118"/>
      <w:bookmarkStart w:id="16" w:name="_Toc196124147"/>
      <w:r>
        <w:rPr>
          <w:rFonts w:hint="eastAsia"/>
          <w:bCs/>
        </w:rPr>
        <w:t>S3</w:t>
      </w:r>
      <w:r>
        <w:rPr>
          <w:bCs/>
        </w:rPr>
        <w:t xml:space="preserve"> </w:t>
      </w:r>
      <w:r>
        <w:t>Table. Outcome definitions.</w:t>
      </w:r>
      <w:bookmarkEnd w:id="13"/>
      <w:bookmarkEnd w:id="14"/>
      <w:bookmarkEnd w:id="15"/>
      <w:bookmarkEnd w:id="16"/>
    </w:p>
    <w:tbl>
      <w:tblPr>
        <w:tblStyle w:val="25"/>
        <w:tblW w:w="0" w:type="auto"/>
        <w:tblInd w:w="0" w:type="dxa"/>
        <w:tblLayout w:type="autofit"/>
        <w:tblCellMar>
          <w:top w:w="0" w:type="dxa"/>
          <w:left w:w="108" w:type="dxa"/>
          <w:bottom w:w="0" w:type="dxa"/>
          <w:right w:w="108" w:type="dxa"/>
        </w:tblCellMar>
      </w:tblPr>
      <w:tblGrid>
        <w:gridCol w:w="951"/>
        <w:gridCol w:w="2122"/>
        <w:gridCol w:w="3522"/>
        <w:gridCol w:w="2261"/>
      </w:tblGrid>
      <w:tr>
        <w:tblPrEx>
          <w:tblCellMar>
            <w:top w:w="0" w:type="dxa"/>
            <w:left w:w="108" w:type="dxa"/>
            <w:bottom w:w="0" w:type="dxa"/>
            <w:right w:w="108" w:type="dxa"/>
          </w:tblCellMar>
        </w:tblPrEx>
        <w:trPr>
          <w:trHeight w:val="304" w:hRule="atLeast"/>
        </w:trPr>
        <w:tc>
          <w:tcPr>
            <w:tcW w:w="0" w:type="auto"/>
            <w:tcBorders>
              <w:top w:val="single" w:color="auto" w:sz="8" w:space="0"/>
              <w:left w:val="nil"/>
              <w:bottom w:val="single" w:color="auto" w:sz="4" w:space="0"/>
              <w:right w:val="nil"/>
            </w:tcBorders>
          </w:tcPr>
          <w:p>
            <w:pPr>
              <w:spacing w:line="360" w:lineRule="auto"/>
              <w:jc w:val="both"/>
              <w:rPr>
                <w:rFonts w:eastAsia="等线" w:cs="Times New Roman"/>
                <w:b/>
                <w:color w:val="000000"/>
                <w:szCs w:val="21"/>
              </w:rPr>
            </w:pPr>
            <w:r>
              <w:rPr>
                <w:rFonts w:eastAsia="等线" w:cs="Times New Roman"/>
                <w:b/>
                <w:color w:val="000000"/>
                <w:szCs w:val="21"/>
              </w:rPr>
              <w:t>Disease</w:t>
            </w:r>
          </w:p>
        </w:tc>
        <w:tc>
          <w:tcPr>
            <w:tcW w:w="0" w:type="auto"/>
            <w:tcBorders>
              <w:top w:val="single" w:color="auto" w:sz="8" w:space="0"/>
              <w:left w:val="nil"/>
              <w:bottom w:val="single" w:color="auto" w:sz="4" w:space="0"/>
              <w:right w:val="nil"/>
            </w:tcBorders>
          </w:tcPr>
          <w:p>
            <w:pPr>
              <w:spacing w:line="360" w:lineRule="auto"/>
              <w:jc w:val="both"/>
              <w:rPr>
                <w:rFonts w:eastAsia="等线" w:cs="Times New Roman"/>
                <w:b/>
                <w:color w:val="000000"/>
                <w:szCs w:val="21"/>
              </w:rPr>
            </w:pPr>
            <w:r>
              <w:rPr>
                <w:rFonts w:eastAsia="等线" w:cs="Times New Roman"/>
                <w:b/>
                <w:color w:val="000000"/>
                <w:szCs w:val="21"/>
              </w:rPr>
              <w:t>ICD-9</w:t>
            </w:r>
            <w:r>
              <w:rPr>
                <w:rFonts w:hint="eastAsia" w:eastAsia="等线" w:cs="Times New Roman"/>
                <w:b/>
                <w:bCs/>
                <w:color w:val="000000"/>
                <w:szCs w:val="21"/>
              </w:rPr>
              <w:t xml:space="preserve"> </w:t>
            </w:r>
            <w:r>
              <w:rPr>
                <w:rFonts w:eastAsia="等线" w:cs="Times New Roman"/>
                <w:b/>
                <w:bCs/>
                <w:color w:val="000000"/>
                <w:szCs w:val="21"/>
              </w:rPr>
              <w:t>Code</w:t>
            </w:r>
            <w:r>
              <w:rPr>
                <w:rFonts w:hint="eastAsia" w:eastAsia="等线" w:cs="Times New Roman"/>
                <w:b/>
                <w:bCs/>
                <w:color w:val="000000"/>
                <w:szCs w:val="21"/>
              </w:rPr>
              <w:t>s</w:t>
            </w:r>
          </w:p>
        </w:tc>
        <w:tc>
          <w:tcPr>
            <w:tcW w:w="3522" w:type="dxa"/>
            <w:tcBorders>
              <w:top w:val="single" w:color="auto" w:sz="8" w:space="0"/>
              <w:left w:val="nil"/>
              <w:bottom w:val="single" w:color="auto" w:sz="4" w:space="0"/>
              <w:right w:val="nil"/>
            </w:tcBorders>
          </w:tcPr>
          <w:p>
            <w:pPr>
              <w:spacing w:line="360" w:lineRule="auto"/>
              <w:jc w:val="both"/>
              <w:rPr>
                <w:rFonts w:eastAsia="等线" w:cs="Times New Roman"/>
                <w:b/>
                <w:color w:val="000000"/>
                <w:szCs w:val="21"/>
              </w:rPr>
            </w:pPr>
            <w:r>
              <w:rPr>
                <w:rFonts w:eastAsia="等线" w:cs="Times New Roman"/>
                <w:b/>
                <w:color w:val="000000"/>
                <w:szCs w:val="21"/>
              </w:rPr>
              <w:t>ICD-10 Code</w:t>
            </w:r>
            <w:r>
              <w:rPr>
                <w:rFonts w:hint="eastAsia" w:eastAsia="等线" w:cs="Times New Roman"/>
                <w:b/>
                <w:color w:val="000000"/>
                <w:szCs w:val="21"/>
              </w:rPr>
              <w:t>s</w:t>
            </w:r>
          </w:p>
        </w:tc>
        <w:tc>
          <w:tcPr>
            <w:tcW w:w="2261" w:type="dxa"/>
            <w:tcBorders>
              <w:top w:val="single" w:color="auto" w:sz="8" w:space="0"/>
              <w:left w:val="nil"/>
              <w:bottom w:val="single" w:color="auto" w:sz="4" w:space="0"/>
              <w:right w:val="nil"/>
            </w:tcBorders>
          </w:tcPr>
          <w:p>
            <w:pPr>
              <w:spacing w:line="360" w:lineRule="auto"/>
              <w:jc w:val="both"/>
              <w:rPr>
                <w:rFonts w:eastAsia="等线" w:cs="Times New Roman"/>
                <w:b/>
                <w:color w:val="000000"/>
                <w:szCs w:val="21"/>
              </w:rPr>
            </w:pPr>
            <w:r>
              <w:rPr>
                <w:rFonts w:eastAsia="等线" w:cs="Times New Roman"/>
                <w:b/>
                <w:color w:val="000000"/>
                <w:szCs w:val="21"/>
              </w:rPr>
              <w:t>UKB Field</w:t>
            </w:r>
          </w:p>
        </w:tc>
      </w:tr>
      <w:tr>
        <w:tblPrEx>
          <w:tblCellMar>
            <w:top w:w="0" w:type="dxa"/>
            <w:left w:w="108" w:type="dxa"/>
            <w:bottom w:w="0" w:type="dxa"/>
            <w:right w:w="108" w:type="dxa"/>
          </w:tblCellMar>
        </w:tblPrEx>
        <w:trPr>
          <w:trHeight w:val="509" w:hRule="atLeast"/>
        </w:trPr>
        <w:tc>
          <w:tcPr>
            <w:tcW w:w="0" w:type="auto"/>
            <w:tcBorders>
              <w:top w:val="single" w:color="auto" w:sz="4" w:space="0"/>
              <w:left w:val="nil"/>
              <w:bottom w:val="single" w:color="auto" w:sz="8" w:space="0"/>
              <w:right w:val="nil"/>
            </w:tcBorders>
          </w:tcPr>
          <w:p>
            <w:pPr>
              <w:spacing w:line="360" w:lineRule="auto"/>
              <w:rPr>
                <w:rFonts w:cs="Times New Roman"/>
                <w:szCs w:val="21"/>
              </w:rPr>
            </w:pPr>
            <w:r>
              <w:rPr>
                <w:rFonts w:cs="Times New Roman"/>
                <w:szCs w:val="21"/>
              </w:rPr>
              <w:t>Epilepsy</w:t>
            </w:r>
          </w:p>
        </w:tc>
        <w:tc>
          <w:tcPr>
            <w:tcW w:w="0" w:type="auto"/>
            <w:tcBorders>
              <w:top w:val="single" w:color="auto" w:sz="4" w:space="0"/>
              <w:left w:val="nil"/>
              <w:bottom w:val="single" w:color="auto" w:sz="8" w:space="0"/>
              <w:right w:val="nil"/>
            </w:tcBorders>
          </w:tcPr>
          <w:p>
            <w:pPr>
              <w:spacing w:line="360" w:lineRule="auto"/>
              <w:rPr>
                <w:rFonts w:cs="Times New Roman"/>
                <w:szCs w:val="21"/>
              </w:rPr>
            </w:pPr>
            <w:r>
              <w:rPr>
                <w:rFonts w:cs="Times New Roman"/>
                <w:szCs w:val="21"/>
              </w:rPr>
              <w:t>345.0, 345.1, 345.2, 345.3, 345.4, 345.5, 345.7, 345.9</w:t>
            </w:r>
          </w:p>
        </w:tc>
        <w:tc>
          <w:tcPr>
            <w:tcW w:w="3522" w:type="dxa"/>
            <w:tcBorders>
              <w:top w:val="single" w:color="auto" w:sz="4" w:space="0"/>
              <w:left w:val="nil"/>
              <w:bottom w:val="single" w:color="auto" w:sz="8" w:space="0"/>
              <w:right w:val="nil"/>
            </w:tcBorders>
          </w:tcPr>
          <w:p>
            <w:pPr>
              <w:spacing w:line="360" w:lineRule="auto"/>
              <w:rPr>
                <w:rFonts w:cs="Times New Roman"/>
                <w:szCs w:val="21"/>
              </w:rPr>
            </w:pPr>
            <w:r>
              <w:rPr>
                <w:rFonts w:cs="Times New Roman"/>
                <w:szCs w:val="21"/>
              </w:rPr>
              <w:t>G40, G40.1, G40.2, G40.3, G40.4, G40.5, G40.6, G40.7, G40.8, G40.9, G41.0, G41.1, G41.2, G41.8, G41.9</w:t>
            </w:r>
          </w:p>
        </w:tc>
        <w:tc>
          <w:tcPr>
            <w:tcW w:w="2261" w:type="dxa"/>
            <w:tcBorders>
              <w:top w:val="single" w:color="auto" w:sz="4" w:space="0"/>
              <w:left w:val="nil"/>
              <w:bottom w:val="single" w:color="auto" w:sz="8" w:space="0"/>
              <w:right w:val="nil"/>
            </w:tcBorders>
          </w:tcPr>
          <w:p>
            <w:pPr>
              <w:spacing w:line="360" w:lineRule="auto"/>
              <w:rPr>
                <w:rFonts w:cs="Times New Roman"/>
                <w:szCs w:val="21"/>
              </w:rPr>
            </w:pPr>
            <w:r>
              <w:rPr>
                <w:rFonts w:cs="Times New Roman"/>
                <w:szCs w:val="21"/>
              </w:rPr>
              <w:t>20002, 20008, 40000, 40001, 40002, 41270, 41271, 41280, 41281, 131048</w:t>
            </w:r>
          </w:p>
        </w:tc>
      </w:tr>
    </w:tbl>
    <w:p>
      <w:pPr>
        <w:spacing w:line="360" w:lineRule="auto"/>
        <w:rPr>
          <w:rFonts w:cs="Times New Roman"/>
          <w:szCs w:val="21"/>
        </w:rPr>
        <w:sectPr>
          <w:pgSz w:w="12240" w:h="15840"/>
          <w:pgMar w:top="1440" w:right="1800" w:bottom="1440" w:left="1800" w:header="720" w:footer="720" w:gutter="0"/>
          <w:cols w:space="720" w:num="1"/>
          <w:docGrid w:linePitch="326" w:charSpace="0"/>
        </w:sectPr>
      </w:pPr>
      <w:r>
        <w:rPr>
          <w:rFonts w:cs="Times New Roman"/>
          <w:szCs w:val="21"/>
        </w:rPr>
        <w:t>Abbreviations: ICD, International Classification of Diseases</w:t>
      </w:r>
      <w:r>
        <w:rPr>
          <w:rFonts w:hint="eastAsia" w:cs="Times New Roman"/>
          <w:szCs w:val="21"/>
        </w:rPr>
        <w:t>; UKB, UK biobank.</w:t>
      </w:r>
    </w:p>
    <w:p>
      <w:pPr>
        <w:pStyle w:val="49"/>
        <w:spacing w:line="360" w:lineRule="auto"/>
      </w:pPr>
      <w:bookmarkStart w:id="17" w:name="_Toc196124148"/>
      <w:bookmarkStart w:id="18" w:name="_Toc196124119"/>
      <w:bookmarkStart w:id="19" w:name="_Toc196123186"/>
      <w:r>
        <w:rPr>
          <w:rFonts w:hint="eastAsia"/>
        </w:rPr>
        <w:t>S4</w:t>
      </w:r>
      <w:r>
        <w:t xml:space="preserve"> Table. </w:t>
      </w:r>
      <w:r>
        <w:rPr>
          <w:rFonts w:hint="eastAsia"/>
        </w:rPr>
        <w:t xml:space="preserve">Summary results of </w:t>
      </w:r>
      <w:r>
        <w:t>20</w:t>
      </w:r>
      <w:r>
        <w:rPr>
          <w:rFonts w:hint="eastAsia"/>
        </w:rPr>
        <w:t xml:space="preserve"> SNPs used for </w:t>
      </w:r>
      <w:r>
        <w:t xml:space="preserve">constructing </w:t>
      </w:r>
      <w:r>
        <w:rPr>
          <w:rFonts w:hint="eastAsia"/>
        </w:rPr>
        <w:t>polygenic risk score</w:t>
      </w:r>
      <w:r>
        <w:t>.</w:t>
      </w:r>
      <w:bookmarkEnd w:id="17"/>
      <w:bookmarkEnd w:id="18"/>
      <w:bookmarkEnd w:id="19"/>
    </w:p>
    <w:tbl>
      <w:tblPr>
        <w:tblStyle w:val="25"/>
        <w:tblW w:w="4645" w:type="pct"/>
        <w:tblInd w:w="0" w:type="dxa"/>
        <w:tblLayout w:type="autofit"/>
        <w:tblCellMar>
          <w:top w:w="0" w:type="dxa"/>
          <w:left w:w="108" w:type="dxa"/>
          <w:bottom w:w="0" w:type="dxa"/>
          <w:right w:w="108" w:type="dxa"/>
        </w:tblCellMar>
      </w:tblPr>
      <w:tblGrid>
        <w:gridCol w:w="769"/>
        <w:gridCol w:w="945"/>
        <w:gridCol w:w="1917"/>
        <w:gridCol w:w="1711"/>
        <w:gridCol w:w="913"/>
        <w:gridCol w:w="879"/>
        <w:gridCol w:w="1158"/>
        <w:gridCol w:w="2027"/>
        <w:gridCol w:w="1922"/>
      </w:tblGrid>
      <w:tr>
        <w:tblPrEx>
          <w:tblCellMar>
            <w:top w:w="0" w:type="dxa"/>
            <w:left w:w="108" w:type="dxa"/>
            <w:bottom w:w="0" w:type="dxa"/>
            <w:right w:w="108" w:type="dxa"/>
          </w:tblCellMar>
        </w:tblPrEx>
        <w:trPr>
          <w:trHeight w:val="299" w:hRule="atLeast"/>
        </w:trPr>
        <w:tc>
          <w:tcPr>
            <w:tcW w:w="314" w:type="pct"/>
            <w:tcBorders>
              <w:top w:val="single" w:color="auto" w:sz="8" w:space="0"/>
              <w:left w:val="nil"/>
              <w:bottom w:val="single" w:color="auto" w:sz="4" w:space="0"/>
              <w:right w:val="nil"/>
            </w:tcBorders>
            <w:shd w:val="clear" w:color="auto" w:fill="auto"/>
            <w:noWrap/>
          </w:tcPr>
          <w:p>
            <w:pPr>
              <w:jc w:val="both"/>
              <w:rPr>
                <w:rFonts w:cs="Times New Roman"/>
                <w:color w:val="000000"/>
                <w:szCs w:val="21"/>
              </w:rPr>
            </w:pPr>
            <w:r>
              <w:rPr>
                <w:rFonts w:cs="Times New Roman"/>
                <w:color w:val="000000"/>
                <w:szCs w:val="21"/>
              </w:rPr>
              <w:t>No.</w:t>
            </w:r>
          </w:p>
        </w:tc>
        <w:tc>
          <w:tcPr>
            <w:tcW w:w="386" w:type="pct"/>
            <w:tcBorders>
              <w:top w:val="single" w:color="auto" w:sz="8" w:space="0"/>
              <w:left w:val="nil"/>
              <w:bottom w:val="single" w:color="auto" w:sz="4" w:space="0"/>
              <w:right w:val="nil"/>
            </w:tcBorders>
            <w:shd w:val="clear" w:color="auto" w:fill="auto"/>
            <w:noWrap/>
          </w:tcPr>
          <w:p>
            <w:pPr>
              <w:jc w:val="both"/>
              <w:rPr>
                <w:rFonts w:cs="Times New Roman"/>
                <w:color w:val="000000"/>
                <w:szCs w:val="21"/>
              </w:rPr>
            </w:pPr>
            <w:r>
              <w:rPr>
                <w:rFonts w:cs="Times New Roman"/>
                <w:color w:val="000000"/>
                <w:szCs w:val="21"/>
              </w:rPr>
              <w:t>CHR</w:t>
            </w:r>
          </w:p>
        </w:tc>
        <w:tc>
          <w:tcPr>
            <w:tcW w:w="783" w:type="pct"/>
            <w:tcBorders>
              <w:top w:val="single" w:color="auto" w:sz="8" w:space="0"/>
              <w:left w:val="nil"/>
              <w:bottom w:val="single" w:color="auto" w:sz="4" w:space="0"/>
              <w:right w:val="nil"/>
            </w:tcBorders>
            <w:shd w:val="clear" w:color="auto" w:fill="auto"/>
            <w:noWrap/>
          </w:tcPr>
          <w:p>
            <w:pPr>
              <w:jc w:val="both"/>
              <w:rPr>
                <w:rFonts w:cs="Times New Roman"/>
                <w:color w:val="000000"/>
                <w:szCs w:val="21"/>
              </w:rPr>
            </w:pPr>
            <w:r>
              <w:rPr>
                <w:rFonts w:cs="Times New Roman"/>
                <w:color w:val="000000"/>
                <w:szCs w:val="21"/>
              </w:rPr>
              <w:t>SNP</w:t>
            </w:r>
          </w:p>
        </w:tc>
        <w:tc>
          <w:tcPr>
            <w:tcW w:w="699" w:type="pct"/>
            <w:tcBorders>
              <w:top w:val="single" w:color="auto" w:sz="8" w:space="0"/>
              <w:left w:val="nil"/>
              <w:bottom w:val="single" w:color="auto" w:sz="4" w:space="0"/>
              <w:right w:val="nil"/>
            </w:tcBorders>
            <w:shd w:val="clear" w:color="auto" w:fill="auto"/>
            <w:noWrap/>
          </w:tcPr>
          <w:p>
            <w:pPr>
              <w:jc w:val="both"/>
              <w:rPr>
                <w:rFonts w:cs="Times New Roman"/>
                <w:color w:val="000000"/>
                <w:szCs w:val="21"/>
              </w:rPr>
            </w:pPr>
            <w:r>
              <w:rPr>
                <w:rFonts w:cs="Times New Roman"/>
                <w:color w:val="000000"/>
                <w:szCs w:val="21"/>
              </w:rPr>
              <w:t>POSITION</w:t>
            </w:r>
          </w:p>
        </w:tc>
        <w:tc>
          <w:tcPr>
            <w:tcW w:w="373" w:type="pct"/>
            <w:tcBorders>
              <w:top w:val="single" w:color="auto" w:sz="8" w:space="0"/>
              <w:left w:val="nil"/>
              <w:bottom w:val="single" w:color="auto" w:sz="4" w:space="0"/>
              <w:right w:val="nil"/>
            </w:tcBorders>
            <w:shd w:val="clear" w:color="auto" w:fill="auto"/>
            <w:noWrap/>
          </w:tcPr>
          <w:p>
            <w:pPr>
              <w:jc w:val="both"/>
              <w:rPr>
                <w:rFonts w:cs="Times New Roman"/>
                <w:color w:val="000000"/>
                <w:szCs w:val="21"/>
              </w:rPr>
            </w:pPr>
            <w:r>
              <w:rPr>
                <w:rFonts w:cs="Times New Roman"/>
                <w:color w:val="000000"/>
                <w:szCs w:val="21"/>
              </w:rPr>
              <w:t>ALT</w:t>
            </w:r>
          </w:p>
        </w:tc>
        <w:tc>
          <w:tcPr>
            <w:tcW w:w="359" w:type="pct"/>
            <w:tcBorders>
              <w:top w:val="single" w:color="auto" w:sz="8" w:space="0"/>
              <w:left w:val="nil"/>
              <w:bottom w:val="single" w:color="auto" w:sz="4" w:space="0"/>
              <w:right w:val="nil"/>
            </w:tcBorders>
            <w:shd w:val="clear" w:color="auto" w:fill="auto"/>
            <w:noWrap/>
          </w:tcPr>
          <w:p>
            <w:pPr>
              <w:jc w:val="both"/>
              <w:rPr>
                <w:rFonts w:cs="Times New Roman"/>
                <w:color w:val="000000"/>
                <w:szCs w:val="21"/>
              </w:rPr>
            </w:pPr>
            <w:r>
              <w:rPr>
                <w:rFonts w:cs="Times New Roman"/>
                <w:color w:val="000000"/>
                <w:szCs w:val="21"/>
              </w:rPr>
              <w:t>REF</w:t>
            </w:r>
          </w:p>
        </w:tc>
        <w:tc>
          <w:tcPr>
            <w:tcW w:w="473" w:type="pct"/>
            <w:tcBorders>
              <w:top w:val="single" w:color="auto" w:sz="8" w:space="0"/>
              <w:left w:val="nil"/>
              <w:bottom w:val="single" w:color="auto" w:sz="4" w:space="0"/>
              <w:right w:val="nil"/>
            </w:tcBorders>
            <w:shd w:val="clear" w:color="auto" w:fill="auto"/>
            <w:noWrap/>
          </w:tcPr>
          <w:p>
            <w:pPr>
              <w:jc w:val="both"/>
              <w:rPr>
                <w:rFonts w:cs="Times New Roman"/>
                <w:color w:val="000000"/>
                <w:szCs w:val="21"/>
              </w:rPr>
            </w:pPr>
            <w:r>
              <w:rPr>
                <w:rFonts w:cs="Times New Roman"/>
                <w:color w:val="000000"/>
                <w:szCs w:val="21"/>
              </w:rPr>
              <w:t>EAF</w:t>
            </w:r>
          </w:p>
        </w:tc>
        <w:tc>
          <w:tcPr>
            <w:tcW w:w="828" w:type="pct"/>
            <w:tcBorders>
              <w:top w:val="single" w:color="auto" w:sz="8" w:space="0"/>
              <w:left w:val="nil"/>
              <w:bottom w:val="single" w:color="auto" w:sz="4" w:space="0"/>
              <w:right w:val="nil"/>
            </w:tcBorders>
            <w:shd w:val="clear" w:color="auto" w:fill="auto"/>
            <w:noWrap/>
          </w:tcPr>
          <w:p>
            <w:pPr>
              <w:jc w:val="both"/>
              <w:rPr>
                <w:rFonts w:cs="Times New Roman"/>
                <w:color w:val="000000"/>
                <w:szCs w:val="21"/>
              </w:rPr>
            </w:pPr>
            <w:r>
              <w:rPr>
                <w:rFonts w:cs="Times New Roman"/>
                <w:color w:val="000000"/>
                <w:szCs w:val="21"/>
              </w:rPr>
              <w:t>BETA</w:t>
            </w:r>
          </w:p>
        </w:tc>
        <w:tc>
          <w:tcPr>
            <w:tcW w:w="785" w:type="pct"/>
            <w:tcBorders>
              <w:top w:val="single" w:color="auto" w:sz="8" w:space="0"/>
              <w:left w:val="nil"/>
              <w:bottom w:val="single" w:color="auto" w:sz="4" w:space="0"/>
              <w:right w:val="nil"/>
            </w:tcBorders>
            <w:shd w:val="clear" w:color="auto" w:fill="auto"/>
            <w:noWrap/>
          </w:tcPr>
          <w:p>
            <w:pPr>
              <w:jc w:val="both"/>
              <w:rPr>
                <w:rFonts w:cs="Times New Roman"/>
                <w:color w:val="000000"/>
                <w:szCs w:val="21"/>
              </w:rPr>
            </w:pPr>
            <w:r>
              <w:rPr>
                <w:rFonts w:cs="Times New Roman"/>
                <w:color w:val="000000"/>
                <w:szCs w:val="21"/>
              </w:rPr>
              <w:t>OR</w:t>
            </w:r>
          </w:p>
        </w:tc>
      </w:tr>
      <w:tr>
        <w:tblPrEx>
          <w:tblCellMar>
            <w:top w:w="0" w:type="dxa"/>
            <w:left w:w="108" w:type="dxa"/>
            <w:bottom w:w="0" w:type="dxa"/>
            <w:right w:w="108" w:type="dxa"/>
          </w:tblCellMar>
        </w:tblPrEx>
        <w:trPr>
          <w:trHeight w:val="299" w:hRule="atLeast"/>
        </w:trPr>
        <w:tc>
          <w:tcPr>
            <w:tcW w:w="314" w:type="pct"/>
            <w:tcBorders>
              <w:top w:val="single" w:color="auto" w:sz="4" w:space="0"/>
              <w:left w:val="nil"/>
              <w:bottom w:val="nil"/>
              <w:right w:val="nil"/>
            </w:tcBorders>
            <w:shd w:val="clear" w:color="auto" w:fill="auto"/>
            <w:noWrap/>
          </w:tcPr>
          <w:p>
            <w:pPr>
              <w:jc w:val="both"/>
              <w:rPr>
                <w:rFonts w:cs="Times New Roman"/>
                <w:color w:val="000000"/>
                <w:szCs w:val="21"/>
              </w:rPr>
            </w:pPr>
            <w:r>
              <w:rPr>
                <w:rFonts w:cs="Times New Roman"/>
                <w:color w:val="000000"/>
                <w:szCs w:val="21"/>
              </w:rPr>
              <w:t>1</w:t>
            </w:r>
          </w:p>
        </w:tc>
        <w:tc>
          <w:tcPr>
            <w:tcW w:w="386" w:type="pct"/>
            <w:tcBorders>
              <w:top w:val="single" w:color="auto" w:sz="4" w:space="0"/>
              <w:left w:val="nil"/>
              <w:bottom w:val="nil"/>
              <w:right w:val="nil"/>
            </w:tcBorders>
            <w:shd w:val="clear" w:color="auto" w:fill="auto"/>
            <w:noWrap/>
          </w:tcPr>
          <w:p>
            <w:pPr>
              <w:jc w:val="both"/>
              <w:rPr>
                <w:rFonts w:cs="Times New Roman"/>
                <w:color w:val="000000"/>
                <w:szCs w:val="21"/>
              </w:rPr>
            </w:pPr>
            <w:r>
              <w:rPr>
                <w:rFonts w:cs="Times New Roman"/>
                <w:color w:val="000000"/>
                <w:szCs w:val="21"/>
              </w:rPr>
              <w:t>1</w:t>
            </w:r>
          </w:p>
        </w:tc>
        <w:tc>
          <w:tcPr>
            <w:tcW w:w="783" w:type="pct"/>
            <w:tcBorders>
              <w:top w:val="single" w:color="auto" w:sz="4" w:space="0"/>
              <w:left w:val="nil"/>
              <w:bottom w:val="nil"/>
              <w:right w:val="nil"/>
            </w:tcBorders>
            <w:shd w:val="clear" w:color="auto" w:fill="auto"/>
            <w:noWrap/>
          </w:tcPr>
          <w:p>
            <w:pPr>
              <w:jc w:val="both"/>
              <w:rPr>
                <w:rFonts w:cs="Times New Roman"/>
                <w:color w:val="000000"/>
                <w:szCs w:val="21"/>
              </w:rPr>
            </w:pPr>
            <w:r>
              <w:rPr>
                <w:rFonts w:cs="Times New Roman"/>
                <w:color w:val="000000"/>
                <w:szCs w:val="21"/>
              </w:rPr>
              <w:t>rs876793</w:t>
            </w:r>
          </w:p>
        </w:tc>
        <w:tc>
          <w:tcPr>
            <w:tcW w:w="699" w:type="pct"/>
            <w:tcBorders>
              <w:top w:val="single" w:color="auto" w:sz="4" w:space="0"/>
              <w:left w:val="nil"/>
              <w:bottom w:val="nil"/>
              <w:right w:val="nil"/>
            </w:tcBorders>
            <w:shd w:val="clear" w:color="auto" w:fill="auto"/>
            <w:noWrap/>
          </w:tcPr>
          <w:p>
            <w:pPr>
              <w:jc w:val="both"/>
              <w:rPr>
                <w:rFonts w:cs="Times New Roman"/>
                <w:color w:val="000000"/>
                <w:szCs w:val="21"/>
              </w:rPr>
            </w:pPr>
            <w:r>
              <w:rPr>
                <w:rFonts w:cs="Times New Roman"/>
                <w:color w:val="000000"/>
                <w:szCs w:val="21"/>
              </w:rPr>
              <w:t>237852083</w:t>
            </w:r>
          </w:p>
        </w:tc>
        <w:tc>
          <w:tcPr>
            <w:tcW w:w="373" w:type="pct"/>
            <w:tcBorders>
              <w:top w:val="single" w:color="auto" w:sz="4" w:space="0"/>
              <w:left w:val="nil"/>
              <w:bottom w:val="nil"/>
              <w:right w:val="nil"/>
            </w:tcBorders>
            <w:shd w:val="clear" w:color="auto" w:fill="auto"/>
            <w:noWrap/>
          </w:tcPr>
          <w:p>
            <w:pPr>
              <w:jc w:val="both"/>
              <w:rPr>
                <w:rFonts w:cs="Times New Roman"/>
                <w:color w:val="000000"/>
                <w:szCs w:val="21"/>
              </w:rPr>
            </w:pPr>
            <w:r>
              <w:rPr>
                <w:rFonts w:cs="Times New Roman"/>
                <w:color w:val="000000"/>
                <w:szCs w:val="21"/>
              </w:rPr>
              <w:t>T</w:t>
            </w:r>
          </w:p>
        </w:tc>
        <w:tc>
          <w:tcPr>
            <w:tcW w:w="359" w:type="pct"/>
            <w:tcBorders>
              <w:top w:val="single" w:color="auto" w:sz="4" w:space="0"/>
              <w:left w:val="nil"/>
              <w:bottom w:val="nil"/>
              <w:right w:val="nil"/>
            </w:tcBorders>
            <w:shd w:val="clear" w:color="auto" w:fill="auto"/>
            <w:noWrap/>
          </w:tcPr>
          <w:p>
            <w:pPr>
              <w:jc w:val="both"/>
              <w:rPr>
                <w:rFonts w:cs="Times New Roman"/>
                <w:color w:val="000000"/>
                <w:szCs w:val="21"/>
              </w:rPr>
            </w:pPr>
            <w:r>
              <w:rPr>
                <w:rFonts w:cs="Times New Roman"/>
                <w:color w:val="000000"/>
                <w:szCs w:val="21"/>
              </w:rPr>
              <w:t>C</w:t>
            </w:r>
          </w:p>
        </w:tc>
        <w:tc>
          <w:tcPr>
            <w:tcW w:w="473" w:type="pct"/>
            <w:tcBorders>
              <w:top w:val="single" w:color="auto" w:sz="4" w:space="0"/>
              <w:left w:val="nil"/>
              <w:bottom w:val="nil"/>
              <w:right w:val="nil"/>
            </w:tcBorders>
            <w:shd w:val="clear" w:color="auto" w:fill="auto"/>
            <w:noWrap/>
          </w:tcPr>
          <w:p>
            <w:pPr>
              <w:jc w:val="both"/>
              <w:rPr>
                <w:rFonts w:cs="Times New Roman"/>
                <w:color w:val="000000"/>
                <w:szCs w:val="21"/>
              </w:rPr>
            </w:pPr>
            <w:r>
              <w:rPr>
                <w:rFonts w:cs="Times New Roman"/>
                <w:color w:val="000000"/>
                <w:szCs w:val="21"/>
              </w:rPr>
              <w:t>0.6680</w:t>
            </w:r>
          </w:p>
        </w:tc>
        <w:tc>
          <w:tcPr>
            <w:tcW w:w="828" w:type="pct"/>
            <w:tcBorders>
              <w:top w:val="single" w:color="auto" w:sz="4" w:space="0"/>
              <w:left w:val="nil"/>
              <w:bottom w:val="nil"/>
              <w:right w:val="nil"/>
            </w:tcBorders>
            <w:shd w:val="clear" w:color="auto" w:fill="auto"/>
            <w:noWrap/>
          </w:tcPr>
          <w:p>
            <w:pPr>
              <w:jc w:val="both"/>
              <w:rPr>
                <w:rFonts w:cs="Times New Roman"/>
                <w:color w:val="000000"/>
                <w:szCs w:val="21"/>
              </w:rPr>
            </w:pPr>
            <w:r>
              <w:rPr>
                <w:rFonts w:cs="Times New Roman"/>
                <w:color w:val="000000"/>
                <w:szCs w:val="21"/>
              </w:rPr>
              <w:t>-0.055422122</w:t>
            </w:r>
          </w:p>
        </w:tc>
        <w:tc>
          <w:tcPr>
            <w:tcW w:w="785" w:type="pct"/>
            <w:tcBorders>
              <w:top w:val="single" w:color="auto" w:sz="4" w:space="0"/>
              <w:left w:val="nil"/>
              <w:bottom w:val="nil"/>
              <w:right w:val="nil"/>
            </w:tcBorders>
            <w:shd w:val="clear" w:color="auto" w:fill="auto"/>
            <w:noWrap/>
          </w:tcPr>
          <w:p>
            <w:pPr>
              <w:jc w:val="both"/>
              <w:rPr>
                <w:rFonts w:cs="Times New Roman"/>
                <w:color w:val="000000"/>
                <w:szCs w:val="21"/>
              </w:rPr>
            </w:pPr>
            <w:r>
              <w:rPr>
                <w:rFonts w:cs="Times New Roman"/>
                <w:color w:val="000000"/>
                <w:szCs w:val="21"/>
              </w:rPr>
              <w:t>0.946085700</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2</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2</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rs62151809</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104433256</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C</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0.4326</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0.059917735</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1.061749198</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3</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2</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rs11890028</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166943277</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G</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0.7246</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0.055338182</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1.056897979</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4</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2</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rs6721964</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191578354</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A</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G</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0.6647</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-0.057372358</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0.944242408</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5</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3</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rs9861238</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36326023</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A</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G</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0.4142</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-0.057172479</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0.944431161</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6</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3</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rs739431</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50255305</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A</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G</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0.8411</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0.074662638</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1.077520575</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7</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5</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rs4596374</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114221505</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C</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0.5451</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-0.061468139</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0.940382907</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8</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5</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rs2905552</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136629284</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C</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G</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0.4777</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-0.055539153</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0.945974985</w:t>
            </w:r>
          </w:p>
        </w:tc>
      </w:tr>
      <w:tr>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9</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6</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rs13219424</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128332084</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C</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0.2967</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-0.052773715</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0.948594641</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10</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7</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rs37276</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41343524</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G</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0.2606</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-0.056824526</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0.944759835</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11</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9</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rs2780103</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86574568</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C</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0.2615</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-0.069094610</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0.933238382</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12</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10</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rs11191156</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103702763</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A</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G</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0.6706</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-0.070394052</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0.932026481</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13</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12</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rs114131287</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52332323</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A</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0.0216</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0.175952763</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1.192381733</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14</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12</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rs4762030</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52323461</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G</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0.0214</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0.186891914</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1.205496981</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15</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12</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rs10431492</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52326051</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G</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0.4009</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-0.048975736</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0.952204234</w:t>
            </w:r>
          </w:p>
        </w:tc>
      </w:tr>
      <w:tr>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16</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16</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rs62014006</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7344941</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G</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0.4666</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0.051640936</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1.052997581</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17</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17</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rs16955463</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46399497</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G</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0.2503</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-0.060483782</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0.941309035</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18</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19</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rs75483641</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2123928</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C</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0.1449</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-0.077531250</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0.925398106</w:t>
            </w:r>
          </w:p>
        </w:tc>
      </w:tr>
      <w:tr>
        <w:tblPrEx>
          <w:tblCellMar>
            <w:top w:w="0" w:type="dxa"/>
            <w:left w:w="108" w:type="dxa"/>
            <w:bottom w:w="0" w:type="dxa"/>
            <w:right w:w="108" w:type="dxa"/>
          </w:tblCellMar>
        </w:tblPrEx>
        <w:trPr>
          <w:trHeight w:val="299" w:hRule="atLeast"/>
        </w:trPr>
        <w:tc>
          <w:tcPr>
            <w:tcW w:w="314"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19</w:t>
            </w:r>
          </w:p>
        </w:tc>
        <w:tc>
          <w:tcPr>
            <w:tcW w:w="386"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21</w:t>
            </w:r>
          </w:p>
        </w:tc>
        <w:tc>
          <w:tcPr>
            <w:tcW w:w="78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rs1487946</w:t>
            </w:r>
          </w:p>
        </w:tc>
        <w:tc>
          <w:tcPr>
            <w:tcW w:w="69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21675842</w:t>
            </w:r>
          </w:p>
        </w:tc>
        <w:tc>
          <w:tcPr>
            <w:tcW w:w="3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A</w:t>
            </w:r>
          </w:p>
        </w:tc>
        <w:tc>
          <w:tcPr>
            <w:tcW w:w="359"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G</w:t>
            </w:r>
          </w:p>
        </w:tc>
        <w:tc>
          <w:tcPr>
            <w:tcW w:w="473"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0.5872</w:t>
            </w:r>
          </w:p>
        </w:tc>
        <w:tc>
          <w:tcPr>
            <w:tcW w:w="828"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0.048760151</w:t>
            </w:r>
          </w:p>
        </w:tc>
        <w:tc>
          <w:tcPr>
            <w:tcW w:w="785" w:type="pct"/>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1.049968487</w:t>
            </w:r>
          </w:p>
        </w:tc>
      </w:tr>
      <w:tr>
        <w:tblPrEx>
          <w:tblCellMar>
            <w:top w:w="0" w:type="dxa"/>
            <w:left w:w="108" w:type="dxa"/>
            <w:bottom w:w="0" w:type="dxa"/>
            <w:right w:w="108" w:type="dxa"/>
          </w:tblCellMar>
        </w:tblPrEx>
        <w:trPr>
          <w:trHeight w:val="299" w:hRule="atLeast"/>
        </w:trPr>
        <w:tc>
          <w:tcPr>
            <w:tcW w:w="314" w:type="pct"/>
            <w:tcBorders>
              <w:top w:val="nil"/>
              <w:left w:val="nil"/>
              <w:bottom w:val="single" w:color="auto" w:sz="8" w:space="0"/>
              <w:right w:val="nil"/>
            </w:tcBorders>
            <w:shd w:val="clear" w:color="auto" w:fill="auto"/>
            <w:noWrap/>
          </w:tcPr>
          <w:p>
            <w:pPr>
              <w:jc w:val="both"/>
              <w:rPr>
                <w:rFonts w:cs="Times New Roman"/>
                <w:color w:val="000000"/>
                <w:szCs w:val="21"/>
              </w:rPr>
            </w:pPr>
            <w:r>
              <w:rPr>
                <w:rFonts w:cs="Times New Roman"/>
                <w:color w:val="000000"/>
                <w:szCs w:val="21"/>
              </w:rPr>
              <w:t>20</w:t>
            </w:r>
          </w:p>
        </w:tc>
        <w:tc>
          <w:tcPr>
            <w:tcW w:w="386" w:type="pct"/>
            <w:tcBorders>
              <w:top w:val="nil"/>
              <w:left w:val="nil"/>
              <w:bottom w:val="single" w:color="auto" w:sz="8" w:space="0"/>
              <w:right w:val="nil"/>
            </w:tcBorders>
            <w:shd w:val="clear" w:color="auto" w:fill="auto"/>
            <w:noWrap/>
          </w:tcPr>
          <w:p>
            <w:pPr>
              <w:jc w:val="both"/>
              <w:rPr>
                <w:rFonts w:cs="Times New Roman"/>
                <w:color w:val="000000"/>
                <w:szCs w:val="21"/>
              </w:rPr>
            </w:pPr>
            <w:r>
              <w:rPr>
                <w:rFonts w:cs="Times New Roman"/>
                <w:color w:val="000000"/>
                <w:szCs w:val="21"/>
              </w:rPr>
              <w:t>21</w:t>
            </w:r>
          </w:p>
        </w:tc>
        <w:tc>
          <w:tcPr>
            <w:tcW w:w="783" w:type="pct"/>
            <w:tcBorders>
              <w:top w:val="nil"/>
              <w:left w:val="nil"/>
              <w:bottom w:val="single" w:color="auto" w:sz="8" w:space="0"/>
              <w:right w:val="nil"/>
            </w:tcBorders>
            <w:shd w:val="clear" w:color="auto" w:fill="auto"/>
            <w:noWrap/>
          </w:tcPr>
          <w:p>
            <w:pPr>
              <w:jc w:val="both"/>
              <w:rPr>
                <w:rFonts w:cs="Times New Roman"/>
                <w:color w:val="000000"/>
                <w:szCs w:val="21"/>
              </w:rPr>
            </w:pPr>
            <w:r>
              <w:rPr>
                <w:rFonts w:cs="Times New Roman"/>
                <w:color w:val="000000"/>
                <w:szCs w:val="21"/>
              </w:rPr>
              <w:t>rs7277479</w:t>
            </w:r>
          </w:p>
        </w:tc>
        <w:tc>
          <w:tcPr>
            <w:tcW w:w="699" w:type="pct"/>
            <w:tcBorders>
              <w:top w:val="nil"/>
              <w:left w:val="nil"/>
              <w:bottom w:val="single" w:color="auto" w:sz="8" w:space="0"/>
              <w:right w:val="nil"/>
            </w:tcBorders>
            <w:shd w:val="clear" w:color="auto" w:fill="auto"/>
            <w:noWrap/>
          </w:tcPr>
          <w:p>
            <w:pPr>
              <w:jc w:val="both"/>
              <w:rPr>
                <w:rFonts w:cs="Times New Roman"/>
                <w:color w:val="000000"/>
                <w:szCs w:val="21"/>
              </w:rPr>
            </w:pPr>
            <w:r>
              <w:rPr>
                <w:rFonts w:cs="Times New Roman"/>
                <w:color w:val="000000"/>
                <w:szCs w:val="21"/>
              </w:rPr>
              <w:t>32162017</w:t>
            </w:r>
          </w:p>
        </w:tc>
        <w:tc>
          <w:tcPr>
            <w:tcW w:w="373" w:type="pct"/>
            <w:tcBorders>
              <w:top w:val="nil"/>
              <w:left w:val="nil"/>
              <w:bottom w:val="single" w:color="auto" w:sz="8" w:space="0"/>
              <w:right w:val="nil"/>
            </w:tcBorders>
            <w:shd w:val="clear" w:color="auto" w:fill="auto"/>
            <w:noWrap/>
          </w:tcPr>
          <w:p>
            <w:pPr>
              <w:jc w:val="both"/>
              <w:rPr>
                <w:rFonts w:cs="Times New Roman"/>
                <w:color w:val="000000"/>
                <w:szCs w:val="21"/>
              </w:rPr>
            </w:pPr>
            <w:r>
              <w:rPr>
                <w:rFonts w:cs="Times New Roman"/>
                <w:color w:val="000000"/>
                <w:szCs w:val="21"/>
              </w:rPr>
              <w:t>A</w:t>
            </w:r>
          </w:p>
        </w:tc>
        <w:tc>
          <w:tcPr>
            <w:tcW w:w="359" w:type="pct"/>
            <w:tcBorders>
              <w:top w:val="nil"/>
              <w:left w:val="nil"/>
              <w:bottom w:val="single" w:color="auto" w:sz="8" w:space="0"/>
              <w:right w:val="nil"/>
            </w:tcBorders>
            <w:shd w:val="clear" w:color="auto" w:fill="auto"/>
            <w:noWrap/>
          </w:tcPr>
          <w:p>
            <w:pPr>
              <w:jc w:val="both"/>
              <w:rPr>
                <w:rFonts w:cs="Times New Roman"/>
                <w:color w:val="000000"/>
                <w:szCs w:val="21"/>
              </w:rPr>
            </w:pPr>
            <w:r>
              <w:rPr>
                <w:rFonts w:cs="Times New Roman"/>
                <w:color w:val="000000"/>
                <w:szCs w:val="21"/>
              </w:rPr>
              <w:t>G</w:t>
            </w:r>
          </w:p>
        </w:tc>
        <w:tc>
          <w:tcPr>
            <w:tcW w:w="473" w:type="pct"/>
            <w:tcBorders>
              <w:top w:val="nil"/>
              <w:left w:val="nil"/>
              <w:bottom w:val="single" w:color="auto" w:sz="8" w:space="0"/>
              <w:right w:val="nil"/>
            </w:tcBorders>
            <w:shd w:val="clear" w:color="auto" w:fill="auto"/>
            <w:noWrap/>
          </w:tcPr>
          <w:p>
            <w:pPr>
              <w:jc w:val="both"/>
              <w:rPr>
                <w:rFonts w:cs="Times New Roman"/>
                <w:color w:val="000000"/>
                <w:szCs w:val="21"/>
              </w:rPr>
            </w:pPr>
            <w:r>
              <w:rPr>
                <w:rFonts w:cs="Times New Roman"/>
                <w:color w:val="000000"/>
                <w:szCs w:val="21"/>
              </w:rPr>
              <w:t>0.3620</w:t>
            </w:r>
          </w:p>
        </w:tc>
        <w:tc>
          <w:tcPr>
            <w:tcW w:w="828" w:type="pct"/>
            <w:tcBorders>
              <w:top w:val="nil"/>
              <w:left w:val="nil"/>
              <w:bottom w:val="single" w:color="auto" w:sz="8" w:space="0"/>
              <w:right w:val="nil"/>
            </w:tcBorders>
            <w:shd w:val="clear" w:color="auto" w:fill="auto"/>
            <w:noWrap/>
          </w:tcPr>
          <w:p>
            <w:pPr>
              <w:jc w:val="both"/>
              <w:rPr>
                <w:rFonts w:cs="Times New Roman"/>
                <w:color w:val="000000"/>
                <w:szCs w:val="21"/>
              </w:rPr>
            </w:pPr>
            <w:r>
              <w:rPr>
                <w:rFonts w:cs="Times New Roman"/>
                <w:color w:val="000000"/>
                <w:szCs w:val="21"/>
              </w:rPr>
              <w:t>-0.062243692</w:t>
            </w:r>
          </w:p>
        </w:tc>
        <w:tc>
          <w:tcPr>
            <w:tcW w:w="785" w:type="pct"/>
            <w:tcBorders>
              <w:top w:val="nil"/>
              <w:left w:val="nil"/>
              <w:bottom w:val="single" w:color="auto" w:sz="8" w:space="0"/>
              <w:right w:val="nil"/>
            </w:tcBorders>
            <w:shd w:val="clear" w:color="auto" w:fill="auto"/>
            <w:noWrap/>
          </w:tcPr>
          <w:p>
            <w:pPr>
              <w:jc w:val="both"/>
              <w:rPr>
                <w:rFonts w:cs="Times New Roman"/>
                <w:szCs w:val="21"/>
              </w:rPr>
            </w:pPr>
            <w:r>
              <w:rPr>
                <w:rFonts w:cs="Times New Roman"/>
                <w:color w:val="000000"/>
                <w:szCs w:val="21"/>
              </w:rPr>
              <w:t>0.939653873</w:t>
            </w:r>
          </w:p>
        </w:tc>
      </w:tr>
    </w:tbl>
    <w:p>
      <w:pPr>
        <w:spacing w:line="360" w:lineRule="auto"/>
        <w:rPr>
          <w:rFonts w:cs="Times New Roman"/>
          <w:szCs w:val="21"/>
        </w:rPr>
        <w:sectPr>
          <w:pgSz w:w="15840" w:h="12240" w:orient="landscape"/>
          <w:pgMar w:top="1800" w:right="1440" w:bottom="1800" w:left="1440" w:header="720" w:footer="720" w:gutter="0"/>
          <w:cols w:space="720" w:num="1"/>
          <w:docGrid w:linePitch="326" w:charSpace="0"/>
        </w:sectPr>
      </w:pPr>
      <w:r>
        <w:rPr>
          <w:rFonts w:hint="eastAsia" w:cs="Times New Roman"/>
          <w:szCs w:val="21"/>
        </w:rPr>
        <w:t xml:space="preserve">Abbreviations: CHR, Chromosome; SNP, single nucleotide polymorphism; ALT, </w:t>
      </w:r>
      <w:r>
        <w:rPr>
          <w:rFonts w:cs="Times New Roman"/>
          <w:szCs w:val="21"/>
        </w:rPr>
        <w:t xml:space="preserve">Alternate </w:t>
      </w:r>
      <w:r>
        <w:rPr>
          <w:rFonts w:hint="eastAsia" w:cs="Times New Roman"/>
          <w:szCs w:val="21"/>
        </w:rPr>
        <w:t>a</w:t>
      </w:r>
      <w:r>
        <w:rPr>
          <w:rFonts w:cs="Times New Roman"/>
          <w:szCs w:val="21"/>
        </w:rPr>
        <w:t>llele</w:t>
      </w:r>
      <w:r>
        <w:rPr>
          <w:rFonts w:hint="eastAsia" w:cs="Times New Roman"/>
          <w:szCs w:val="21"/>
        </w:rPr>
        <w:t>; REF, Reference allele; EAF, effect allele frequency; OR, odds ratio.</w:t>
      </w:r>
    </w:p>
    <w:p>
      <w:pPr>
        <w:pStyle w:val="49"/>
        <w:spacing w:line="360" w:lineRule="auto"/>
      </w:pPr>
      <w:bookmarkStart w:id="20" w:name="_Toc196123187"/>
      <w:bookmarkStart w:id="21" w:name="_Toc196124120"/>
      <w:bookmarkStart w:id="22" w:name="_Toc196124149"/>
      <w:bookmarkStart w:id="23" w:name="OLE_LINK91"/>
      <w:r>
        <w:rPr>
          <w:bCs/>
        </w:rPr>
        <w:t>S</w:t>
      </w:r>
      <w:r>
        <w:rPr>
          <w:rFonts w:hint="eastAsia"/>
          <w:bCs/>
        </w:rPr>
        <w:t>5</w:t>
      </w:r>
      <w:r>
        <w:rPr>
          <w:bCs/>
        </w:rPr>
        <w:t xml:space="preserve"> Table. </w:t>
      </w:r>
      <w:r>
        <w:t>Disease definitions.</w:t>
      </w:r>
      <w:bookmarkEnd w:id="20"/>
      <w:bookmarkEnd w:id="21"/>
      <w:bookmarkEnd w:id="22"/>
      <w:bookmarkEnd w:id="23"/>
    </w:p>
    <w:tbl>
      <w:tblPr>
        <w:tblStyle w:val="25"/>
        <w:tblW w:w="0" w:type="auto"/>
        <w:tblInd w:w="0" w:type="dxa"/>
        <w:tblLayout w:type="autofit"/>
        <w:tblCellMar>
          <w:top w:w="0" w:type="dxa"/>
          <w:left w:w="108" w:type="dxa"/>
          <w:bottom w:w="0" w:type="dxa"/>
          <w:right w:w="108" w:type="dxa"/>
        </w:tblCellMar>
      </w:tblPr>
      <w:tblGrid>
        <w:gridCol w:w="2977"/>
        <w:gridCol w:w="1701"/>
        <w:gridCol w:w="3962"/>
      </w:tblGrid>
      <w:tr>
        <w:tblPrEx>
          <w:tblCellMar>
            <w:top w:w="0" w:type="dxa"/>
            <w:left w:w="108" w:type="dxa"/>
            <w:bottom w:w="0" w:type="dxa"/>
            <w:right w:w="108" w:type="dxa"/>
          </w:tblCellMar>
        </w:tblPrEx>
        <w:trPr>
          <w:trHeight w:val="284" w:hRule="atLeast"/>
        </w:trPr>
        <w:tc>
          <w:tcPr>
            <w:tcW w:w="2977" w:type="dxa"/>
            <w:tcBorders>
              <w:top w:val="single" w:color="auto" w:sz="8" w:space="0"/>
              <w:left w:val="nil"/>
              <w:bottom w:val="single" w:color="auto" w:sz="4" w:space="0"/>
              <w:right w:val="nil"/>
            </w:tcBorders>
            <w:shd w:val="clear" w:color="auto" w:fill="auto"/>
            <w:noWrap/>
          </w:tcPr>
          <w:p>
            <w:pPr>
              <w:spacing w:line="360" w:lineRule="auto"/>
              <w:jc w:val="both"/>
              <w:rPr>
                <w:rFonts w:eastAsia="等线" w:cs="Times New Roman"/>
                <w:b/>
                <w:color w:val="000000"/>
                <w:szCs w:val="21"/>
              </w:rPr>
            </w:pPr>
            <w:r>
              <w:rPr>
                <w:rFonts w:eastAsia="等线" w:cs="Times New Roman"/>
                <w:b/>
                <w:color w:val="000000"/>
                <w:szCs w:val="21"/>
              </w:rPr>
              <w:t>Disease</w:t>
            </w:r>
          </w:p>
        </w:tc>
        <w:tc>
          <w:tcPr>
            <w:tcW w:w="1701" w:type="dxa"/>
            <w:tcBorders>
              <w:top w:val="single" w:color="auto" w:sz="8" w:space="0"/>
              <w:left w:val="nil"/>
              <w:bottom w:val="single" w:color="auto" w:sz="4" w:space="0"/>
              <w:right w:val="nil"/>
            </w:tcBorders>
            <w:shd w:val="clear" w:color="auto" w:fill="auto"/>
            <w:noWrap/>
          </w:tcPr>
          <w:p>
            <w:pPr>
              <w:spacing w:line="360" w:lineRule="auto"/>
              <w:jc w:val="both"/>
              <w:rPr>
                <w:rFonts w:eastAsia="等线" w:cs="Times New Roman"/>
                <w:b/>
                <w:color w:val="000000"/>
                <w:szCs w:val="21"/>
              </w:rPr>
            </w:pPr>
            <w:r>
              <w:rPr>
                <w:rFonts w:eastAsia="等线" w:cs="Times New Roman"/>
                <w:b/>
                <w:color w:val="000000"/>
                <w:szCs w:val="21"/>
              </w:rPr>
              <w:t>ICD-10 Code</w:t>
            </w:r>
            <w:r>
              <w:rPr>
                <w:rFonts w:hint="eastAsia" w:eastAsia="等线" w:cs="Times New Roman"/>
                <w:b/>
                <w:color w:val="000000"/>
                <w:szCs w:val="21"/>
              </w:rPr>
              <w:t>s</w:t>
            </w:r>
          </w:p>
        </w:tc>
        <w:tc>
          <w:tcPr>
            <w:tcW w:w="3962" w:type="dxa"/>
            <w:tcBorders>
              <w:top w:val="single" w:color="auto" w:sz="8" w:space="0"/>
              <w:left w:val="nil"/>
              <w:bottom w:val="single" w:color="auto" w:sz="4" w:space="0"/>
              <w:right w:val="nil"/>
            </w:tcBorders>
          </w:tcPr>
          <w:p>
            <w:pPr>
              <w:spacing w:line="360" w:lineRule="auto"/>
              <w:jc w:val="both"/>
              <w:rPr>
                <w:rFonts w:eastAsia="等线" w:cs="Times New Roman"/>
                <w:b/>
                <w:color w:val="000000"/>
                <w:szCs w:val="21"/>
              </w:rPr>
            </w:pPr>
            <w:r>
              <w:rPr>
                <w:rFonts w:eastAsia="等线" w:cs="Times New Roman"/>
                <w:b/>
                <w:color w:val="000000"/>
                <w:szCs w:val="21"/>
                <w14:ligatures w14:val="standardContextual"/>
              </w:rPr>
              <w:t>UKB Field</w:t>
            </w:r>
          </w:p>
        </w:tc>
      </w:tr>
      <w:tr>
        <w:tblPrEx>
          <w:tblCellMar>
            <w:top w:w="0" w:type="dxa"/>
            <w:left w:w="108" w:type="dxa"/>
            <w:bottom w:w="0" w:type="dxa"/>
            <w:right w:w="108" w:type="dxa"/>
          </w:tblCellMar>
        </w:tblPrEx>
        <w:trPr>
          <w:trHeight w:val="621" w:hRule="atLeast"/>
        </w:trPr>
        <w:tc>
          <w:tcPr>
            <w:tcW w:w="2977"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cs="Times New Roman"/>
                <w:kern w:val="2"/>
                <w:szCs w:val="21"/>
              </w:rPr>
              <w:t>Hypertension</w:t>
            </w:r>
          </w:p>
        </w:tc>
        <w:tc>
          <w:tcPr>
            <w:tcW w:w="1701"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cs="Times New Roman"/>
                <w:kern w:val="2"/>
                <w:szCs w:val="21"/>
              </w:rPr>
              <w:t>I10-I13, I15</w:t>
            </w:r>
          </w:p>
        </w:tc>
        <w:tc>
          <w:tcPr>
            <w:tcW w:w="3962" w:type="dxa"/>
            <w:tcBorders>
              <w:top w:val="nil"/>
              <w:left w:val="nil"/>
              <w:bottom w:val="nil"/>
              <w:right w:val="nil"/>
            </w:tcBorders>
          </w:tcPr>
          <w:p>
            <w:pPr>
              <w:spacing w:line="360" w:lineRule="auto"/>
              <w:rPr>
                <w:rFonts w:cs="Times New Roman"/>
                <w:szCs w:val="21"/>
              </w:rPr>
            </w:pPr>
            <w:r>
              <w:rPr>
                <w:rFonts w:cs="Times New Roman"/>
                <w:szCs w:val="21"/>
              </w:rPr>
              <w:t>131286, 131287, 131288, 131289, 131290, 131291, 131292, 131293, 131294, 131295</w:t>
            </w:r>
          </w:p>
        </w:tc>
      </w:tr>
      <w:tr>
        <w:tblPrEx>
          <w:tblCellMar>
            <w:top w:w="0" w:type="dxa"/>
            <w:left w:w="108" w:type="dxa"/>
            <w:bottom w:w="0" w:type="dxa"/>
            <w:right w:w="108" w:type="dxa"/>
          </w:tblCellMar>
        </w:tblPrEx>
        <w:trPr>
          <w:trHeight w:val="621" w:hRule="atLeast"/>
        </w:trPr>
        <w:tc>
          <w:tcPr>
            <w:tcW w:w="2977" w:type="dxa"/>
            <w:tcBorders>
              <w:top w:val="nil"/>
              <w:left w:val="nil"/>
              <w:right w:val="nil"/>
            </w:tcBorders>
            <w:shd w:val="clear" w:color="auto" w:fill="auto"/>
            <w:noWrap/>
          </w:tcPr>
          <w:p>
            <w:pPr>
              <w:spacing w:line="360" w:lineRule="auto"/>
              <w:rPr>
                <w:rFonts w:eastAsia="等线" w:cs="Times New Roman"/>
                <w:color w:val="000000"/>
                <w:szCs w:val="21"/>
              </w:rPr>
            </w:pPr>
            <w:r>
              <w:rPr>
                <w:rFonts w:hint="eastAsia" w:eastAsia="等线" w:cs="Times New Roman"/>
                <w:color w:val="000000"/>
                <w:szCs w:val="21"/>
              </w:rPr>
              <w:t>Diabetes mellitus</w:t>
            </w:r>
          </w:p>
        </w:tc>
        <w:tc>
          <w:tcPr>
            <w:tcW w:w="1701" w:type="dxa"/>
            <w:tcBorders>
              <w:top w:val="nil"/>
              <w:left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E10-E14</w:t>
            </w:r>
          </w:p>
        </w:tc>
        <w:tc>
          <w:tcPr>
            <w:tcW w:w="3962" w:type="dxa"/>
            <w:tcBorders>
              <w:top w:val="nil"/>
              <w:left w:val="nil"/>
              <w:right w:val="nil"/>
            </w:tcBorders>
          </w:tcPr>
          <w:p>
            <w:pPr>
              <w:spacing w:line="360" w:lineRule="auto"/>
              <w:rPr>
                <w:rFonts w:cs="Times New Roman"/>
                <w:szCs w:val="21"/>
              </w:rPr>
            </w:pPr>
            <w:r>
              <w:rPr>
                <w:rFonts w:cs="Times New Roman"/>
                <w:szCs w:val="21"/>
              </w:rPr>
              <w:t>130706, 130707, 130708, 130709, 130710, 130711, 130712, 130713, 130714, 130715</w:t>
            </w:r>
          </w:p>
        </w:tc>
      </w:tr>
      <w:tr>
        <w:tblPrEx>
          <w:tblCellMar>
            <w:top w:w="0" w:type="dxa"/>
            <w:left w:w="108" w:type="dxa"/>
            <w:bottom w:w="0" w:type="dxa"/>
            <w:right w:w="108" w:type="dxa"/>
          </w:tblCellMar>
        </w:tblPrEx>
        <w:trPr>
          <w:trHeight w:val="621" w:hRule="atLeast"/>
        </w:trPr>
        <w:tc>
          <w:tcPr>
            <w:tcW w:w="2977" w:type="dxa"/>
            <w:tcBorders>
              <w:top w:val="nil"/>
              <w:left w:val="nil"/>
              <w:right w:val="nil"/>
            </w:tcBorders>
            <w:shd w:val="clear" w:color="auto" w:fill="auto"/>
            <w:noWrap/>
          </w:tcPr>
          <w:p>
            <w:pPr>
              <w:spacing w:line="360" w:lineRule="auto"/>
              <w:rPr>
                <w:rFonts w:eastAsia="等线" w:cs="Times New Roman"/>
                <w:color w:val="000000"/>
                <w:szCs w:val="21"/>
              </w:rPr>
            </w:pPr>
            <w:r>
              <w:rPr>
                <w:rFonts w:hint="eastAsia" w:eastAsia="等线" w:cs="Times New Roman"/>
                <w:color w:val="000000"/>
                <w:szCs w:val="21"/>
              </w:rPr>
              <w:t>Disorders of lipoprotein metabolism and other lipidaemia</w:t>
            </w:r>
          </w:p>
        </w:tc>
        <w:tc>
          <w:tcPr>
            <w:tcW w:w="1701" w:type="dxa"/>
            <w:tcBorders>
              <w:top w:val="nil"/>
              <w:left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E05</w:t>
            </w:r>
          </w:p>
        </w:tc>
        <w:tc>
          <w:tcPr>
            <w:tcW w:w="3962" w:type="dxa"/>
            <w:tcBorders>
              <w:top w:val="nil"/>
              <w:left w:val="nil"/>
              <w:right w:val="nil"/>
            </w:tcBorders>
          </w:tcPr>
          <w:p>
            <w:pPr>
              <w:spacing w:line="360" w:lineRule="auto"/>
              <w:rPr>
                <w:rFonts w:eastAsia="等线" w:cs="Times New Roman"/>
                <w:color w:val="000000"/>
                <w:szCs w:val="21"/>
              </w:rPr>
            </w:pPr>
            <w:r>
              <w:rPr>
                <w:rFonts w:eastAsia="等线" w:cs="Times New Roman"/>
                <w:color w:val="000000"/>
                <w:szCs w:val="21"/>
              </w:rPr>
              <w:t>130814, 130815</w:t>
            </w:r>
          </w:p>
        </w:tc>
      </w:tr>
      <w:tr>
        <w:tblPrEx>
          <w:tblCellMar>
            <w:top w:w="0" w:type="dxa"/>
            <w:left w:w="108" w:type="dxa"/>
            <w:bottom w:w="0" w:type="dxa"/>
            <w:right w:w="108" w:type="dxa"/>
          </w:tblCellMar>
        </w:tblPrEx>
        <w:trPr>
          <w:trHeight w:val="621" w:hRule="atLeast"/>
        </w:trPr>
        <w:tc>
          <w:tcPr>
            <w:tcW w:w="2977" w:type="dxa"/>
            <w:tcBorders>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Stroke</w:t>
            </w:r>
          </w:p>
        </w:tc>
        <w:tc>
          <w:tcPr>
            <w:tcW w:w="1701" w:type="dxa"/>
            <w:tcBorders>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I60-I64</w:t>
            </w:r>
          </w:p>
        </w:tc>
        <w:tc>
          <w:tcPr>
            <w:tcW w:w="3962" w:type="dxa"/>
            <w:tcBorders>
              <w:left w:val="nil"/>
              <w:bottom w:val="nil"/>
              <w:right w:val="nil"/>
            </w:tcBorders>
          </w:tcPr>
          <w:p>
            <w:pPr>
              <w:spacing w:line="360" w:lineRule="auto"/>
              <w:rPr>
                <w:rFonts w:eastAsia="等线" w:cs="Times New Roman"/>
                <w:color w:val="000000"/>
                <w:szCs w:val="21"/>
              </w:rPr>
            </w:pPr>
            <w:r>
              <w:rPr>
                <w:rFonts w:eastAsia="等线" w:cs="Times New Roman"/>
                <w:color w:val="000000"/>
                <w:szCs w:val="21"/>
              </w:rPr>
              <w:t>131360, 131361, 131362, 131363, 131364, 131365, 131366, 131367, 131368, 131369</w:t>
            </w:r>
          </w:p>
        </w:tc>
      </w:tr>
      <w:tr>
        <w:tblPrEx>
          <w:tblCellMar>
            <w:top w:w="0" w:type="dxa"/>
            <w:left w:w="108" w:type="dxa"/>
            <w:bottom w:w="0" w:type="dxa"/>
            <w:right w:w="108" w:type="dxa"/>
          </w:tblCellMar>
        </w:tblPrEx>
        <w:trPr>
          <w:trHeight w:val="621" w:hRule="atLeast"/>
        </w:trPr>
        <w:tc>
          <w:tcPr>
            <w:tcW w:w="2977"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Meningitis</w:t>
            </w:r>
          </w:p>
        </w:tc>
        <w:tc>
          <w:tcPr>
            <w:tcW w:w="1701"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G00-G03</w:t>
            </w:r>
          </w:p>
        </w:tc>
        <w:tc>
          <w:tcPr>
            <w:tcW w:w="3962" w:type="dxa"/>
            <w:tcBorders>
              <w:top w:val="nil"/>
              <w:left w:val="nil"/>
              <w:bottom w:val="nil"/>
              <w:right w:val="nil"/>
            </w:tcBorders>
          </w:tcPr>
          <w:p>
            <w:pPr>
              <w:spacing w:line="360" w:lineRule="auto"/>
              <w:rPr>
                <w:rFonts w:eastAsia="等线" w:cs="Times New Roman"/>
                <w:color w:val="000000"/>
                <w:szCs w:val="21"/>
              </w:rPr>
            </w:pPr>
            <w:r>
              <w:rPr>
                <w:rFonts w:eastAsia="等线" w:cs="Times New Roman"/>
                <w:color w:val="000000"/>
                <w:szCs w:val="21"/>
              </w:rPr>
              <w:t>130992, 130993, 130994, 130995, 130996, 130997, 130998, 130999</w:t>
            </w:r>
          </w:p>
        </w:tc>
      </w:tr>
      <w:tr>
        <w:tblPrEx>
          <w:tblCellMar>
            <w:top w:w="0" w:type="dxa"/>
            <w:left w:w="108" w:type="dxa"/>
            <w:bottom w:w="0" w:type="dxa"/>
            <w:right w:w="108" w:type="dxa"/>
          </w:tblCellMar>
        </w:tblPrEx>
        <w:trPr>
          <w:cantSplit/>
          <w:trHeight w:val="268" w:hRule="atLeast"/>
        </w:trPr>
        <w:tc>
          <w:tcPr>
            <w:tcW w:w="2977"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Encephalitis, Myelitis, Encephalomyelitis</w:t>
            </w:r>
          </w:p>
        </w:tc>
        <w:tc>
          <w:tcPr>
            <w:tcW w:w="1701"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G04-G05</w:t>
            </w:r>
          </w:p>
        </w:tc>
        <w:tc>
          <w:tcPr>
            <w:tcW w:w="3962" w:type="dxa"/>
            <w:tcBorders>
              <w:top w:val="nil"/>
              <w:left w:val="nil"/>
              <w:bottom w:val="nil"/>
              <w:right w:val="nil"/>
            </w:tcBorders>
          </w:tcPr>
          <w:p>
            <w:pPr>
              <w:spacing w:line="360" w:lineRule="auto"/>
              <w:rPr>
                <w:rFonts w:cs="Times New Roman"/>
                <w:szCs w:val="21"/>
              </w:rPr>
            </w:pPr>
            <w:r>
              <w:rPr>
                <w:rFonts w:cs="Times New Roman"/>
                <w:szCs w:val="21"/>
              </w:rPr>
              <w:t>131000, 131001, 131002, 131003</w:t>
            </w:r>
          </w:p>
        </w:tc>
      </w:tr>
      <w:tr>
        <w:tblPrEx>
          <w:tblCellMar>
            <w:top w:w="0" w:type="dxa"/>
            <w:left w:w="108" w:type="dxa"/>
            <w:bottom w:w="0" w:type="dxa"/>
            <w:right w:w="108" w:type="dxa"/>
          </w:tblCellMar>
        </w:tblPrEx>
        <w:trPr>
          <w:trHeight w:val="245" w:hRule="atLeast"/>
        </w:trPr>
        <w:tc>
          <w:tcPr>
            <w:tcW w:w="2977"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Phlebitis</w:t>
            </w:r>
          </w:p>
        </w:tc>
        <w:tc>
          <w:tcPr>
            <w:tcW w:w="1701"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G08</w:t>
            </w:r>
          </w:p>
        </w:tc>
        <w:tc>
          <w:tcPr>
            <w:tcW w:w="3962" w:type="dxa"/>
            <w:tcBorders>
              <w:top w:val="nil"/>
              <w:left w:val="nil"/>
              <w:bottom w:val="nil"/>
              <w:right w:val="nil"/>
            </w:tcBorders>
          </w:tcPr>
          <w:p>
            <w:pPr>
              <w:spacing w:line="360" w:lineRule="auto"/>
              <w:rPr>
                <w:rFonts w:cs="Times New Roman"/>
                <w:szCs w:val="21"/>
              </w:rPr>
            </w:pPr>
            <w:r>
              <w:rPr>
                <w:rFonts w:cs="Times New Roman"/>
                <w:szCs w:val="21"/>
              </w:rPr>
              <w:t>131008, 131009</w:t>
            </w:r>
          </w:p>
        </w:tc>
      </w:tr>
      <w:tr>
        <w:tblPrEx>
          <w:tblCellMar>
            <w:top w:w="0" w:type="dxa"/>
            <w:left w:w="108" w:type="dxa"/>
            <w:bottom w:w="0" w:type="dxa"/>
            <w:right w:w="108" w:type="dxa"/>
          </w:tblCellMar>
        </w:tblPrEx>
        <w:trPr>
          <w:trHeight w:val="621" w:hRule="atLeast"/>
        </w:trPr>
        <w:tc>
          <w:tcPr>
            <w:tcW w:w="2977"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Parkinson's disease</w:t>
            </w:r>
          </w:p>
        </w:tc>
        <w:tc>
          <w:tcPr>
            <w:tcW w:w="1701"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G20-G22</w:t>
            </w:r>
          </w:p>
        </w:tc>
        <w:tc>
          <w:tcPr>
            <w:tcW w:w="3962" w:type="dxa"/>
            <w:tcBorders>
              <w:top w:val="nil"/>
              <w:left w:val="nil"/>
              <w:bottom w:val="nil"/>
              <w:right w:val="nil"/>
            </w:tcBorders>
          </w:tcPr>
          <w:p>
            <w:pPr>
              <w:spacing w:line="360" w:lineRule="auto"/>
              <w:rPr>
                <w:rFonts w:cs="Times New Roman"/>
                <w:szCs w:val="21"/>
              </w:rPr>
            </w:pPr>
            <w:r>
              <w:rPr>
                <w:rFonts w:cs="Times New Roman"/>
                <w:szCs w:val="21"/>
              </w:rPr>
              <w:t>131022, 131023, 131024, 131025, 131026, 131027</w:t>
            </w:r>
          </w:p>
        </w:tc>
      </w:tr>
      <w:tr>
        <w:tblPrEx>
          <w:tblCellMar>
            <w:top w:w="0" w:type="dxa"/>
            <w:left w:w="108" w:type="dxa"/>
            <w:bottom w:w="0" w:type="dxa"/>
            <w:right w:w="108" w:type="dxa"/>
          </w:tblCellMar>
        </w:tblPrEx>
        <w:trPr>
          <w:trHeight w:val="301" w:hRule="atLeast"/>
        </w:trPr>
        <w:tc>
          <w:tcPr>
            <w:tcW w:w="2977"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Alzheimer's disease</w:t>
            </w:r>
          </w:p>
        </w:tc>
        <w:tc>
          <w:tcPr>
            <w:tcW w:w="1701"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G30</w:t>
            </w:r>
          </w:p>
        </w:tc>
        <w:tc>
          <w:tcPr>
            <w:tcW w:w="3962" w:type="dxa"/>
            <w:tcBorders>
              <w:top w:val="nil"/>
              <w:left w:val="nil"/>
              <w:bottom w:val="nil"/>
              <w:right w:val="nil"/>
            </w:tcBorders>
          </w:tcPr>
          <w:p>
            <w:pPr>
              <w:spacing w:line="360" w:lineRule="auto"/>
              <w:rPr>
                <w:rFonts w:cs="Times New Roman"/>
                <w:szCs w:val="21"/>
              </w:rPr>
            </w:pPr>
            <w:r>
              <w:rPr>
                <w:rFonts w:cs="Times New Roman"/>
                <w:szCs w:val="21"/>
              </w:rPr>
              <w:t>131036, 131037</w:t>
            </w:r>
          </w:p>
        </w:tc>
      </w:tr>
      <w:tr>
        <w:tblPrEx>
          <w:tblCellMar>
            <w:top w:w="0" w:type="dxa"/>
            <w:left w:w="108" w:type="dxa"/>
            <w:bottom w:w="0" w:type="dxa"/>
            <w:right w:w="108" w:type="dxa"/>
          </w:tblCellMar>
        </w:tblPrEx>
        <w:trPr>
          <w:trHeight w:val="277" w:hRule="atLeast"/>
        </w:trPr>
        <w:tc>
          <w:tcPr>
            <w:tcW w:w="2977"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Huntington's disease</w:t>
            </w:r>
          </w:p>
        </w:tc>
        <w:tc>
          <w:tcPr>
            <w:tcW w:w="1701"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G10</w:t>
            </w:r>
          </w:p>
        </w:tc>
        <w:tc>
          <w:tcPr>
            <w:tcW w:w="3962" w:type="dxa"/>
            <w:tcBorders>
              <w:top w:val="nil"/>
              <w:left w:val="nil"/>
              <w:bottom w:val="nil"/>
              <w:right w:val="nil"/>
            </w:tcBorders>
          </w:tcPr>
          <w:p>
            <w:pPr>
              <w:spacing w:line="360" w:lineRule="auto"/>
              <w:rPr>
                <w:rFonts w:cs="Times New Roman"/>
                <w:szCs w:val="21"/>
              </w:rPr>
            </w:pPr>
            <w:r>
              <w:rPr>
                <w:rFonts w:cs="Times New Roman"/>
                <w:szCs w:val="21"/>
              </w:rPr>
              <w:t>131012, 131013</w:t>
            </w:r>
          </w:p>
        </w:tc>
      </w:tr>
      <w:tr>
        <w:tblPrEx>
          <w:tblCellMar>
            <w:top w:w="0" w:type="dxa"/>
            <w:left w:w="108" w:type="dxa"/>
            <w:bottom w:w="0" w:type="dxa"/>
            <w:right w:w="108" w:type="dxa"/>
          </w:tblCellMar>
        </w:tblPrEx>
        <w:trPr>
          <w:trHeight w:val="239" w:hRule="atLeast"/>
        </w:trPr>
        <w:tc>
          <w:tcPr>
            <w:tcW w:w="2977"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Transportation accident</w:t>
            </w:r>
          </w:p>
        </w:tc>
        <w:tc>
          <w:tcPr>
            <w:tcW w:w="1701"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V01-V99, Y85</w:t>
            </w:r>
          </w:p>
        </w:tc>
        <w:tc>
          <w:tcPr>
            <w:tcW w:w="3962" w:type="dxa"/>
            <w:tcBorders>
              <w:top w:val="nil"/>
              <w:left w:val="nil"/>
              <w:bottom w:val="nil"/>
              <w:right w:val="nil"/>
            </w:tcBorders>
          </w:tcPr>
          <w:p>
            <w:pPr>
              <w:spacing w:line="360" w:lineRule="auto"/>
              <w:rPr>
                <w:rFonts w:cs="Times New Roman"/>
                <w:szCs w:val="21"/>
              </w:rPr>
            </w:pPr>
            <w:r>
              <w:rPr>
                <w:rFonts w:cs="Times New Roman"/>
                <w:szCs w:val="21"/>
              </w:rPr>
              <w:t>41270, 41280</w:t>
            </w:r>
          </w:p>
        </w:tc>
      </w:tr>
      <w:tr>
        <w:tblPrEx>
          <w:tblCellMar>
            <w:top w:w="0" w:type="dxa"/>
            <w:left w:w="108" w:type="dxa"/>
            <w:bottom w:w="0" w:type="dxa"/>
            <w:right w:w="108" w:type="dxa"/>
          </w:tblCellMar>
        </w:tblPrEx>
        <w:trPr>
          <w:trHeight w:val="215" w:hRule="atLeast"/>
        </w:trPr>
        <w:tc>
          <w:tcPr>
            <w:tcW w:w="2977"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Fall</w:t>
            </w:r>
            <w:r>
              <w:rPr>
                <w:rFonts w:hint="eastAsia" w:eastAsia="等线" w:cs="Times New Roman"/>
                <w:color w:val="000000"/>
                <w:szCs w:val="21"/>
              </w:rPr>
              <w:t>s</w:t>
            </w:r>
          </w:p>
        </w:tc>
        <w:tc>
          <w:tcPr>
            <w:tcW w:w="1701"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W00-W19</w:t>
            </w:r>
          </w:p>
        </w:tc>
        <w:tc>
          <w:tcPr>
            <w:tcW w:w="3962" w:type="dxa"/>
            <w:tcBorders>
              <w:top w:val="nil"/>
              <w:left w:val="nil"/>
              <w:bottom w:val="nil"/>
              <w:right w:val="nil"/>
            </w:tcBorders>
          </w:tcPr>
          <w:p>
            <w:pPr>
              <w:spacing w:line="360" w:lineRule="auto"/>
              <w:rPr>
                <w:rFonts w:cs="Times New Roman"/>
                <w:szCs w:val="21"/>
              </w:rPr>
            </w:pPr>
            <w:r>
              <w:rPr>
                <w:rFonts w:cs="Times New Roman"/>
                <w:szCs w:val="21"/>
              </w:rPr>
              <w:t>41270, 41280</w:t>
            </w:r>
          </w:p>
        </w:tc>
      </w:tr>
      <w:tr>
        <w:tblPrEx>
          <w:tblCellMar>
            <w:top w:w="0" w:type="dxa"/>
            <w:left w:w="108" w:type="dxa"/>
            <w:bottom w:w="0" w:type="dxa"/>
            <w:right w:w="108" w:type="dxa"/>
          </w:tblCellMar>
        </w:tblPrEx>
        <w:trPr>
          <w:trHeight w:val="191" w:hRule="atLeast"/>
        </w:trPr>
        <w:tc>
          <w:tcPr>
            <w:tcW w:w="2977"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Generalized epilepsy</w:t>
            </w:r>
          </w:p>
        </w:tc>
        <w:tc>
          <w:tcPr>
            <w:tcW w:w="1701" w:type="dxa"/>
            <w:tcBorders>
              <w:top w:val="nil"/>
              <w:left w:val="nil"/>
              <w:bottom w:val="nil"/>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G40.3, G40.4</w:t>
            </w:r>
          </w:p>
        </w:tc>
        <w:tc>
          <w:tcPr>
            <w:tcW w:w="3962" w:type="dxa"/>
            <w:tcBorders>
              <w:top w:val="nil"/>
              <w:left w:val="nil"/>
              <w:bottom w:val="nil"/>
              <w:right w:val="nil"/>
            </w:tcBorders>
          </w:tcPr>
          <w:p>
            <w:pPr>
              <w:spacing w:line="360" w:lineRule="auto"/>
              <w:rPr>
                <w:rFonts w:cs="Times New Roman"/>
                <w:szCs w:val="21"/>
              </w:rPr>
            </w:pPr>
            <w:r>
              <w:rPr>
                <w:rFonts w:cs="Times New Roman"/>
                <w:szCs w:val="21"/>
              </w:rPr>
              <w:t>41270, 41280</w:t>
            </w:r>
          </w:p>
        </w:tc>
      </w:tr>
      <w:tr>
        <w:tblPrEx>
          <w:tblCellMar>
            <w:top w:w="0" w:type="dxa"/>
            <w:left w:w="108" w:type="dxa"/>
            <w:bottom w:w="0" w:type="dxa"/>
            <w:right w:w="108" w:type="dxa"/>
          </w:tblCellMar>
        </w:tblPrEx>
        <w:trPr>
          <w:trHeight w:val="167" w:hRule="atLeast"/>
        </w:trPr>
        <w:tc>
          <w:tcPr>
            <w:tcW w:w="2977" w:type="dxa"/>
            <w:tcBorders>
              <w:top w:val="nil"/>
              <w:left w:val="nil"/>
              <w:bottom w:val="single" w:color="auto" w:sz="8" w:space="0"/>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Focal epilepsy</w:t>
            </w:r>
          </w:p>
        </w:tc>
        <w:tc>
          <w:tcPr>
            <w:tcW w:w="1701" w:type="dxa"/>
            <w:tcBorders>
              <w:top w:val="nil"/>
              <w:left w:val="nil"/>
              <w:bottom w:val="single" w:color="auto" w:sz="8" w:space="0"/>
              <w:right w:val="nil"/>
            </w:tcBorders>
            <w:shd w:val="clear" w:color="auto" w:fill="auto"/>
            <w:noWrap/>
          </w:tcPr>
          <w:p>
            <w:pPr>
              <w:spacing w:line="360" w:lineRule="auto"/>
              <w:rPr>
                <w:rFonts w:eastAsia="等线" w:cs="Times New Roman"/>
                <w:color w:val="000000"/>
                <w:szCs w:val="21"/>
              </w:rPr>
            </w:pPr>
            <w:r>
              <w:rPr>
                <w:rFonts w:eastAsia="等线" w:cs="Times New Roman"/>
                <w:color w:val="000000"/>
                <w:szCs w:val="21"/>
              </w:rPr>
              <w:t>G40.0, G40.1, G40.2</w:t>
            </w:r>
          </w:p>
        </w:tc>
        <w:tc>
          <w:tcPr>
            <w:tcW w:w="3962" w:type="dxa"/>
            <w:tcBorders>
              <w:top w:val="nil"/>
              <w:left w:val="nil"/>
              <w:bottom w:val="single" w:color="auto" w:sz="8" w:space="0"/>
              <w:right w:val="nil"/>
            </w:tcBorders>
          </w:tcPr>
          <w:p>
            <w:pPr>
              <w:spacing w:line="360" w:lineRule="auto"/>
              <w:rPr>
                <w:rFonts w:cs="Times New Roman"/>
                <w:szCs w:val="21"/>
              </w:rPr>
            </w:pPr>
            <w:r>
              <w:rPr>
                <w:rFonts w:cs="Times New Roman"/>
                <w:szCs w:val="21"/>
              </w:rPr>
              <w:t>41270, 41280</w:t>
            </w:r>
          </w:p>
        </w:tc>
      </w:tr>
    </w:tbl>
    <w:p>
      <w:pPr>
        <w:spacing w:line="360" w:lineRule="auto"/>
        <w:rPr>
          <w:rFonts w:cs="Times New Roman"/>
          <w:szCs w:val="21"/>
        </w:rPr>
      </w:pPr>
      <w:r>
        <w:rPr>
          <w:rFonts w:cs="Times New Roman"/>
          <w:szCs w:val="21"/>
        </w:rPr>
        <w:t>Abbreviations: ICD, International Classification of Diseases</w:t>
      </w:r>
      <w:r>
        <w:rPr>
          <w:rFonts w:hint="eastAsia" w:cs="Times New Roman"/>
          <w:szCs w:val="21"/>
        </w:rPr>
        <w:t>; UKB, UK biobank</w:t>
      </w:r>
      <w:r>
        <w:rPr>
          <w:rFonts w:cs="Times New Roman"/>
          <w:szCs w:val="21"/>
        </w:rPr>
        <w:t>.</w:t>
      </w:r>
    </w:p>
    <w:p>
      <w:pPr>
        <w:pStyle w:val="49"/>
        <w:spacing w:line="360" w:lineRule="auto"/>
      </w:pPr>
      <w:r>
        <w:br w:type="page"/>
      </w:r>
      <w:bookmarkStart w:id="24" w:name="OLE_LINK92"/>
      <w:bookmarkStart w:id="25" w:name="_Toc196124121"/>
      <w:bookmarkStart w:id="26" w:name="_Toc196124150"/>
      <w:bookmarkStart w:id="27" w:name="_Toc196123188"/>
      <w:r>
        <w:rPr>
          <w:rFonts w:hint="eastAsia"/>
        </w:rPr>
        <w:t xml:space="preserve">S6 </w:t>
      </w:r>
      <w:r>
        <w:t xml:space="preserve">Table. </w:t>
      </w:r>
      <w:bookmarkEnd w:id="24"/>
      <w:r>
        <w:rPr>
          <w:rFonts w:hint="eastAsia"/>
        </w:rPr>
        <w:t>Baseline characteristics of participants according to the epilepsy diagnosis at the end of follow-up.</w:t>
      </w:r>
      <w:bookmarkEnd w:id="25"/>
      <w:bookmarkEnd w:id="26"/>
      <w:bookmarkEnd w:id="27"/>
    </w:p>
    <w:tbl>
      <w:tblPr>
        <w:tblStyle w:val="25"/>
        <w:tblW w:w="8080" w:type="dxa"/>
        <w:tblInd w:w="0" w:type="dxa"/>
        <w:tblLayout w:type="autofit"/>
        <w:tblCellMar>
          <w:top w:w="0" w:type="dxa"/>
          <w:left w:w="108" w:type="dxa"/>
          <w:bottom w:w="0" w:type="dxa"/>
          <w:right w:w="108" w:type="dxa"/>
        </w:tblCellMar>
      </w:tblPr>
      <w:tblGrid>
        <w:gridCol w:w="3402"/>
        <w:gridCol w:w="1985"/>
        <w:gridCol w:w="2693"/>
      </w:tblGrid>
      <w:tr>
        <w:tblPrEx>
          <w:tblCellMar>
            <w:top w:w="0" w:type="dxa"/>
            <w:left w:w="108" w:type="dxa"/>
            <w:bottom w:w="0" w:type="dxa"/>
            <w:right w:w="108" w:type="dxa"/>
          </w:tblCellMar>
        </w:tblPrEx>
        <w:trPr>
          <w:trHeight w:val="303" w:hRule="atLeast"/>
        </w:trPr>
        <w:tc>
          <w:tcPr>
            <w:tcW w:w="3402" w:type="dxa"/>
            <w:tcBorders>
              <w:top w:val="single" w:color="000000" w:sz="8" w:space="0"/>
              <w:left w:val="nil"/>
              <w:bottom w:val="single" w:color="auto" w:sz="4" w:space="0"/>
              <w:right w:val="nil"/>
            </w:tcBorders>
            <w:shd w:val="clear" w:color="auto" w:fill="auto"/>
            <w:noWrap/>
            <w:vAlign w:val="center"/>
          </w:tcPr>
          <w:p>
            <w:pPr>
              <w:spacing w:line="360" w:lineRule="auto"/>
              <w:rPr>
                <w:rFonts w:cs="Times New Roman"/>
                <w:b/>
                <w:color w:val="000000"/>
                <w:szCs w:val="21"/>
              </w:rPr>
            </w:pPr>
            <w:r>
              <w:rPr>
                <w:rFonts w:cs="Times New Roman"/>
                <w:b/>
                <w:color w:val="000000"/>
                <w:szCs w:val="21"/>
              </w:rPr>
              <w:t>Variable</w:t>
            </w:r>
          </w:p>
        </w:tc>
        <w:tc>
          <w:tcPr>
            <w:tcW w:w="1985" w:type="dxa"/>
            <w:tcBorders>
              <w:top w:val="single" w:color="000000" w:sz="8" w:space="0"/>
              <w:left w:val="nil"/>
              <w:bottom w:val="single" w:color="auto" w:sz="4" w:space="0"/>
              <w:right w:val="nil"/>
            </w:tcBorders>
            <w:shd w:val="clear" w:color="auto" w:fill="auto"/>
            <w:noWrap/>
            <w:vAlign w:val="center"/>
          </w:tcPr>
          <w:p>
            <w:pPr>
              <w:spacing w:line="360" w:lineRule="auto"/>
              <w:rPr>
                <w:rFonts w:cs="Times New Roman"/>
                <w:b/>
                <w:color w:val="000000"/>
                <w:szCs w:val="21"/>
              </w:rPr>
            </w:pPr>
            <w:r>
              <w:rPr>
                <w:rFonts w:cs="Times New Roman"/>
                <w:b/>
                <w:color w:val="000000"/>
                <w:szCs w:val="21"/>
              </w:rPr>
              <w:t>Epilepsy (n=3,026)</w:t>
            </w:r>
          </w:p>
        </w:tc>
        <w:tc>
          <w:tcPr>
            <w:tcW w:w="2693" w:type="dxa"/>
            <w:tcBorders>
              <w:top w:val="single" w:color="000000" w:sz="8" w:space="0"/>
              <w:left w:val="nil"/>
              <w:bottom w:val="single" w:color="auto" w:sz="4" w:space="0"/>
              <w:right w:val="nil"/>
            </w:tcBorders>
            <w:shd w:val="clear" w:color="auto" w:fill="auto"/>
            <w:noWrap/>
            <w:vAlign w:val="center"/>
          </w:tcPr>
          <w:p>
            <w:pPr>
              <w:spacing w:line="360" w:lineRule="auto"/>
              <w:rPr>
                <w:rFonts w:cs="Times New Roman"/>
                <w:b/>
                <w:color w:val="000000"/>
                <w:szCs w:val="21"/>
              </w:rPr>
            </w:pPr>
            <w:r>
              <w:rPr>
                <w:rFonts w:cs="Times New Roman"/>
                <w:b/>
                <w:color w:val="000000"/>
                <w:szCs w:val="21"/>
              </w:rPr>
              <w:t>Epilepsy-free (n=472,934)</w:t>
            </w:r>
          </w:p>
        </w:tc>
      </w:tr>
      <w:tr>
        <w:tblPrEx>
          <w:tblCellMar>
            <w:top w:w="0" w:type="dxa"/>
            <w:left w:w="108" w:type="dxa"/>
            <w:bottom w:w="0" w:type="dxa"/>
            <w:right w:w="108" w:type="dxa"/>
          </w:tblCellMar>
        </w:tblPrEx>
        <w:trPr>
          <w:trHeight w:val="288" w:hRule="atLeast"/>
        </w:trPr>
        <w:tc>
          <w:tcPr>
            <w:tcW w:w="3402" w:type="dxa"/>
            <w:tcBorders>
              <w:top w:val="single" w:color="auto" w:sz="4" w:space="0"/>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Male (%)</w:t>
            </w:r>
          </w:p>
        </w:tc>
        <w:tc>
          <w:tcPr>
            <w:tcW w:w="1985" w:type="dxa"/>
            <w:tcBorders>
              <w:top w:val="single" w:color="auto" w:sz="4" w:space="0"/>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1,606 (53.1)</w:t>
            </w:r>
          </w:p>
        </w:tc>
        <w:tc>
          <w:tcPr>
            <w:tcW w:w="2693" w:type="dxa"/>
            <w:tcBorders>
              <w:top w:val="single" w:color="auto" w:sz="4" w:space="0"/>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214,095 (45.3)</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 xml:space="preserve">Age at recruitment </w:t>
            </w:r>
            <w:r>
              <w:rPr>
                <w:rFonts w:cs="Times New Roman"/>
                <w:color w:val="000000"/>
                <w:szCs w:val="21"/>
                <w:vertAlign w:val="superscript"/>
              </w:rPr>
              <w:t>a</w:t>
            </w:r>
            <w:r>
              <w:rPr>
                <w:rFonts w:cs="Times New Roman"/>
                <w:color w:val="000000"/>
                <w:szCs w:val="21"/>
              </w:rPr>
              <w:t>, years</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58.9 ± 7.8</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56.5 ± 8.1</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 xml:space="preserve">TDI </w:t>
            </w:r>
            <w:r>
              <w:rPr>
                <w:rFonts w:cs="Times New Roman"/>
                <w:color w:val="000000"/>
                <w:szCs w:val="21"/>
                <w:vertAlign w:val="superscript"/>
              </w:rPr>
              <w:t>a</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-0.7 ± 3.4</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-1.3 ± 3.1</w:t>
            </w:r>
          </w:p>
        </w:tc>
      </w:tr>
      <w:tr>
        <w:trPr>
          <w:trHeight w:val="288" w:hRule="atLeast"/>
        </w:trPr>
        <w:tc>
          <w:tcPr>
            <w:tcW w:w="3402"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Ethnicity (%)</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p>
        </w:tc>
        <w:tc>
          <w:tcPr>
            <w:tcW w:w="2693" w:type="dxa"/>
            <w:tcBorders>
              <w:top w:val="nil"/>
              <w:left w:val="nil"/>
              <w:bottom w:val="nil"/>
              <w:right w:val="nil"/>
            </w:tcBorders>
            <w:shd w:val="clear" w:color="auto" w:fill="auto"/>
            <w:noWrap/>
            <w:vAlign w:val="center"/>
          </w:tcPr>
          <w:p>
            <w:pPr>
              <w:spacing w:line="360" w:lineRule="auto"/>
              <w:rPr>
                <w:rFonts w:eastAsia="Times New Roman" w:cs="Times New Roman"/>
                <w:szCs w:val="21"/>
              </w:rPr>
            </w:pP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White</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2,865 (94.7)</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445,973 (94.3)</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Other and unknown</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161 (5.3)</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26,961 (5.7)</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Educational level</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p>
        </w:tc>
        <w:tc>
          <w:tcPr>
            <w:tcW w:w="2693" w:type="dxa"/>
            <w:tcBorders>
              <w:top w:val="nil"/>
              <w:left w:val="nil"/>
              <w:bottom w:val="nil"/>
              <w:right w:val="nil"/>
            </w:tcBorders>
            <w:shd w:val="clear" w:color="auto" w:fill="auto"/>
            <w:noWrap/>
            <w:vAlign w:val="center"/>
          </w:tcPr>
          <w:p>
            <w:pPr>
              <w:spacing w:line="360" w:lineRule="auto"/>
              <w:rPr>
                <w:rFonts w:eastAsia="Times New Roman" w:cs="Times New Roman"/>
                <w:szCs w:val="21"/>
              </w:rPr>
            </w:pP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 xml:space="preserve">  College/University degree</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767 (25.3)</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153,754 (32.5)</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Other and unknown</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2,259 (74.7)</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319,180 (67.5)</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Smoking status (%)</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p>
        </w:tc>
        <w:tc>
          <w:tcPr>
            <w:tcW w:w="2693" w:type="dxa"/>
            <w:tcBorders>
              <w:top w:val="nil"/>
              <w:left w:val="nil"/>
              <w:bottom w:val="nil"/>
              <w:right w:val="nil"/>
            </w:tcBorders>
            <w:shd w:val="clear" w:color="auto" w:fill="auto"/>
            <w:noWrap/>
            <w:vAlign w:val="center"/>
          </w:tcPr>
          <w:p>
            <w:pPr>
              <w:spacing w:line="360" w:lineRule="auto"/>
              <w:rPr>
                <w:rFonts w:eastAsia="Times New Roman" w:cs="Times New Roman"/>
                <w:szCs w:val="21"/>
              </w:rPr>
            </w:pP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Never smoker</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1,402 (46.3)</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258,609 (54.7)</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Former smoker</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1,147 (37.9)</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163,066 (34.5)</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Current smoker</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455 (15.0)</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48,924 (10.3)</w:t>
            </w:r>
          </w:p>
        </w:tc>
      </w:tr>
      <w:tr>
        <w:tblPrEx>
          <w:tblCellMar>
            <w:top w:w="0" w:type="dxa"/>
            <w:left w:w="108" w:type="dxa"/>
            <w:bottom w:w="0" w:type="dxa"/>
            <w:right w:w="108" w:type="dxa"/>
          </w:tblCellMar>
        </w:tblPrEx>
        <w:trPr>
          <w:trHeight w:val="303"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Unknown</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22 (0.7)</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2,335 (0.5)</w:t>
            </w:r>
          </w:p>
        </w:tc>
      </w:tr>
      <w:tr>
        <w:trPr>
          <w:trHeight w:val="288" w:hRule="atLeast"/>
        </w:trPr>
        <w:tc>
          <w:tcPr>
            <w:tcW w:w="3402"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Exposure to passive smoking (%)</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p>
        </w:tc>
        <w:tc>
          <w:tcPr>
            <w:tcW w:w="2693" w:type="dxa"/>
            <w:tcBorders>
              <w:top w:val="nil"/>
              <w:left w:val="nil"/>
              <w:bottom w:val="nil"/>
              <w:right w:val="nil"/>
            </w:tcBorders>
            <w:shd w:val="clear" w:color="auto" w:fill="auto"/>
            <w:noWrap/>
            <w:vAlign w:val="center"/>
          </w:tcPr>
          <w:p>
            <w:pPr>
              <w:spacing w:line="360" w:lineRule="auto"/>
              <w:rPr>
                <w:rFonts w:eastAsia="Times New Roman" w:cs="Times New Roman"/>
                <w:szCs w:val="21"/>
              </w:rPr>
            </w:pP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No (&lt;1 hour/day)</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2,232 (73.8)</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387,807 (82.0)</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Yes (≥1 hour/day)</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356 (11.8)</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40,515 (8.6)</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Unknown</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438 (14.5)</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44,612 (9.4)</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 xml:space="preserve">Average weekly alcohol intake </w:t>
            </w:r>
            <w:r>
              <w:rPr>
                <w:rFonts w:cs="Times New Roman"/>
                <w:color w:val="000000"/>
                <w:szCs w:val="21"/>
                <w:vertAlign w:val="superscript"/>
              </w:rPr>
              <w:t xml:space="preserve">b </w:t>
            </w:r>
            <w:r>
              <w:rPr>
                <w:rFonts w:cs="Times New Roman"/>
                <w:color w:val="000000"/>
                <w:szCs w:val="21"/>
              </w:rPr>
              <w:t>(%)</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p>
        </w:tc>
        <w:tc>
          <w:tcPr>
            <w:tcW w:w="2693" w:type="dxa"/>
            <w:tcBorders>
              <w:top w:val="nil"/>
              <w:left w:val="nil"/>
              <w:bottom w:val="nil"/>
              <w:right w:val="nil"/>
            </w:tcBorders>
            <w:shd w:val="clear" w:color="auto" w:fill="auto"/>
            <w:noWrap/>
            <w:vAlign w:val="center"/>
          </w:tcPr>
          <w:p>
            <w:pPr>
              <w:spacing w:line="360" w:lineRule="auto"/>
              <w:rPr>
                <w:rFonts w:eastAsia="Times New Roman" w:cs="Times New Roman"/>
                <w:szCs w:val="21"/>
              </w:rPr>
            </w:pP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None</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84 (2.8)</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9,743 (2.1)</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Low-risk drinking</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1,131 (37.4)</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191,109 (40.4)</w:t>
            </w:r>
          </w:p>
        </w:tc>
      </w:tr>
      <w:tr>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High-risk drinking</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970 (32.1)</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165,222 (34.9)</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Unknown</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841 (27.8)</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106,860 (22.6)</w:t>
            </w:r>
          </w:p>
        </w:tc>
      </w:tr>
      <w:tr>
        <w:trPr>
          <w:trHeight w:val="288" w:hRule="atLeast"/>
        </w:trPr>
        <w:tc>
          <w:tcPr>
            <w:tcW w:w="3402"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Physical activity</w:t>
            </w:r>
            <w:r>
              <w:rPr>
                <w:rFonts w:cs="Times New Roman"/>
                <w:color w:val="000000"/>
                <w:szCs w:val="21"/>
                <w:vertAlign w:val="superscript"/>
              </w:rPr>
              <w:t xml:space="preserve"> c </w:t>
            </w:r>
            <w:r>
              <w:rPr>
                <w:rFonts w:cs="Times New Roman"/>
                <w:color w:val="000000"/>
                <w:szCs w:val="21"/>
              </w:rPr>
              <w:t>(%)</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p>
        </w:tc>
        <w:tc>
          <w:tcPr>
            <w:tcW w:w="2693" w:type="dxa"/>
            <w:tcBorders>
              <w:top w:val="nil"/>
              <w:left w:val="nil"/>
              <w:bottom w:val="nil"/>
              <w:right w:val="nil"/>
            </w:tcBorders>
            <w:shd w:val="clear" w:color="auto" w:fill="auto"/>
            <w:noWrap/>
            <w:vAlign w:val="center"/>
          </w:tcPr>
          <w:p>
            <w:pPr>
              <w:spacing w:line="360" w:lineRule="auto"/>
              <w:rPr>
                <w:rFonts w:eastAsia="Times New Roman" w:cs="Times New Roman"/>
                <w:szCs w:val="21"/>
              </w:rPr>
            </w:pPr>
          </w:p>
        </w:tc>
      </w:tr>
      <w:tr>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Low level</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507 (16.8)</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71,322 (15.1)</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Moderate level</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928 (30.7)</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156,192 (33.0)</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High level</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898 (29.7)</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154,555 (32.7)</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Unknown</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693 (22.9)</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90,865 (19.2)</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Coffee consumption</w:t>
            </w:r>
            <w:r>
              <w:rPr>
                <w:rFonts w:cs="Times New Roman"/>
                <w:color w:val="000000"/>
                <w:szCs w:val="21"/>
                <w:vertAlign w:val="superscript"/>
              </w:rPr>
              <w:t xml:space="preserve"> </w:t>
            </w:r>
            <w:r>
              <w:rPr>
                <w:rFonts w:cs="Times New Roman"/>
                <w:color w:val="000000"/>
                <w:szCs w:val="21"/>
              </w:rPr>
              <w:t>(%)</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p>
        </w:tc>
        <w:tc>
          <w:tcPr>
            <w:tcW w:w="2693" w:type="dxa"/>
            <w:tcBorders>
              <w:top w:val="nil"/>
              <w:left w:val="nil"/>
              <w:bottom w:val="nil"/>
              <w:right w:val="nil"/>
            </w:tcBorders>
            <w:shd w:val="clear" w:color="auto" w:fill="auto"/>
            <w:noWrap/>
            <w:vAlign w:val="center"/>
          </w:tcPr>
          <w:p>
            <w:pPr>
              <w:spacing w:line="360" w:lineRule="auto"/>
              <w:rPr>
                <w:rFonts w:eastAsia="Times New Roman" w:cs="Times New Roman"/>
                <w:szCs w:val="21"/>
              </w:rPr>
            </w:pP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Yes (≥1 cup/day)</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2,121 (70.1)</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332,849 (70.4)</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No (&lt;1 cup/day)</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689 (22.8)</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104,185 (22.0)</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Unknown</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216 (7.1)</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35,900 (7.6)</w:t>
            </w:r>
          </w:p>
        </w:tc>
      </w:tr>
      <w:tr>
        <w:trPr>
          <w:trHeight w:val="288" w:hRule="atLeast"/>
        </w:trPr>
        <w:tc>
          <w:tcPr>
            <w:tcW w:w="3402"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Tea consumption</w:t>
            </w:r>
            <w:r>
              <w:rPr>
                <w:rFonts w:cs="Times New Roman"/>
                <w:color w:val="000000"/>
                <w:szCs w:val="21"/>
                <w:vertAlign w:val="superscript"/>
              </w:rPr>
              <w:t xml:space="preserve"> </w:t>
            </w:r>
            <w:r>
              <w:rPr>
                <w:rFonts w:cs="Times New Roman"/>
                <w:color w:val="000000"/>
                <w:szCs w:val="21"/>
              </w:rPr>
              <w:t>(%)</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p>
        </w:tc>
        <w:tc>
          <w:tcPr>
            <w:tcW w:w="2693" w:type="dxa"/>
            <w:tcBorders>
              <w:top w:val="nil"/>
              <w:left w:val="nil"/>
              <w:bottom w:val="nil"/>
              <w:right w:val="nil"/>
            </w:tcBorders>
            <w:shd w:val="clear" w:color="auto" w:fill="auto"/>
            <w:noWrap/>
            <w:vAlign w:val="center"/>
          </w:tcPr>
          <w:p>
            <w:pPr>
              <w:spacing w:line="360" w:lineRule="auto"/>
              <w:rPr>
                <w:rFonts w:eastAsia="Times New Roman" w:cs="Times New Roman"/>
                <w:szCs w:val="21"/>
              </w:rPr>
            </w:pPr>
          </w:p>
        </w:tc>
      </w:tr>
      <w:tr>
        <w:tblPrEx>
          <w:tblCellMar>
            <w:top w:w="0" w:type="dxa"/>
            <w:left w:w="108" w:type="dxa"/>
            <w:bottom w:w="0" w:type="dxa"/>
            <w:right w:w="108" w:type="dxa"/>
          </w:tblCellMar>
        </w:tblPrEx>
        <w:trPr>
          <w:trHeight w:val="303"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Yes (≥1 cup/day)</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2,442 (80.7)</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387,841 (82.0)</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No (&lt;1 cup/day)</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475 (15.7)</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68,971 (14.6)</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Unknown</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109 (3.6)</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16,122 (3.4)</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BMI, kg/m</w:t>
            </w:r>
            <w:r>
              <w:rPr>
                <w:rFonts w:cs="Times New Roman"/>
                <w:color w:val="000000"/>
                <w:szCs w:val="21"/>
                <w:vertAlign w:val="superscript"/>
              </w:rPr>
              <w:t>2</w:t>
            </w:r>
            <w:r>
              <w:rPr>
                <w:rFonts w:cs="Times New Roman"/>
                <w:color w:val="000000"/>
                <w:szCs w:val="21"/>
              </w:rPr>
              <w:t xml:space="preserve"> (%)</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p>
        </w:tc>
        <w:tc>
          <w:tcPr>
            <w:tcW w:w="2693" w:type="dxa"/>
            <w:tcBorders>
              <w:top w:val="nil"/>
              <w:left w:val="nil"/>
              <w:bottom w:val="nil"/>
              <w:right w:val="nil"/>
            </w:tcBorders>
            <w:shd w:val="clear" w:color="auto" w:fill="auto"/>
            <w:noWrap/>
            <w:vAlign w:val="center"/>
          </w:tcPr>
          <w:p>
            <w:pPr>
              <w:spacing w:line="360" w:lineRule="auto"/>
              <w:rPr>
                <w:rFonts w:eastAsia="Times New Roman" w:cs="Times New Roman"/>
                <w:szCs w:val="21"/>
              </w:rPr>
            </w:pPr>
          </w:p>
        </w:tc>
      </w:tr>
      <w:tr>
        <w:tblPrEx>
          <w:tblCellMar>
            <w:top w:w="0" w:type="dxa"/>
            <w:left w:w="108" w:type="dxa"/>
            <w:bottom w:w="0" w:type="dxa"/>
            <w:right w:w="108" w:type="dxa"/>
          </w:tblCellMar>
        </w:tblPrEx>
        <w:trPr>
          <w:trHeight w:val="303"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Underweight (&lt;18.5)</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21 (0.7)</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2,159 (0.5)</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Normal-weight (18.5-24.9)</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866 (28.6)</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154,249 (32.6)</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Overweight (25.0-29.9)</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1,263 (41.7)</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201,784 (42.7)</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Obese (≥30.0)</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875 (28.9)</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114,662 (24.2)</w:t>
            </w:r>
          </w:p>
        </w:tc>
      </w:tr>
      <w:tr>
        <w:tblPrEx>
          <w:tblCellMar>
            <w:top w:w="0" w:type="dxa"/>
            <w:left w:w="108" w:type="dxa"/>
            <w:bottom w:w="0" w:type="dxa"/>
            <w:right w:w="108" w:type="dxa"/>
          </w:tblCellMar>
        </w:tblPrEx>
        <w:trPr>
          <w:trHeight w:val="303" w:hRule="atLeast"/>
        </w:trPr>
        <w:tc>
          <w:tcPr>
            <w:tcW w:w="3402" w:type="dxa"/>
            <w:tcBorders>
              <w:top w:val="nil"/>
              <w:left w:val="nil"/>
              <w:bottom w:val="nil"/>
              <w:right w:val="nil"/>
            </w:tcBorders>
            <w:shd w:val="clear" w:color="auto" w:fill="auto"/>
            <w:noWrap/>
            <w:vAlign w:val="center"/>
          </w:tcPr>
          <w:p>
            <w:pPr>
              <w:spacing w:line="360" w:lineRule="auto"/>
              <w:ind w:firstLine="210" w:firstLineChars="100"/>
              <w:rPr>
                <w:rFonts w:cs="Times New Roman"/>
                <w:color w:val="000000"/>
                <w:szCs w:val="21"/>
              </w:rPr>
            </w:pPr>
            <w:r>
              <w:rPr>
                <w:rFonts w:cs="Times New Roman"/>
                <w:color w:val="000000"/>
                <w:szCs w:val="21"/>
              </w:rPr>
              <w:t>Unknown</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 (0.0)</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80 (0.0)</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Hypertension (%)</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1,133 (37.4)</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122,443 (25.9)</w:t>
            </w:r>
          </w:p>
        </w:tc>
      </w:tr>
      <w:tr>
        <w:tblPrEx>
          <w:tblCellMar>
            <w:top w:w="0" w:type="dxa"/>
            <w:left w:w="108" w:type="dxa"/>
            <w:bottom w:w="0" w:type="dxa"/>
            <w:right w:w="108" w:type="dxa"/>
          </w:tblCellMar>
        </w:tblPrEx>
        <w:trPr>
          <w:trHeight w:val="288" w:hRule="atLeast"/>
        </w:trPr>
        <w:tc>
          <w:tcPr>
            <w:tcW w:w="3402" w:type="dxa"/>
            <w:tcBorders>
              <w:top w:val="nil"/>
              <w:left w:val="nil"/>
              <w:bottom w:val="nil"/>
              <w:right w:val="nil"/>
            </w:tcBorders>
            <w:shd w:val="clear" w:color="auto" w:fill="auto"/>
            <w:noWrap/>
            <w:vAlign w:val="center"/>
          </w:tcPr>
          <w:p>
            <w:pPr>
              <w:spacing w:line="360" w:lineRule="auto"/>
              <w:rPr>
                <w:rFonts w:cs="Times New Roman"/>
                <w:color w:val="000000"/>
                <w:szCs w:val="21"/>
              </w:rPr>
            </w:pPr>
            <w:bookmarkStart w:id="28" w:name="OLE_LINK90"/>
            <w:r>
              <w:rPr>
                <w:rFonts w:cs="Times New Roman"/>
                <w:color w:val="000000"/>
                <w:szCs w:val="21"/>
              </w:rPr>
              <w:t>Diabetes mellitus</w:t>
            </w:r>
            <w:bookmarkEnd w:id="28"/>
            <w:r>
              <w:rPr>
                <w:rFonts w:cs="Times New Roman"/>
                <w:color w:val="000000"/>
                <w:szCs w:val="21"/>
              </w:rPr>
              <w:t xml:space="preserve"> (%)</w:t>
            </w:r>
          </w:p>
        </w:tc>
        <w:tc>
          <w:tcPr>
            <w:tcW w:w="1985"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309 (10.2)</w:t>
            </w:r>
          </w:p>
        </w:tc>
        <w:tc>
          <w:tcPr>
            <w:tcW w:w="2693" w:type="dxa"/>
            <w:tcBorders>
              <w:top w:val="nil"/>
              <w:left w:val="nil"/>
              <w:bottom w:val="nil"/>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23,398 (4.9)</w:t>
            </w:r>
          </w:p>
        </w:tc>
      </w:tr>
      <w:tr>
        <w:tblPrEx>
          <w:tblCellMar>
            <w:top w:w="0" w:type="dxa"/>
            <w:left w:w="108" w:type="dxa"/>
            <w:bottom w:w="0" w:type="dxa"/>
            <w:right w:w="108" w:type="dxa"/>
          </w:tblCellMar>
        </w:tblPrEx>
        <w:trPr>
          <w:trHeight w:val="288" w:hRule="atLeast"/>
        </w:trPr>
        <w:tc>
          <w:tcPr>
            <w:tcW w:w="3402" w:type="dxa"/>
            <w:tcBorders>
              <w:top w:val="nil"/>
              <w:left w:val="nil"/>
              <w:bottom w:val="single" w:color="auto" w:sz="8" w:space="0"/>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Disorders of lipoprotein metabolism and other lipidaemia (%)</w:t>
            </w:r>
          </w:p>
        </w:tc>
        <w:tc>
          <w:tcPr>
            <w:tcW w:w="1985" w:type="dxa"/>
            <w:tcBorders>
              <w:top w:val="nil"/>
              <w:left w:val="nil"/>
              <w:bottom w:val="single" w:color="auto" w:sz="8" w:space="0"/>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719 (23.8)</w:t>
            </w:r>
          </w:p>
        </w:tc>
        <w:tc>
          <w:tcPr>
            <w:tcW w:w="2693" w:type="dxa"/>
            <w:tcBorders>
              <w:top w:val="nil"/>
              <w:left w:val="nil"/>
              <w:bottom w:val="single" w:color="auto" w:sz="8" w:space="0"/>
              <w:right w:val="nil"/>
            </w:tcBorders>
            <w:shd w:val="clear" w:color="auto" w:fill="auto"/>
            <w:noWrap/>
            <w:vAlign w:val="center"/>
          </w:tcPr>
          <w:p>
            <w:pPr>
              <w:spacing w:line="360" w:lineRule="auto"/>
              <w:rPr>
                <w:rFonts w:cs="Times New Roman"/>
                <w:color w:val="000000"/>
                <w:szCs w:val="21"/>
              </w:rPr>
            </w:pPr>
            <w:r>
              <w:rPr>
                <w:rFonts w:cs="Times New Roman"/>
                <w:color w:val="000000"/>
                <w:szCs w:val="21"/>
              </w:rPr>
              <w:t>69,576 (14.7)</w:t>
            </w:r>
          </w:p>
        </w:tc>
      </w:tr>
    </w:tbl>
    <w:p>
      <w:pPr>
        <w:spacing w:line="360" w:lineRule="auto"/>
        <w:textAlignment w:val="center"/>
        <w:rPr>
          <w:rFonts w:cs="Times New Roman"/>
          <w:color w:val="000000"/>
          <w:szCs w:val="21"/>
        </w:rPr>
      </w:pPr>
      <w:bookmarkStart w:id="29" w:name="OLE_LINK107"/>
      <w:r>
        <w:rPr>
          <w:rFonts w:cs="Times New Roman"/>
          <w:color w:val="000000"/>
          <w:szCs w:val="21"/>
          <w:vertAlign w:val="superscript"/>
        </w:rPr>
        <w:t>a</w:t>
      </w:r>
      <w:r>
        <w:rPr>
          <w:rFonts w:cs="Times New Roman"/>
          <w:color w:val="000000"/>
          <w:szCs w:val="21"/>
        </w:rPr>
        <w:t xml:space="preserve"> Continuous variable, presented as mean ± standard deviation.</w:t>
      </w:r>
      <w:bookmarkEnd w:id="29"/>
    </w:p>
    <w:p>
      <w:pPr>
        <w:spacing w:line="360" w:lineRule="auto"/>
        <w:textAlignment w:val="center"/>
        <w:rPr>
          <w:rFonts w:cs="Times New Roman"/>
          <w:color w:val="000000"/>
          <w:szCs w:val="21"/>
        </w:rPr>
      </w:pPr>
      <w:r>
        <w:rPr>
          <w:rFonts w:cs="Times New Roman"/>
          <w:color w:val="000000"/>
          <w:szCs w:val="21"/>
          <w:vertAlign w:val="superscript"/>
        </w:rPr>
        <w:t xml:space="preserve">b </w:t>
      </w:r>
      <w:r>
        <w:rPr>
          <w:rFonts w:cs="Times New Roman"/>
          <w:color w:val="000000"/>
          <w:szCs w:val="21"/>
        </w:rPr>
        <w:t>None meant never drinking; low-risk drinking was defined as ≤28.0 grams of pure alcohol/week for men and ≤14.0 grams/week for women; high-risk drinking was defined as &gt;28.0 grams of pure alcohol/week for men and &gt;14.0 grams/week for women.</w:t>
      </w:r>
    </w:p>
    <w:p>
      <w:pPr>
        <w:spacing w:line="360" w:lineRule="auto"/>
        <w:textAlignment w:val="center"/>
        <w:rPr>
          <w:rFonts w:cs="Times New Roman"/>
          <w:color w:val="000000"/>
          <w:szCs w:val="21"/>
        </w:rPr>
      </w:pPr>
      <w:r>
        <w:rPr>
          <w:rFonts w:cs="Times New Roman"/>
          <w:color w:val="000000"/>
          <w:szCs w:val="21"/>
          <w:vertAlign w:val="superscript"/>
        </w:rPr>
        <w:t>c</w:t>
      </w:r>
      <w:r>
        <w:rPr>
          <w:rFonts w:cs="Times New Roman"/>
          <w:color w:val="000000"/>
          <w:szCs w:val="21"/>
        </w:rPr>
        <w:t xml:space="preserve"> Physical activity was assessed via the International Physical Activity Questionnaire, with weekly metabolic equivalent scores classified into three groups (low, moderate, and high).</w:t>
      </w:r>
    </w:p>
    <w:p>
      <w:pPr>
        <w:spacing w:line="360" w:lineRule="auto"/>
        <w:textAlignment w:val="center"/>
        <w:rPr>
          <w:rFonts w:cs="Times New Roman"/>
          <w:szCs w:val="21"/>
        </w:rPr>
      </w:pPr>
      <w:r>
        <w:rPr>
          <w:rFonts w:cs="Times New Roman"/>
          <w:szCs w:val="21"/>
        </w:rPr>
        <w:t>Abbreviations: TDI, Townsend deprivation index; BMI, body mass index.</w:t>
      </w:r>
    </w:p>
    <w:p>
      <w:pPr>
        <w:spacing w:line="360" w:lineRule="auto"/>
        <w:rPr>
          <w:rFonts w:cs="Times New Roman"/>
          <w:szCs w:val="21"/>
        </w:rPr>
      </w:pPr>
      <w:r>
        <w:rPr>
          <w:rFonts w:cs="Times New Roman"/>
          <w:szCs w:val="21"/>
        </w:rPr>
        <w:br w:type="page"/>
      </w:r>
    </w:p>
    <w:p>
      <w:pPr>
        <w:pStyle w:val="49"/>
        <w:spacing w:line="360" w:lineRule="auto"/>
      </w:pPr>
      <w:bookmarkStart w:id="30" w:name="_Toc196124151"/>
      <w:bookmarkStart w:id="31" w:name="_Toc196124122"/>
      <w:bookmarkStart w:id="32" w:name="_Toc196123189"/>
      <w:r>
        <w:rPr>
          <w:rFonts w:hint="eastAsia"/>
        </w:rPr>
        <w:t xml:space="preserve">S7 </w:t>
      </w:r>
      <w:r>
        <w:t>Table.</w:t>
      </w:r>
      <w:r>
        <w:rPr>
          <w:rFonts w:hint="eastAsia"/>
        </w:rPr>
        <w:t xml:space="preserve"> Hazard ratios for incident epilepsy according to body composition patterns on a continuous scale in multivariable Cox proportional hazards models.</w:t>
      </w:r>
      <w:bookmarkEnd w:id="30"/>
      <w:bookmarkEnd w:id="31"/>
      <w:bookmarkEnd w:id="32"/>
    </w:p>
    <w:tbl>
      <w:tblPr>
        <w:tblStyle w:val="25"/>
        <w:tblW w:w="8074" w:type="dxa"/>
        <w:tblInd w:w="0" w:type="dxa"/>
        <w:tblLayout w:type="autofit"/>
        <w:tblCellMar>
          <w:top w:w="0" w:type="dxa"/>
          <w:left w:w="108" w:type="dxa"/>
          <w:bottom w:w="0" w:type="dxa"/>
          <w:right w:w="108" w:type="dxa"/>
        </w:tblCellMar>
      </w:tblPr>
      <w:tblGrid>
        <w:gridCol w:w="3226"/>
        <w:gridCol w:w="1616"/>
        <w:gridCol w:w="1616"/>
        <w:gridCol w:w="1616"/>
      </w:tblGrid>
      <w:tr>
        <w:tblPrEx>
          <w:tblCellMar>
            <w:top w:w="0" w:type="dxa"/>
            <w:left w:w="108" w:type="dxa"/>
            <w:bottom w:w="0" w:type="dxa"/>
            <w:right w:w="108" w:type="dxa"/>
          </w:tblCellMar>
        </w:tblPrEx>
        <w:trPr>
          <w:trHeight w:val="319" w:hRule="atLeast"/>
        </w:trPr>
        <w:tc>
          <w:tcPr>
            <w:tcW w:w="0" w:type="auto"/>
            <w:vMerge w:val="restart"/>
            <w:tcBorders>
              <w:top w:val="single" w:color="auto" w:sz="8" w:space="0"/>
            </w:tcBorders>
            <w:shd w:val="clear" w:color="auto" w:fill="auto"/>
            <w:vAlign w:val="center"/>
          </w:tcPr>
          <w:p>
            <w:pPr>
              <w:spacing w:line="360" w:lineRule="auto"/>
              <w:jc w:val="both"/>
              <w:rPr>
                <w:rFonts w:cs="Times New Roman"/>
                <w:b/>
                <w:bCs/>
                <w:color w:val="000000"/>
                <w:szCs w:val="21"/>
              </w:rPr>
            </w:pPr>
            <w:r>
              <w:rPr>
                <w:rFonts w:cs="Times New Roman"/>
                <w:b/>
                <w:bCs/>
                <w:color w:val="000000"/>
                <w:szCs w:val="21"/>
              </w:rPr>
              <w:t>Patterns of body composition</w:t>
            </w:r>
          </w:p>
        </w:tc>
        <w:tc>
          <w:tcPr>
            <w:tcW w:w="0" w:type="auto"/>
            <w:gridSpan w:val="3"/>
            <w:tcBorders>
              <w:top w:val="single" w:color="auto" w:sz="8" w:space="0"/>
              <w:bottom w:val="single" w:color="auto" w:sz="4" w:space="0"/>
            </w:tcBorders>
            <w:shd w:val="clear" w:color="auto" w:fill="auto"/>
          </w:tcPr>
          <w:p>
            <w:pPr>
              <w:spacing w:line="360" w:lineRule="auto"/>
              <w:jc w:val="center"/>
              <w:rPr>
                <w:rFonts w:cs="Times New Roman"/>
                <w:b/>
                <w:bCs/>
                <w:color w:val="000000"/>
                <w:szCs w:val="21"/>
              </w:rPr>
            </w:pPr>
            <w:r>
              <w:rPr>
                <w:rFonts w:eastAsia="Times New Roman" w:cs="Times New Roman"/>
                <w:b/>
                <w:bCs/>
                <w:color w:val="000000"/>
                <w:szCs w:val="21"/>
              </w:rPr>
              <w:t>HR (95% CI)</w:t>
            </w:r>
          </w:p>
        </w:tc>
      </w:tr>
      <w:tr>
        <w:tblPrEx>
          <w:tblCellMar>
            <w:top w:w="0" w:type="dxa"/>
            <w:left w:w="108" w:type="dxa"/>
            <w:bottom w:w="0" w:type="dxa"/>
            <w:right w:w="108" w:type="dxa"/>
          </w:tblCellMar>
        </w:tblPrEx>
        <w:trPr>
          <w:trHeight w:val="266" w:hRule="atLeast"/>
        </w:trPr>
        <w:tc>
          <w:tcPr>
            <w:tcW w:w="0" w:type="auto"/>
            <w:vMerge w:val="continue"/>
            <w:tcBorders>
              <w:bottom w:val="single" w:color="auto" w:sz="4" w:space="0"/>
            </w:tcBorders>
            <w:vAlign w:val="center"/>
          </w:tcPr>
          <w:p>
            <w:pPr>
              <w:spacing w:line="360" w:lineRule="auto"/>
              <w:rPr>
                <w:rFonts w:cs="Times New Roman"/>
                <w:b/>
                <w:bCs/>
                <w:color w:val="000000"/>
                <w:szCs w:val="21"/>
              </w:rPr>
            </w:pPr>
          </w:p>
        </w:tc>
        <w:tc>
          <w:tcPr>
            <w:tcW w:w="0" w:type="auto"/>
            <w:tcBorders>
              <w:top w:val="single" w:color="auto" w:sz="4" w:space="0"/>
              <w:bottom w:val="single" w:color="auto" w:sz="4" w:space="0"/>
            </w:tcBorders>
            <w:shd w:val="clear" w:color="auto" w:fill="auto"/>
          </w:tcPr>
          <w:p>
            <w:pPr>
              <w:spacing w:line="360" w:lineRule="auto"/>
              <w:rPr>
                <w:rFonts w:cs="Times New Roman"/>
                <w:b/>
                <w:bCs/>
                <w:color w:val="000000"/>
                <w:szCs w:val="21"/>
              </w:rPr>
            </w:pPr>
            <w:r>
              <w:rPr>
                <w:rFonts w:cs="Times New Roman"/>
                <w:b/>
                <w:bCs/>
                <w:color w:val="000000"/>
                <w:szCs w:val="21"/>
              </w:rPr>
              <w:t>Both</w:t>
            </w:r>
          </w:p>
        </w:tc>
        <w:tc>
          <w:tcPr>
            <w:tcW w:w="0" w:type="auto"/>
            <w:tcBorders>
              <w:top w:val="single" w:color="auto" w:sz="4" w:space="0"/>
              <w:bottom w:val="single" w:color="auto" w:sz="4" w:space="0"/>
            </w:tcBorders>
            <w:shd w:val="clear" w:color="auto" w:fill="auto"/>
          </w:tcPr>
          <w:p>
            <w:pPr>
              <w:spacing w:line="360" w:lineRule="auto"/>
              <w:rPr>
                <w:rFonts w:cs="Times New Roman"/>
                <w:b/>
                <w:bCs/>
                <w:color w:val="000000"/>
                <w:szCs w:val="21"/>
              </w:rPr>
            </w:pPr>
            <w:r>
              <w:rPr>
                <w:rFonts w:cs="Times New Roman"/>
                <w:b/>
                <w:bCs/>
                <w:color w:val="000000"/>
                <w:szCs w:val="21"/>
              </w:rPr>
              <w:t>Male</w:t>
            </w:r>
          </w:p>
        </w:tc>
        <w:tc>
          <w:tcPr>
            <w:tcW w:w="0" w:type="auto"/>
            <w:tcBorders>
              <w:top w:val="single" w:color="auto" w:sz="4" w:space="0"/>
              <w:bottom w:val="single" w:color="auto" w:sz="4" w:space="0"/>
            </w:tcBorders>
            <w:shd w:val="clear" w:color="auto" w:fill="auto"/>
          </w:tcPr>
          <w:p>
            <w:pPr>
              <w:spacing w:line="360" w:lineRule="auto"/>
              <w:rPr>
                <w:rFonts w:cs="Times New Roman"/>
                <w:b/>
                <w:bCs/>
                <w:color w:val="000000"/>
                <w:szCs w:val="21"/>
              </w:rPr>
            </w:pPr>
            <w:r>
              <w:rPr>
                <w:rFonts w:cs="Times New Roman"/>
                <w:b/>
                <w:bCs/>
                <w:color w:val="000000"/>
                <w:szCs w:val="21"/>
              </w:rPr>
              <w:t>Female</w:t>
            </w:r>
          </w:p>
        </w:tc>
      </w:tr>
      <w:tr>
        <w:trPr>
          <w:trHeight w:val="464" w:hRule="atLeast"/>
        </w:trPr>
        <w:tc>
          <w:tcPr>
            <w:tcW w:w="0" w:type="auto"/>
            <w:tcBorders>
              <w:top w:val="single" w:color="auto" w:sz="4" w:space="0"/>
            </w:tcBorders>
            <w:shd w:val="clear" w:color="auto" w:fill="auto"/>
            <w:noWrap/>
            <w:vAlign w:val="bottom"/>
          </w:tcPr>
          <w:p>
            <w:pPr>
              <w:spacing w:line="360" w:lineRule="auto"/>
              <w:jc w:val="both"/>
              <w:rPr>
                <w:rFonts w:cs="Times New Roman"/>
                <w:color w:val="000000"/>
                <w:szCs w:val="21"/>
              </w:rPr>
            </w:pPr>
            <w:r>
              <w:rPr>
                <w:rFonts w:cs="Times New Roman"/>
                <w:color w:val="000000"/>
                <w:szCs w:val="21"/>
              </w:rPr>
              <w:t>PC1_</w:t>
            </w:r>
            <w:bookmarkStart w:id="33" w:name="OLE_LINK7"/>
            <w:r>
              <w:rPr>
                <w:rFonts w:cs="Times New Roman"/>
                <w:color w:val="000000"/>
                <w:szCs w:val="21"/>
              </w:rPr>
              <w:t>Fat-to-lean mass</w:t>
            </w:r>
            <w:bookmarkEnd w:id="33"/>
          </w:p>
        </w:tc>
        <w:tc>
          <w:tcPr>
            <w:tcW w:w="0" w:type="auto"/>
            <w:tcBorders>
              <w:top w:val="single" w:color="auto" w:sz="4" w:space="0"/>
            </w:tcBorders>
            <w:shd w:val="clear" w:color="auto" w:fill="FFCCCC"/>
            <w:vAlign w:val="bottom"/>
          </w:tcPr>
          <w:p>
            <w:pPr>
              <w:spacing w:line="360" w:lineRule="auto"/>
              <w:jc w:val="both"/>
              <w:rPr>
                <w:rFonts w:cs="Times New Roman"/>
                <w:color w:val="000000"/>
                <w:szCs w:val="21"/>
              </w:rPr>
            </w:pPr>
            <w:r>
              <w:rPr>
                <w:rFonts w:cs="Times New Roman"/>
                <w:color w:val="000000"/>
                <w:szCs w:val="21"/>
              </w:rPr>
              <w:t>1.01 (1.00, 1.02)</w:t>
            </w:r>
          </w:p>
        </w:tc>
        <w:tc>
          <w:tcPr>
            <w:tcW w:w="0" w:type="auto"/>
            <w:tcBorders>
              <w:top w:val="single" w:color="auto" w:sz="4" w:space="0"/>
            </w:tcBorders>
            <w:shd w:val="clear" w:color="auto" w:fill="FFCCCC"/>
            <w:vAlign w:val="bottom"/>
          </w:tcPr>
          <w:p>
            <w:pPr>
              <w:spacing w:line="360" w:lineRule="auto"/>
              <w:jc w:val="both"/>
              <w:rPr>
                <w:rFonts w:cs="Times New Roman"/>
                <w:color w:val="000000"/>
                <w:szCs w:val="21"/>
              </w:rPr>
            </w:pPr>
            <w:r>
              <w:rPr>
                <w:rFonts w:cs="Times New Roman"/>
                <w:color w:val="000000"/>
                <w:szCs w:val="21"/>
              </w:rPr>
              <w:t>1.02 (1.00, 1.03)</w:t>
            </w:r>
          </w:p>
        </w:tc>
        <w:tc>
          <w:tcPr>
            <w:tcW w:w="0" w:type="auto"/>
            <w:tcBorders>
              <w:top w:val="single" w:color="auto" w:sz="4" w:space="0"/>
            </w:tcBorders>
            <w:shd w:val="clear" w:color="auto" w:fill="auto"/>
            <w:noWrap/>
            <w:vAlign w:val="bottom"/>
          </w:tcPr>
          <w:p>
            <w:pPr>
              <w:spacing w:line="360" w:lineRule="auto"/>
              <w:jc w:val="both"/>
              <w:rPr>
                <w:rFonts w:cs="Times New Roman"/>
                <w:color w:val="000000"/>
                <w:szCs w:val="21"/>
              </w:rPr>
            </w:pPr>
            <w:r>
              <w:rPr>
                <w:rFonts w:cs="Times New Roman"/>
                <w:color w:val="000000"/>
                <w:szCs w:val="21"/>
              </w:rPr>
              <w:t>1.01 (0.99, 1.02)</w:t>
            </w:r>
          </w:p>
        </w:tc>
      </w:tr>
      <w:tr>
        <w:tblPrEx>
          <w:tblCellMar>
            <w:top w:w="0" w:type="dxa"/>
            <w:left w:w="108" w:type="dxa"/>
            <w:bottom w:w="0" w:type="dxa"/>
            <w:right w:w="108" w:type="dxa"/>
          </w:tblCellMar>
        </w:tblPrEx>
        <w:trPr>
          <w:trHeight w:val="464" w:hRule="atLeast"/>
        </w:trPr>
        <w:tc>
          <w:tcPr>
            <w:tcW w:w="0" w:type="auto"/>
            <w:shd w:val="clear" w:color="auto" w:fill="auto"/>
            <w:noWrap/>
            <w:vAlign w:val="bottom"/>
          </w:tcPr>
          <w:p>
            <w:pPr>
              <w:spacing w:line="360" w:lineRule="auto"/>
              <w:jc w:val="both"/>
              <w:rPr>
                <w:rFonts w:cs="Times New Roman"/>
                <w:color w:val="000000"/>
                <w:szCs w:val="21"/>
              </w:rPr>
            </w:pPr>
            <w:r>
              <w:rPr>
                <w:rFonts w:cs="Times New Roman"/>
                <w:color w:val="000000"/>
                <w:szCs w:val="21"/>
              </w:rPr>
              <w:t>PC2_Lean mass</w:t>
            </w:r>
          </w:p>
        </w:tc>
        <w:tc>
          <w:tcPr>
            <w:tcW w:w="0" w:type="auto"/>
            <w:shd w:val="clear" w:color="auto" w:fill="CCECFF"/>
            <w:vAlign w:val="bottom"/>
          </w:tcPr>
          <w:p>
            <w:pPr>
              <w:spacing w:line="360" w:lineRule="auto"/>
              <w:jc w:val="both"/>
              <w:rPr>
                <w:rFonts w:cs="Times New Roman"/>
                <w:color w:val="000000"/>
                <w:szCs w:val="21"/>
              </w:rPr>
            </w:pPr>
            <w:r>
              <w:rPr>
                <w:rFonts w:cs="Times New Roman"/>
                <w:color w:val="000000"/>
                <w:szCs w:val="21"/>
              </w:rPr>
              <w:t>0.97 (0.95, 0.99)</w:t>
            </w:r>
          </w:p>
        </w:tc>
        <w:tc>
          <w:tcPr>
            <w:tcW w:w="0" w:type="auto"/>
            <w:shd w:val="clear" w:color="auto" w:fill="CCECFF"/>
            <w:vAlign w:val="bottom"/>
          </w:tcPr>
          <w:p>
            <w:pPr>
              <w:spacing w:line="360" w:lineRule="auto"/>
              <w:jc w:val="both"/>
              <w:rPr>
                <w:rFonts w:cs="Times New Roman"/>
                <w:color w:val="000000"/>
                <w:szCs w:val="21"/>
              </w:rPr>
            </w:pPr>
            <w:r>
              <w:rPr>
                <w:rFonts w:cs="Times New Roman"/>
                <w:color w:val="000000"/>
                <w:szCs w:val="21"/>
              </w:rPr>
              <w:t>0.96 (0.94, 0.98)</w:t>
            </w:r>
          </w:p>
        </w:tc>
        <w:tc>
          <w:tcPr>
            <w:tcW w:w="0" w:type="auto"/>
            <w:shd w:val="clear" w:color="auto" w:fill="auto"/>
            <w:noWrap/>
            <w:vAlign w:val="bottom"/>
          </w:tcPr>
          <w:p>
            <w:pPr>
              <w:spacing w:line="360" w:lineRule="auto"/>
              <w:jc w:val="both"/>
              <w:rPr>
                <w:rFonts w:cs="Times New Roman"/>
                <w:color w:val="000000"/>
                <w:szCs w:val="21"/>
              </w:rPr>
            </w:pPr>
            <w:r>
              <w:rPr>
                <w:rFonts w:cs="Times New Roman"/>
                <w:color w:val="000000"/>
                <w:szCs w:val="21"/>
              </w:rPr>
              <w:t>0.99 (0.96, 1.01)</w:t>
            </w:r>
          </w:p>
        </w:tc>
      </w:tr>
      <w:tr>
        <w:tblPrEx>
          <w:tblCellMar>
            <w:top w:w="0" w:type="dxa"/>
            <w:left w:w="108" w:type="dxa"/>
            <w:bottom w:w="0" w:type="dxa"/>
            <w:right w:w="108" w:type="dxa"/>
          </w:tblCellMar>
        </w:tblPrEx>
        <w:trPr>
          <w:trHeight w:val="464" w:hRule="atLeast"/>
        </w:trPr>
        <w:tc>
          <w:tcPr>
            <w:tcW w:w="0" w:type="auto"/>
            <w:shd w:val="clear" w:color="auto" w:fill="auto"/>
            <w:noWrap/>
            <w:vAlign w:val="bottom"/>
          </w:tcPr>
          <w:p>
            <w:pPr>
              <w:spacing w:line="360" w:lineRule="auto"/>
              <w:jc w:val="both"/>
              <w:rPr>
                <w:rFonts w:cs="Times New Roman"/>
                <w:color w:val="000000"/>
                <w:szCs w:val="21"/>
              </w:rPr>
            </w:pPr>
            <w:r>
              <w:rPr>
                <w:rFonts w:cs="Times New Roman"/>
                <w:color w:val="000000"/>
                <w:szCs w:val="21"/>
              </w:rPr>
              <w:t>PC3_Central obesity</w:t>
            </w:r>
          </w:p>
        </w:tc>
        <w:tc>
          <w:tcPr>
            <w:tcW w:w="0" w:type="auto"/>
            <w:shd w:val="clear" w:color="auto" w:fill="FFCCCC"/>
            <w:vAlign w:val="bottom"/>
          </w:tcPr>
          <w:p>
            <w:pPr>
              <w:spacing w:line="360" w:lineRule="auto"/>
              <w:jc w:val="both"/>
              <w:rPr>
                <w:rFonts w:cs="Times New Roman"/>
                <w:color w:val="000000"/>
                <w:szCs w:val="21"/>
              </w:rPr>
            </w:pPr>
            <w:bookmarkStart w:id="34" w:name="OLE_LINK6"/>
            <w:r>
              <w:rPr>
                <w:rFonts w:cs="Times New Roman"/>
                <w:color w:val="000000"/>
                <w:szCs w:val="21"/>
              </w:rPr>
              <w:t>1.04 (1.02, 1.07)</w:t>
            </w:r>
            <w:bookmarkEnd w:id="34"/>
          </w:p>
        </w:tc>
        <w:tc>
          <w:tcPr>
            <w:tcW w:w="0" w:type="auto"/>
            <w:shd w:val="clear" w:color="auto" w:fill="auto"/>
            <w:vAlign w:val="bottom"/>
          </w:tcPr>
          <w:p>
            <w:pPr>
              <w:spacing w:line="360" w:lineRule="auto"/>
              <w:jc w:val="both"/>
              <w:rPr>
                <w:rFonts w:cs="Times New Roman"/>
                <w:color w:val="000000"/>
                <w:szCs w:val="21"/>
              </w:rPr>
            </w:pPr>
            <w:r>
              <w:rPr>
                <w:rFonts w:cs="Times New Roman"/>
                <w:color w:val="000000"/>
                <w:szCs w:val="21"/>
              </w:rPr>
              <w:t>1.01 (0.98, 1.05)</w:t>
            </w:r>
          </w:p>
        </w:tc>
        <w:tc>
          <w:tcPr>
            <w:tcW w:w="0" w:type="auto"/>
            <w:shd w:val="clear" w:color="auto" w:fill="FFCCCC"/>
            <w:noWrap/>
            <w:vAlign w:val="bottom"/>
          </w:tcPr>
          <w:p>
            <w:pPr>
              <w:spacing w:line="360" w:lineRule="auto"/>
              <w:jc w:val="both"/>
              <w:rPr>
                <w:rFonts w:cs="Times New Roman"/>
                <w:color w:val="000000"/>
                <w:szCs w:val="21"/>
              </w:rPr>
            </w:pPr>
            <w:r>
              <w:rPr>
                <w:rFonts w:cs="Times New Roman"/>
                <w:color w:val="000000"/>
                <w:szCs w:val="21"/>
              </w:rPr>
              <w:t>1.06 (1.03, 1.10)</w:t>
            </w:r>
          </w:p>
        </w:tc>
      </w:tr>
      <w:tr>
        <w:tblPrEx>
          <w:tblCellMar>
            <w:top w:w="0" w:type="dxa"/>
            <w:left w:w="108" w:type="dxa"/>
            <w:bottom w:w="0" w:type="dxa"/>
            <w:right w:w="108" w:type="dxa"/>
          </w:tblCellMar>
        </w:tblPrEx>
        <w:trPr>
          <w:trHeight w:val="464" w:hRule="atLeast"/>
        </w:trPr>
        <w:tc>
          <w:tcPr>
            <w:tcW w:w="0" w:type="auto"/>
            <w:shd w:val="clear" w:color="auto" w:fill="auto"/>
            <w:noWrap/>
            <w:vAlign w:val="bottom"/>
          </w:tcPr>
          <w:p>
            <w:pPr>
              <w:spacing w:line="360" w:lineRule="auto"/>
              <w:jc w:val="both"/>
              <w:rPr>
                <w:rFonts w:cs="Times New Roman"/>
                <w:color w:val="000000"/>
                <w:szCs w:val="21"/>
              </w:rPr>
            </w:pPr>
            <w:r>
              <w:rPr>
                <w:rFonts w:cs="Times New Roman"/>
                <w:color w:val="000000"/>
                <w:szCs w:val="21"/>
              </w:rPr>
              <w:t>PC4_Muscle strength</w:t>
            </w:r>
          </w:p>
        </w:tc>
        <w:tc>
          <w:tcPr>
            <w:tcW w:w="0" w:type="auto"/>
            <w:shd w:val="clear" w:color="auto" w:fill="CCECFF"/>
            <w:vAlign w:val="bottom"/>
          </w:tcPr>
          <w:p>
            <w:pPr>
              <w:spacing w:line="360" w:lineRule="auto"/>
              <w:jc w:val="both"/>
              <w:rPr>
                <w:rFonts w:cs="Times New Roman"/>
                <w:color w:val="000000"/>
                <w:szCs w:val="21"/>
              </w:rPr>
            </w:pPr>
            <w:r>
              <w:rPr>
                <w:rFonts w:cs="Times New Roman"/>
                <w:color w:val="000000"/>
                <w:szCs w:val="21"/>
              </w:rPr>
              <w:t>0.89 (0.87, 0.91)</w:t>
            </w:r>
          </w:p>
        </w:tc>
        <w:tc>
          <w:tcPr>
            <w:tcW w:w="0" w:type="auto"/>
            <w:shd w:val="clear" w:color="auto" w:fill="CCECFF"/>
            <w:vAlign w:val="bottom"/>
          </w:tcPr>
          <w:p>
            <w:pPr>
              <w:spacing w:line="360" w:lineRule="auto"/>
              <w:jc w:val="both"/>
              <w:rPr>
                <w:rFonts w:cs="Times New Roman"/>
                <w:color w:val="000000"/>
                <w:szCs w:val="21"/>
              </w:rPr>
            </w:pPr>
            <w:r>
              <w:rPr>
                <w:rFonts w:cs="Times New Roman"/>
                <w:color w:val="000000"/>
                <w:szCs w:val="21"/>
              </w:rPr>
              <w:t>0.88 (0.85, 0.91)</w:t>
            </w:r>
          </w:p>
        </w:tc>
        <w:tc>
          <w:tcPr>
            <w:tcW w:w="0" w:type="auto"/>
            <w:shd w:val="clear" w:color="auto" w:fill="CCECFF"/>
            <w:noWrap/>
            <w:vAlign w:val="bottom"/>
          </w:tcPr>
          <w:p>
            <w:pPr>
              <w:spacing w:line="360" w:lineRule="auto"/>
              <w:jc w:val="both"/>
              <w:rPr>
                <w:rFonts w:cs="Times New Roman"/>
                <w:color w:val="000000"/>
                <w:szCs w:val="21"/>
              </w:rPr>
            </w:pPr>
            <w:r>
              <w:rPr>
                <w:rFonts w:cs="Times New Roman"/>
                <w:color w:val="000000"/>
                <w:szCs w:val="21"/>
              </w:rPr>
              <w:t>0.90 (0.87, 0.93)</w:t>
            </w:r>
          </w:p>
        </w:tc>
      </w:tr>
      <w:tr>
        <w:tblPrEx>
          <w:tblCellMar>
            <w:top w:w="0" w:type="dxa"/>
            <w:left w:w="108" w:type="dxa"/>
            <w:bottom w:w="0" w:type="dxa"/>
            <w:right w:w="108" w:type="dxa"/>
          </w:tblCellMar>
        </w:tblPrEx>
        <w:trPr>
          <w:trHeight w:val="464" w:hRule="atLeast"/>
        </w:trPr>
        <w:tc>
          <w:tcPr>
            <w:tcW w:w="0" w:type="auto"/>
            <w:shd w:val="clear" w:color="auto" w:fill="auto"/>
            <w:noWrap/>
            <w:vAlign w:val="bottom"/>
          </w:tcPr>
          <w:p>
            <w:pPr>
              <w:spacing w:line="360" w:lineRule="auto"/>
              <w:jc w:val="both"/>
              <w:rPr>
                <w:rFonts w:cs="Times New Roman"/>
                <w:color w:val="000000"/>
                <w:szCs w:val="21"/>
              </w:rPr>
            </w:pPr>
            <w:r>
              <w:rPr>
                <w:rFonts w:cs="Times New Roman"/>
                <w:color w:val="000000"/>
                <w:szCs w:val="21"/>
              </w:rPr>
              <w:t>PC5_Bone density</w:t>
            </w:r>
          </w:p>
        </w:tc>
        <w:tc>
          <w:tcPr>
            <w:tcW w:w="0" w:type="auto"/>
            <w:shd w:val="clear" w:color="auto" w:fill="CCECFF"/>
            <w:noWrap/>
            <w:vAlign w:val="bottom"/>
          </w:tcPr>
          <w:p>
            <w:pPr>
              <w:spacing w:line="360" w:lineRule="auto"/>
              <w:jc w:val="both"/>
              <w:rPr>
                <w:rFonts w:cs="Times New Roman"/>
                <w:color w:val="000000"/>
                <w:szCs w:val="21"/>
              </w:rPr>
            </w:pPr>
            <w:r>
              <w:rPr>
                <w:rFonts w:cs="Times New Roman"/>
                <w:color w:val="000000"/>
                <w:szCs w:val="21"/>
              </w:rPr>
              <w:t>0.96 (0.93, 0.99)</w:t>
            </w:r>
          </w:p>
        </w:tc>
        <w:tc>
          <w:tcPr>
            <w:tcW w:w="0" w:type="auto"/>
            <w:shd w:val="clear" w:color="auto" w:fill="CCECFF"/>
            <w:noWrap/>
            <w:vAlign w:val="bottom"/>
          </w:tcPr>
          <w:p>
            <w:pPr>
              <w:spacing w:line="360" w:lineRule="auto"/>
              <w:jc w:val="both"/>
              <w:rPr>
                <w:rFonts w:cs="Times New Roman"/>
                <w:color w:val="000000"/>
                <w:szCs w:val="21"/>
              </w:rPr>
            </w:pPr>
            <w:r>
              <w:rPr>
                <w:rFonts w:cs="Times New Roman"/>
                <w:color w:val="000000"/>
                <w:szCs w:val="21"/>
              </w:rPr>
              <w:t xml:space="preserve">0.96 (0.92, </w:t>
            </w:r>
            <w:r>
              <w:rPr>
                <w:rFonts w:hint="eastAsia" w:cs="Times New Roman"/>
                <w:color w:val="000000"/>
                <w:szCs w:val="21"/>
              </w:rPr>
              <w:t>0.99</w:t>
            </w:r>
            <w:r>
              <w:rPr>
                <w:rFonts w:cs="Times New Roman"/>
                <w:color w:val="000000"/>
                <w:szCs w:val="21"/>
              </w:rPr>
              <w:t>)</w:t>
            </w:r>
          </w:p>
        </w:tc>
        <w:tc>
          <w:tcPr>
            <w:tcW w:w="0" w:type="auto"/>
            <w:shd w:val="clear" w:color="auto" w:fill="CCECFF"/>
            <w:noWrap/>
            <w:vAlign w:val="bottom"/>
          </w:tcPr>
          <w:p>
            <w:pPr>
              <w:spacing w:line="360" w:lineRule="auto"/>
              <w:jc w:val="both"/>
              <w:rPr>
                <w:rFonts w:cs="Times New Roman"/>
                <w:color w:val="000000"/>
                <w:szCs w:val="21"/>
              </w:rPr>
            </w:pPr>
            <w:r>
              <w:rPr>
                <w:rFonts w:cs="Times New Roman"/>
                <w:color w:val="000000"/>
                <w:szCs w:val="21"/>
              </w:rPr>
              <w:t>0.95 (0.91, 0.99)</w:t>
            </w:r>
          </w:p>
        </w:tc>
      </w:tr>
      <w:tr>
        <w:tblPrEx>
          <w:tblCellMar>
            <w:top w:w="0" w:type="dxa"/>
            <w:left w:w="108" w:type="dxa"/>
            <w:bottom w:w="0" w:type="dxa"/>
            <w:right w:w="108" w:type="dxa"/>
          </w:tblCellMar>
        </w:tblPrEx>
        <w:trPr>
          <w:trHeight w:val="464" w:hRule="atLeast"/>
        </w:trPr>
        <w:tc>
          <w:tcPr>
            <w:tcW w:w="0" w:type="auto"/>
            <w:shd w:val="clear" w:color="auto" w:fill="auto"/>
            <w:noWrap/>
            <w:vAlign w:val="bottom"/>
          </w:tcPr>
          <w:p>
            <w:pPr>
              <w:spacing w:line="360" w:lineRule="auto"/>
              <w:jc w:val="both"/>
              <w:rPr>
                <w:rFonts w:cs="Times New Roman"/>
                <w:color w:val="000000"/>
                <w:szCs w:val="21"/>
              </w:rPr>
            </w:pPr>
            <w:r>
              <w:rPr>
                <w:rFonts w:cs="Times New Roman"/>
                <w:color w:val="000000"/>
                <w:szCs w:val="21"/>
              </w:rPr>
              <w:t>PC6_Arm-dominant fat distribution</w:t>
            </w:r>
          </w:p>
        </w:tc>
        <w:tc>
          <w:tcPr>
            <w:tcW w:w="0" w:type="auto"/>
            <w:shd w:val="clear" w:color="auto" w:fill="FFCCCC"/>
            <w:noWrap/>
            <w:vAlign w:val="bottom"/>
          </w:tcPr>
          <w:p>
            <w:pPr>
              <w:spacing w:line="360" w:lineRule="auto"/>
              <w:jc w:val="both"/>
              <w:rPr>
                <w:rFonts w:cs="Times New Roman"/>
                <w:color w:val="000000"/>
                <w:szCs w:val="21"/>
              </w:rPr>
            </w:pPr>
            <w:r>
              <w:rPr>
                <w:rFonts w:cs="Times New Roman"/>
                <w:color w:val="000000"/>
                <w:szCs w:val="21"/>
              </w:rPr>
              <w:t>1.12 (1.09, 1.16)</w:t>
            </w:r>
          </w:p>
        </w:tc>
        <w:tc>
          <w:tcPr>
            <w:tcW w:w="0" w:type="auto"/>
            <w:shd w:val="clear" w:color="auto" w:fill="FFCCCC"/>
            <w:noWrap/>
            <w:vAlign w:val="bottom"/>
          </w:tcPr>
          <w:p>
            <w:pPr>
              <w:spacing w:line="360" w:lineRule="auto"/>
              <w:jc w:val="both"/>
              <w:rPr>
                <w:rFonts w:cs="Times New Roman"/>
                <w:color w:val="000000"/>
                <w:szCs w:val="21"/>
              </w:rPr>
            </w:pPr>
            <w:r>
              <w:rPr>
                <w:rFonts w:cs="Times New Roman"/>
                <w:color w:val="000000"/>
                <w:szCs w:val="21"/>
              </w:rPr>
              <w:t>1.12 (1.08, 1.16)</w:t>
            </w:r>
          </w:p>
        </w:tc>
        <w:tc>
          <w:tcPr>
            <w:tcW w:w="0" w:type="auto"/>
            <w:shd w:val="clear" w:color="auto" w:fill="FFCCCC"/>
            <w:noWrap/>
            <w:vAlign w:val="bottom"/>
          </w:tcPr>
          <w:p>
            <w:pPr>
              <w:spacing w:line="360" w:lineRule="auto"/>
              <w:jc w:val="both"/>
              <w:rPr>
                <w:rFonts w:cs="Times New Roman"/>
                <w:color w:val="000000"/>
                <w:szCs w:val="21"/>
              </w:rPr>
            </w:pPr>
            <w:r>
              <w:rPr>
                <w:rFonts w:cs="Times New Roman"/>
                <w:color w:val="000000"/>
                <w:szCs w:val="21"/>
              </w:rPr>
              <w:t>1.13 (1.09, 1.19)</w:t>
            </w:r>
          </w:p>
        </w:tc>
      </w:tr>
      <w:tr>
        <w:tblPrEx>
          <w:tblCellMar>
            <w:top w:w="0" w:type="dxa"/>
            <w:left w:w="108" w:type="dxa"/>
            <w:bottom w:w="0" w:type="dxa"/>
            <w:right w:w="108" w:type="dxa"/>
          </w:tblCellMar>
        </w:tblPrEx>
        <w:trPr>
          <w:trHeight w:val="464" w:hRule="atLeast"/>
        </w:trPr>
        <w:tc>
          <w:tcPr>
            <w:tcW w:w="0" w:type="auto"/>
            <w:tcBorders>
              <w:bottom w:val="single" w:color="auto" w:sz="8" w:space="0"/>
            </w:tcBorders>
            <w:shd w:val="clear" w:color="auto" w:fill="auto"/>
            <w:noWrap/>
            <w:vAlign w:val="bottom"/>
          </w:tcPr>
          <w:p>
            <w:pPr>
              <w:spacing w:line="360" w:lineRule="auto"/>
              <w:jc w:val="both"/>
              <w:rPr>
                <w:rFonts w:cs="Times New Roman"/>
                <w:color w:val="000000"/>
                <w:szCs w:val="21"/>
              </w:rPr>
            </w:pPr>
            <w:r>
              <w:rPr>
                <w:rFonts w:cs="Times New Roman"/>
                <w:color w:val="000000"/>
                <w:szCs w:val="21"/>
              </w:rPr>
              <w:t>PC7_Leg-dominant fat distribution</w:t>
            </w:r>
          </w:p>
        </w:tc>
        <w:tc>
          <w:tcPr>
            <w:tcW w:w="0" w:type="auto"/>
            <w:tcBorders>
              <w:bottom w:val="single" w:color="auto" w:sz="8" w:space="0"/>
            </w:tcBorders>
            <w:shd w:val="clear" w:color="auto" w:fill="auto"/>
            <w:noWrap/>
            <w:vAlign w:val="bottom"/>
          </w:tcPr>
          <w:p>
            <w:pPr>
              <w:spacing w:line="360" w:lineRule="auto"/>
              <w:jc w:val="both"/>
              <w:rPr>
                <w:rFonts w:cs="Times New Roman"/>
                <w:color w:val="000000"/>
                <w:szCs w:val="21"/>
              </w:rPr>
            </w:pPr>
            <w:r>
              <w:rPr>
                <w:rFonts w:cs="Times New Roman"/>
                <w:color w:val="000000"/>
                <w:szCs w:val="21"/>
              </w:rPr>
              <w:t>1.00 (0.97, 1.03)</w:t>
            </w:r>
          </w:p>
        </w:tc>
        <w:tc>
          <w:tcPr>
            <w:tcW w:w="0" w:type="auto"/>
            <w:tcBorders>
              <w:bottom w:val="single" w:color="auto" w:sz="8" w:space="0"/>
            </w:tcBorders>
            <w:shd w:val="clear" w:color="auto" w:fill="auto"/>
            <w:noWrap/>
            <w:vAlign w:val="bottom"/>
          </w:tcPr>
          <w:p>
            <w:pPr>
              <w:spacing w:line="360" w:lineRule="auto"/>
              <w:jc w:val="both"/>
              <w:rPr>
                <w:rFonts w:cs="Times New Roman"/>
                <w:color w:val="000000"/>
                <w:szCs w:val="21"/>
              </w:rPr>
            </w:pPr>
            <w:r>
              <w:rPr>
                <w:rFonts w:cs="Times New Roman"/>
                <w:color w:val="000000"/>
                <w:szCs w:val="21"/>
              </w:rPr>
              <w:t>0.99 (0.95, 1.02)</w:t>
            </w:r>
          </w:p>
        </w:tc>
        <w:tc>
          <w:tcPr>
            <w:tcW w:w="0" w:type="auto"/>
            <w:tcBorders>
              <w:bottom w:val="single" w:color="auto" w:sz="8" w:space="0"/>
            </w:tcBorders>
            <w:shd w:val="clear" w:color="auto" w:fill="auto"/>
            <w:noWrap/>
            <w:vAlign w:val="bottom"/>
          </w:tcPr>
          <w:p>
            <w:pPr>
              <w:spacing w:line="360" w:lineRule="auto"/>
              <w:jc w:val="both"/>
              <w:rPr>
                <w:rFonts w:cs="Times New Roman"/>
                <w:color w:val="000000"/>
                <w:szCs w:val="21"/>
              </w:rPr>
            </w:pPr>
            <w:r>
              <w:rPr>
                <w:rFonts w:cs="Times New Roman"/>
                <w:color w:val="000000"/>
                <w:szCs w:val="21"/>
              </w:rPr>
              <w:t>1.02 (0.98, 1.06)</w:t>
            </w:r>
          </w:p>
        </w:tc>
      </w:tr>
    </w:tbl>
    <w:p>
      <w:pPr>
        <w:spacing w:line="360" w:lineRule="auto"/>
        <w:textAlignment w:val="center"/>
        <w:rPr>
          <w:rFonts w:cs="Times New Roman"/>
          <w:bCs/>
          <w:szCs w:val="21"/>
        </w:rPr>
      </w:pPr>
      <w:bookmarkStart w:id="35" w:name="OLE_LINK21"/>
      <w:r>
        <w:rPr>
          <w:rFonts w:hint="eastAsia" w:cs="Times New Roman"/>
          <w:bCs/>
          <w:szCs w:val="21"/>
        </w:rPr>
        <w:t xml:space="preserve">Those results that reached statistical significance (i.e., p-value &lt;0.05 using the false discovery rate for adjustment of multiple testing) are marked with color, with blue denoting inverse associations and red denoting positive associations. </w:t>
      </w:r>
      <w:bookmarkEnd w:id="35"/>
      <w:r>
        <w:rPr>
          <w:rFonts w:hint="eastAsia" w:cs="Times New Roman"/>
          <w:bCs/>
          <w:szCs w:val="21"/>
        </w:rPr>
        <w:t>HRs and 95% CIs were derived from Cox proportional hazards models with attained age as the timescale after adjusting for sex, ethnicity, age at recruitment, Townsend deprivation index, smoking status, average weekly alcohol intake, physical activity, and comorbidities. Abbreviations: HR, hazard ratio; CI, confidence interval; PC, principal component.</w:t>
      </w:r>
    </w:p>
    <w:p>
      <w:pPr>
        <w:textAlignment w:val="center"/>
        <w:rPr>
          <w:rFonts w:cs="Times New Roman"/>
          <w:szCs w:val="21"/>
        </w:rPr>
        <w:sectPr>
          <w:pgSz w:w="12240" w:h="15840"/>
          <w:pgMar w:top="1440" w:right="1800" w:bottom="1440" w:left="1800" w:header="720" w:footer="720" w:gutter="0"/>
          <w:cols w:space="720" w:num="1"/>
          <w:docGrid w:linePitch="326" w:charSpace="0"/>
        </w:sectPr>
      </w:pPr>
    </w:p>
    <w:p>
      <w:pPr>
        <w:pStyle w:val="49"/>
        <w:spacing w:line="360" w:lineRule="auto"/>
      </w:pPr>
      <w:bookmarkStart w:id="36" w:name="_Toc196124123"/>
      <w:bookmarkStart w:id="37" w:name="_Toc196124152"/>
      <w:bookmarkStart w:id="38" w:name="_Toc196123190"/>
      <w:r>
        <w:rPr>
          <w:rFonts w:hint="eastAsia"/>
        </w:rPr>
        <w:t xml:space="preserve">S8 </w:t>
      </w:r>
      <w:r>
        <w:t>Table.</w:t>
      </w:r>
      <w:r>
        <w:rPr>
          <w:rFonts w:hint="eastAsia"/>
        </w:rPr>
        <w:t xml:space="preserve"> Hazard ratios for incident epilepsy according to individual components of body composition in multivariable Cox proportional hazards models.</w:t>
      </w:r>
      <w:bookmarkEnd w:id="36"/>
      <w:bookmarkEnd w:id="37"/>
      <w:bookmarkEnd w:id="38"/>
    </w:p>
    <w:tbl>
      <w:tblPr>
        <w:tblStyle w:val="25"/>
        <w:tblpPr w:leftFromText="180" w:rightFromText="180" w:vertAnchor="text" w:tblpY="1"/>
        <w:tblOverlap w:val="never"/>
        <w:tblW w:w="0" w:type="auto"/>
        <w:tblInd w:w="0" w:type="dxa"/>
        <w:tblLayout w:type="autofit"/>
        <w:tblCellMar>
          <w:top w:w="0" w:type="dxa"/>
          <w:left w:w="108" w:type="dxa"/>
          <w:bottom w:w="0" w:type="dxa"/>
          <w:right w:w="108" w:type="dxa"/>
        </w:tblCellMar>
      </w:tblPr>
      <w:tblGrid>
        <w:gridCol w:w="2282"/>
        <w:gridCol w:w="3209"/>
        <w:gridCol w:w="1138"/>
        <w:gridCol w:w="1301"/>
        <w:gridCol w:w="1616"/>
        <w:gridCol w:w="1301"/>
        <w:gridCol w:w="1616"/>
        <w:gridCol w:w="1196"/>
        <w:gridCol w:w="1616"/>
      </w:tblGrid>
      <w:tr>
        <w:tblPrEx>
          <w:tblCellMar>
            <w:top w:w="0" w:type="dxa"/>
            <w:left w:w="108" w:type="dxa"/>
            <w:bottom w:w="0" w:type="dxa"/>
            <w:right w:w="108" w:type="dxa"/>
          </w:tblCellMar>
        </w:tblPrEx>
        <w:trPr>
          <w:trHeight w:val="312" w:hRule="atLeast"/>
          <w:tblHeader/>
        </w:trPr>
        <w:tc>
          <w:tcPr>
            <w:tcW w:w="0" w:type="auto"/>
            <w:vMerge w:val="restart"/>
            <w:tcBorders>
              <w:top w:val="single" w:color="auto" w:sz="8" w:space="0"/>
              <w:bottom w:val="single" w:color="auto" w:sz="4" w:space="0"/>
            </w:tcBorders>
            <w:vAlign w:val="center"/>
          </w:tcPr>
          <w:p>
            <w:pPr>
              <w:jc w:val="both"/>
              <w:rPr>
                <w:rFonts w:eastAsia="Times New Roman" w:cs="Times New Roman"/>
                <w:b/>
                <w:bCs/>
                <w:color w:val="000000"/>
                <w:szCs w:val="21"/>
              </w:rPr>
            </w:pPr>
            <w:bookmarkStart w:id="39" w:name="_Hlk191825516"/>
            <w:bookmarkStart w:id="40" w:name="OLE_LINK1"/>
            <w:r>
              <w:rPr>
                <w:rFonts w:eastAsia="Times New Roman" w:cs="Times New Roman"/>
                <w:b/>
                <w:bCs/>
                <w:color w:val="000000"/>
                <w:szCs w:val="21"/>
              </w:rPr>
              <w:t>Category</w:t>
            </w:r>
          </w:p>
        </w:tc>
        <w:tc>
          <w:tcPr>
            <w:tcW w:w="0" w:type="auto"/>
            <w:vMerge w:val="restart"/>
            <w:tcBorders>
              <w:top w:val="single" w:color="auto" w:sz="8" w:space="0"/>
            </w:tcBorders>
            <w:vAlign w:val="center"/>
          </w:tcPr>
          <w:p>
            <w:pPr>
              <w:jc w:val="both"/>
              <w:rPr>
                <w:rFonts w:eastAsia="Times New Roman" w:cs="Times New Roman"/>
                <w:b/>
                <w:bCs/>
                <w:color w:val="000000"/>
                <w:szCs w:val="21"/>
              </w:rPr>
            </w:pPr>
            <w:r>
              <w:rPr>
                <w:rFonts w:eastAsia="Times New Roman" w:cs="Times New Roman"/>
                <w:b/>
                <w:bCs/>
                <w:color w:val="000000"/>
                <w:szCs w:val="21"/>
              </w:rPr>
              <w:t>Components of body composition</w:t>
            </w:r>
          </w:p>
        </w:tc>
        <w:tc>
          <w:tcPr>
            <w:tcW w:w="0" w:type="auto"/>
            <w:vMerge w:val="restart"/>
            <w:tcBorders>
              <w:top w:val="single" w:color="auto" w:sz="8" w:space="0"/>
              <w:bottom w:val="single" w:color="auto" w:sz="4" w:space="0"/>
            </w:tcBorders>
            <w:vAlign w:val="center"/>
          </w:tcPr>
          <w:p>
            <w:pPr>
              <w:jc w:val="both"/>
              <w:rPr>
                <w:rFonts w:eastAsia="Times New Roman" w:cs="Times New Roman"/>
                <w:b/>
                <w:bCs/>
                <w:color w:val="000000"/>
                <w:szCs w:val="21"/>
              </w:rPr>
            </w:pPr>
            <w:r>
              <w:rPr>
                <w:rFonts w:eastAsia="Times New Roman" w:cs="Times New Roman"/>
                <w:b/>
                <w:bCs/>
                <w:color w:val="000000"/>
                <w:szCs w:val="21"/>
              </w:rPr>
              <w:t>Level</w:t>
            </w:r>
          </w:p>
        </w:tc>
        <w:tc>
          <w:tcPr>
            <w:tcW w:w="0" w:type="auto"/>
            <w:tcBorders>
              <w:top w:val="single" w:color="auto" w:sz="8" w:space="0"/>
              <w:bottom w:val="single" w:color="auto" w:sz="4" w:space="0"/>
            </w:tcBorders>
          </w:tcPr>
          <w:p>
            <w:pPr>
              <w:jc w:val="both"/>
              <w:rPr>
                <w:rFonts w:cs="Times New Roman"/>
                <w:b/>
                <w:bCs/>
                <w:color w:val="000000"/>
                <w:szCs w:val="21"/>
              </w:rPr>
            </w:pPr>
            <w:r>
              <w:rPr>
                <w:rFonts w:hint="eastAsia" w:cs="Times New Roman"/>
                <w:b/>
                <w:bCs/>
                <w:color w:val="000000"/>
                <w:szCs w:val="21"/>
              </w:rPr>
              <w:t>Both</w:t>
            </w:r>
          </w:p>
        </w:tc>
        <w:tc>
          <w:tcPr>
            <w:tcW w:w="0" w:type="auto"/>
            <w:tcBorders>
              <w:top w:val="single" w:color="auto" w:sz="8" w:space="0"/>
              <w:bottom w:val="single" w:color="auto" w:sz="4" w:space="0"/>
            </w:tcBorders>
          </w:tcPr>
          <w:p>
            <w:pPr>
              <w:jc w:val="both"/>
              <w:rPr>
                <w:rFonts w:cs="Times New Roman"/>
                <w:b/>
                <w:bCs/>
                <w:color w:val="000000"/>
                <w:szCs w:val="21"/>
              </w:rPr>
            </w:pPr>
          </w:p>
        </w:tc>
        <w:tc>
          <w:tcPr>
            <w:tcW w:w="0" w:type="auto"/>
            <w:tcBorders>
              <w:top w:val="single" w:color="auto" w:sz="8" w:space="0"/>
              <w:bottom w:val="single" w:color="auto" w:sz="4" w:space="0"/>
            </w:tcBorders>
          </w:tcPr>
          <w:p>
            <w:pPr>
              <w:jc w:val="both"/>
              <w:rPr>
                <w:rFonts w:cs="Times New Roman"/>
                <w:b/>
                <w:bCs/>
                <w:color w:val="000000"/>
                <w:szCs w:val="21"/>
              </w:rPr>
            </w:pPr>
            <w:r>
              <w:rPr>
                <w:rFonts w:cs="Times New Roman"/>
                <w:b/>
                <w:bCs/>
                <w:color w:val="000000"/>
                <w:szCs w:val="21"/>
              </w:rPr>
              <w:t>Male</w:t>
            </w:r>
          </w:p>
        </w:tc>
        <w:tc>
          <w:tcPr>
            <w:tcW w:w="0" w:type="auto"/>
            <w:tcBorders>
              <w:top w:val="single" w:color="auto" w:sz="8" w:space="0"/>
              <w:bottom w:val="single" w:color="auto" w:sz="4" w:space="0"/>
            </w:tcBorders>
          </w:tcPr>
          <w:p>
            <w:pPr>
              <w:jc w:val="both"/>
              <w:rPr>
                <w:rFonts w:cs="Times New Roman"/>
                <w:b/>
                <w:bCs/>
                <w:color w:val="000000"/>
                <w:szCs w:val="21"/>
              </w:rPr>
            </w:pPr>
          </w:p>
        </w:tc>
        <w:tc>
          <w:tcPr>
            <w:tcW w:w="0" w:type="auto"/>
            <w:tcBorders>
              <w:top w:val="single" w:color="auto" w:sz="8" w:space="0"/>
              <w:bottom w:val="single" w:color="auto" w:sz="4" w:space="0"/>
            </w:tcBorders>
          </w:tcPr>
          <w:p>
            <w:pPr>
              <w:jc w:val="both"/>
              <w:rPr>
                <w:rFonts w:cs="Times New Roman"/>
                <w:b/>
                <w:bCs/>
                <w:color w:val="000000"/>
                <w:szCs w:val="21"/>
              </w:rPr>
            </w:pPr>
            <w:r>
              <w:rPr>
                <w:rFonts w:cs="Times New Roman"/>
                <w:b/>
                <w:bCs/>
                <w:color w:val="000000"/>
                <w:szCs w:val="21"/>
              </w:rPr>
              <w:t>Female</w:t>
            </w:r>
          </w:p>
        </w:tc>
        <w:tc>
          <w:tcPr>
            <w:tcW w:w="0" w:type="auto"/>
            <w:tcBorders>
              <w:top w:val="single" w:color="auto" w:sz="8" w:space="0"/>
              <w:bottom w:val="single" w:color="auto" w:sz="4" w:space="0"/>
            </w:tcBorders>
          </w:tcPr>
          <w:p>
            <w:pPr>
              <w:jc w:val="both"/>
              <w:rPr>
                <w:rFonts w:cs="Times New Roman"/>
                <w:b/>
                <w:bCs/>
                <w:color w:val="000000"/>
                <w:szCs w:val="21"/>
              </w:rPr>
            </w:pPr>
          </w:p>
        </w:tc>
      </w:tr>
      <w:tr>
        <w:tblPrEx>
          <w:tblCellMar>
            <w:top w:w="0" w:type="dxa"/>
            <w:left w:w="108" w:type="dxa"/>
            <w:bottom w:w="0" w:type="dxa"/>
            <w:right w:w="108" w:type="dxa"/>
          </w:tblCellMar>
        </w:tblPrEx>
        <w:trPr>
          <w:trHeight w:val="312" w:hRule="atLeast"/>
          <w:tblHeader/>
        </w:trPr>
        <w:tc>
          <w:tcPr>
            <w:tcW w:w="0" w:type="auto"/>
            <w:vMerge w:val="continue"/>
            <w:tcBorders>
              <w:top w:val="single" w:color="auto" w:sz="4" w:space="0"/>
              <w:bottom w:val="single" w:color="auto" w:sz="4" w:space="0"/>
            </w:tcBorders>
          </w:tcPr>
          <w:p>
            <w:pPr>
              <w:jc w:val="both"/>
              <w:rPr>
                <w:rFonts w:eastAsia="Times New Roman" w:cs="Times New Roman"/>
                <w:b/>
                <w:bCs/>
                <w:color w:val="000000"/>
                <w:szCs w:val="21"/>
              </w:rPr>
            </w:pPr>
            <w:bookmarkStart w:id="41" w:name="_Hlk195042196"/>
          </w:p>
        </w:tc>
        <w:tc>
          <w:tcPr>
            <w:tcW w:w="0" w:type="auto"/>
            <w:vMerge w:val="continue"/>
            <w:tcBorders>
              <w:bottom w:val="single" w:color="auto" w:sz="4" w:space="0"/>
            </w:tcBorders>
          </w:tcPr>
          <w:p>
            <w:pPr>
              <w:jc w:val="both"/>
              <w:rPr>
                <w:rFonts w:eastAsia="Times New Roman" w:cs="Times New Roman"/>
                <w:b/>
                <w:bCs/>
                <w:color w:val="000000"/>
                <w:szCs w:val="21"/>
              </w:rPr>
            </w:pPr>
          </w:p>
        </w:tc>
        <w:tc>
          <w:tcPr>
            <w:tcW w:w="0" w:type="auto"/>
            <w:vMerge w:val="continue"/>
            <w:tcBorders>
              <w:top w:val="single" w:color="auto" w:sz="4" w:space="0"/>
              <w:bottom w:val="single" w:color="auto" w:sz="4" w:space="0"/>
            </w:tcBorders>
          </w:tcPr>
          <w:p>
            <w:pPr>
              <w:jc w:val="both"/>
              <w:rPr>
                <w:rFonts w:eastAsia="Times New Roman" w:cs="Times New Roman"/>
                <w:b/>
                <w:bCs/>
                <w:color w:val="000000"/>
                <w:szCs w:val="21"/>
              </w:rPr>
            </w:pPr>
          </w:p>
        </w:tc>
        <w:tc>
          <w:tcPr>
            <w:tcW w:w="0" w:type="auto"/>
            <w:tcBorders>
              <w:top w:val="single" w:color="auto" w:sz="4" w:space="0"/>
              <w:bottom w:val="single" w:color="auto" w:sz="4" w:space="0"/>
            </w:tcBorders>
          </w:tcPr>
          <w:p>
            <w:pPr>
              <w:jc w:val="both"/>
              <w:rPr>
                <w:rFonts w:eastAsia="Times New Roman" w:cs="Times New Roman"/>
                <w:b/>
                <w:bCs/>
                <w:color w:val="000000"/>
                <w:szCs w:val="21"/>
              </w:rPr>
            </w:pPr>
            <w:r>
              <w:rPr>
                <w:rFonts w:eastAsia="Times New Roman" w:cs="Times New Roman"/>
                <w:b/>
                <w:bCs/>
                <w:color w:val="000000"/>
                <w:szCs w:val="21"/>
              </w:rPr>
              <w:t xml:space="preserve">NO (IR) </w:t>
            </w:r>
          </w:p>
        </w:tc>
        <w:tc>
          <w:tcPr>
            <w:tcW w:w="0" w:type="auto"/>
            <w:tcBorders>
              <w:top w:val="single" w:color="auto" w:sz="4" w:space="0"/>
              <w:bottom w:val="single" w:color="auto" w:sz="4" w:space="0"/>
            </w:tcBorders>
          </w:tcPr>
          <w:p>
            <w:pPr>
              <w:jc w:val="both"/>
              <w:rPr>
                <w:rFonts w:eastAsia="Times New Roman" w:cs="Times New Roman"/>
                <w:b/>
                <w:bCs/>
                <w:color w:val="000000"/>
                <w:szCs w:val="21"/>
              </w:rPr>
            </w:pPr>
            <w:r>
              <w:rPr>
                <w:rFonts w:eastAsia="Times New Roman" w:cs="Times New Roman"/>
                <w:b/>
                <w:bCs/>
                <w:color w:val="000000"/>
                <w:szCs w:val="21"/>
              </w:rPr>
              <w:t>HR (95%</w:t>
            </w:r>
            <w:r>
              <w:rPr>
                <w:rFonts w:cs="Times New Roman"/>
                <w:b/>
                <w:bCs/>
                <w:color w:val="000000"/>
                <w:szCs w:val="21"/>
              </w:rPr>
              <w:t xml:space="preserve"> </w:t>
            </w:r>
            <w:r>
              <w:rPr>
                <w:rFonts w:eastAsia="Times New Roman" w:cs="Times New Roman"/>
                <w:b/>
                <w:bCs/>
                <w:color w:val="000000"/>
                <w:szCs w:val="21"/>
              </w:rPr>
              <w:t>CI)</w:t>
            </w:r>
          </w:p>
        </w:tc>
        <w:tc>
          <w:tcPr>
            <w:tcW w:w="0" w:type="auto"/>
            <w:tcBorders>
              <w:top w:val="single" w:color="auto" w:sz="4" w:space="0"/>
              <w:bottom w:val="single" w:color="auto" w:sz="4" w:space="0"/>
            </w:tcBorders>
          </w:tcPr>
          <w:p>
            <w:pPr>
              <w:jc w:val="both"/>
              <w:rPr>
                <w:rFonts w:eastAsia="Times New Roman" w:cs="Times New Roman"/>
                <w:b/>
                <w:bCs/>
                <w:color w:val="000000"/>
                <w:szCs w:val="21"/>
              </w:rPr>
            </w:pPr>
            <w:r>
              <w:rPr>
                <w:rFonts w:eastAsia="Times New Roman" w:cs="Times New Roman"/>
                <w:b/>
                <w:bCs/>
                <w:color w:val="000000"/>
                <w:szCs w:val="21"/>
              </w:rPr>
              <w:t xml:space="preserve">NO (IR) </w:t>
            </w:r>
          </w:p>
        </w:tc>
        <w:tc>
          <w:tcPr>
            <w:tcW w:w="0" w:type="auto"/>
            <w:tcBorders>
              <w:top w:val="single" w:color="auto" w:sz="4" w:space="0"/>
              <w:bottom w:val="single" w:color="auto" w:sz="4" w:space="0"/>
            </w:tcBorders>
          </w:tcPr>
          <w:p>
            <w:pPr>
              <w:jc w:val="both"/>
              <w:rPr>
                <w:rFonts w:cs="Times New Roman"/>
                <w:b/>
                <w:bCs/>
                <w:color w:val="000000"/>
                <w:szCs w:val="21"/>
              </w:rPr>
            </w:pPr>
            <w:r>
              <w:rPr>
                <w:rFonts w:eastAsia="Times New Roman" w:cs="Times New Roman"/>
                <w:b/>
                <w:bCs/>
                <w:color w:val="000000"/>
                <w:szCs w:val="21"/>
              </w:rPr>
              <w:t>HR (95%</w:t>
            </w:r>
            <w:r>
              <w:rPr>
                <w:rFonts w:cs="Times New Roman"/>
                <w:b/>
                <w:bCs/>
                <w:color w:val="000000"/>
                <w:szCs w:val="21"/>
              </w:rPr>
              <w:t xml:space="preserve"> </w:t>
            </w:r>
            <w:r>
              <w:rPr>
                <w:rFonts w:eastAsia="Times New Roman" w:cs="Times New Roman"/>
                <w:b/>
                <w:bCs/>
                <w:color w:val="000000"/>
                <w:szCs w:val="21"/>
              </w:rPr>
              <w:t>CI)</w:t>
            </w:r>
          </w:p>
        </w:tc>
        <w:tc>
          <w:tcPr>
            <w:tcW w:w="0" w:type="auto"/>
            <w:tcBorders>
              <w:top w:val="single" w:color="auto" w:sz="4" w:space="0"/>
              <w:bottom w:val="single" w:color="auto" w:sz="4" w:space="0"/>
            </w:tcBorders>
          </w:tcPr>
          <w:p>
            <w:pPr>
              <w:jc w:val="both"/>
              <w:rPr>
                <w:rFonts w:eastAsia="Times New Roman" w:cs="Times New Roman"/>
                <w:b/>
                <w:bCs/>
                <w:color w:val="000000"/>
                <w:szCs w:val="21"/>
              </w:rPr>
            </w:pPr>
            <w:r>
              <w:rPr>
                <w:rFonts w:eastAsia="Times New Roman" w:cs="Times New Roman"/>
                <w:b/>
                <w:bCs/>
                <w:color w:val="000000"/>
                <w:szCs w:val="21"/>
              </w:rPr>
              <w:t xml:space="preserve">NO (IR) </w:t>
            </w:r>
          </w:p>
        </w:tc>
        <w:tc>
          <w:tcPr>
            <w:tcW w:w="0" w:type="auto"/>
            <w:tcBorders>
              <w:top w:val="single" w:color="auto" w:sz="4" w:space="0"/>
              <w:bottom w:val="single" w:color="auto" w:sz="4" w:space="0"/>
            </w:tcBorders>
          </w:tcPr>
          <w:p>
            <w:pPr>
              <w:jc w:val="both"/>
              <w:rPr>
                <w:rFonts w:cs="Times New Roman"/>
                <w:b/>
                <w:bCs/>
                <w:color w:val="000000"/>
                <w:szCs w:val="21"/>
              </w:rPr>
            </w:pPr>
            <w:r>
              <w:rPr>
                <w:rFonts w:eastAsia="Times New Roman" w:cs="Times New Roman"/>
                <w:b/>
                <w:bCs/>
                <w:color w:val="000000"/>
                <w:szCs w:val="21"/>
              </w:rPr>
              <w:t>HR (95% CI)</w:t>
            </w:r>
          </w:p>
        </w:tc>
      </w:tr>
      <w:bookmarkEnd w:id="39"/>
      <w:bookmarkEnd w:id="41"/>
      <w:tr>
        <w:tblPrEx>
          <w:tblCellMar>
            <w:top w:w="0" w:type="dxa"/>
            <w:left w:w="108" w:type="dxa"/>
            <w:bottom w:w="0" w:type="dxa"/>
            <w:right w:w="108" w:type="dxa"/>
          </w:tblCellMar>
        </w:tblPrEx>
        <w:trPr>
          <w:trHeight w:val="220" w:hRule="atLeast"/>
        </w:trPr>
        <w:tc>
          <w:tcPr>
            <w:tcW w:w="0" w:type="auto"/>
            <w:vMerge w:val="restart"/>
            <w:tcBorders>
              <w:top w:val="single" w:color="auto" w:sz="4" w:space="0"/>
            </w:tcBorders>
            <w:noWrap/>
          </w:tcPr>
          <w:p>
            <w:pPr>
              <w:jc w:val="both"/>
              <w:rPr>
                <w:rFonts w:eastAsia="Times New Roman" w:cs="Times New Roman"/>
                <w:b/>
                <w:bCs/>
                <w:color w:val="000000"/>
                <w:szCs w:val="21"/>
              </w:rPr>
            </w:pPr>
            <w:r>
              <w:rPr>
                <w:rFonts w:eastAsia="Times New Roman" w:cs="Times New Roman"/>
                <w:b/>
                <w:bCs/>
                <w:color w:val="000000"/>
                <w:szCs w:val="21"/>
              </w:rPr>
              <w:t>Central obesity</w:t>
            </w:r>
          </w:p>
        </w:tc>
        <w:tc>
          <w:tcPr>
            <w:tcW w:w="0" w:type="auto"/>
            <w:tcBorders>
              <w:top w:val="single" w:color="auto" w:sz="4" w:space="0"/>
            </w:tcBorders>
            <w:noWrap/>
          </w:tcPr>
          <w:p>
            <w:pPr>
              <w:jc w:val="both"/>
              <w:rPr>
                <w:rFonts w:cs="Times New Roman"/>
                <w:color w:val="000000"/>
                <w:szCs w:val="21"/>
              </w:rPr>
            </w:pPr>
            <w:r>
              <w:rPr>
                <w:rFonts w:hint="eastAsia" w:cs="Times New Roman"/>
                <w:color w:val="000000"/>
                <w:szCs w:val="21"/>
              </w:rPr>
              <w:t>WC</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single" w:color="auto" w:sz="4" w:space="0"/>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837 (50.75)</w:t>
            </w:r>
          </w:p>
        </w:tc>
        <w:tc>
          <w:tcPr>
            <w:tcW w:w="0" w:type="auto"/>
            <w:tcBorders>
              <w:top w:val="single" w:color="auto" w:sz="4" w:space="0"/>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481 (63.84)</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356 (39.75)</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974 (55.65)</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0.96</w:t>
            </w:r>
            <w:r>
              <w:rPr>
                <w:rFonts w:hint="eastAsia" w:cs="Times New Roman"/>
                <w:color w:val="000000"/>
                <w:szCs w:val="21"/>
              </w:rPr>
              <w:t xml:space="preserve"> </w:t>
            </w:r>
            <w:r>
              <w:rPr>
                <w:rFonts w:cs="Times New Roman"/>
                <w:color w:val="000000"/>
                <w:szCs w:val="21"/>
              </w:rPr>
              <w:t>(0.87, 1.05)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489 (62.76)</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0.88 (0.77, 0.99)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485 (49.95)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1.07 (0.94, 1.23)</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984 (58.37)</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1.07 (0.98, 1.18)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636 (84.39)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1.03 (0.91, 1.17)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579 (62.4)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1.14 (1.00, 1.32)</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vAlign w:val="bottom"/>
          </w:tcPr>
          <w:p>
            <w:pPr>
              <w:jc w:val="both"/>
              <w:rPr>
                <w:rFonts w:cs="Times New Roman"/>
                <w:color w:val="000000"/>
                <w:szCs w:val="21"/>
              </w:rPr>
            </w:pPr>
            <w:r>
              <w:rPr>
                <w:rFonts w:cs="Times New Roman"/>
                <w:color w:val="000000"/>
                <w:szCs w:val="21"/>
              </w:rPr>
              <w:t>1.06 (1.02, 1.10)</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1.03 (0.98, 1.09)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1.10 (1.04, 1.16)</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cs="Times New Roman"/>
                <w:color w:val="000000"/>
                <w:szCs w:val="21"/>
              </w:rPr>
            </w:pPr>
            <w:r>
              <w:rPr>
                <w:rFonts w:hint="eastAsia" w:cs="Times New Roman"/>
                <w:color w:val="000000"/>
                <w:szCs w:val="21"/>
              </w:rPr>
              <w:t>HC</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1215 (72.25)</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529 (77.04)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392 (46.3)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921 (60.06)</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0.92 (0.84, 1.01)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529 (64.34)</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0.84 (0.75, 0.95)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500 (50.52)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1.03 (0.90, 1.18)</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981 (58.25)</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0.92 (0.84, 1.01)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548 (70.5)</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0.87 (0.77, 0.99)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528 (55.1)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(0.87, 1.15)</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(0.96, 1.03)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0.97 (0.93, 1.02)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1.03 (0.97, 1.08)</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cs="Times New Roman"/>
                <w:color w:val="000000"/>
                <w:szCs w:val="21"/>
              </w:rPr>
            </w:pPr>
            <w:r>
              <w:rPr>
                <w:rFonts w:hint="eastAsia" w:cs="Times New Roman"/>
                <w:color w:val="000000"/>
                <w:szCs w:val="21"/>
              </w:rPr>
              <w:t>WHR</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1029 (56.8)</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432 (56.85)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342 (36.91)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1076 (62)</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1.05 (0.95, 1.15)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480 (61.66)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0.92 (0.80, 1.05)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496 (52.1)</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1.22 (1.06, 1.40)</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993 (57.33)</w:t>
            </w:r>
          </w:p>
        </w:tc>
        <w:tc>
          <w:tcPr>
            <w:tcW w:w="0" w:type="auto"/>
            <w:tcBorders>
              <w:top w:val="nil"/>
              <w:left w:val="nil"/>
              <w:bottom w:val="nil"/>
              <w:right w:val="nil"/>
            </w:tcBorders>
            <w:shd w:val="clear" w:color="auto" w:fill="FFCCCC"/>
            <w:vAlign w:val="bottom"/>
          </w:tcPr>
          <w:p>
            <w:pPr>
              <w:jc w:val="both"/>
              <w:rPr>
                <w:rFonts w:cs="Times New Roman"/>
                <w:color w:val="000000"/>
                <w:szCs w:val="21"/>
              </w:rPr>
            </w:pPr>
            <w:r>
              <w:rPr>
                <w:rFonts w:cs="Times New Roman"/>
                <w:color w:val="000000"/>
                <w:szCs w:val="21"/>
              </w:rPr>
              <w:t>1.20 (1.09, 1.32)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694 (92.81)</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1.16 (1.02, 1.32)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582 (63.54)</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1.25 (1.09, 1.44)</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vAlign w:val="bottom"/>
          </w:tcPr>
          <w:p>
            <w:pPr>
              <w:jc w:val="both"/>
              <w:rPr>
                <w:rFonts w:cs="Times New Roman"/>
                <w:color w:val="000000"/>
                <w:szCs w:val="21"/>
              </w:rPr>
            </w:pPr>
            <w:r>
              <w:rPr>
                <w:rFonts w:cs="Times New Roman"/>
                <w:color w:val="000000"/>
                <w:szCs w:val="21"/>
              </w:rPr>
              <w:t>1.11 (1.07, 1.15)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1.09 (1.03, 1.14)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1.13 (1.07, 1.19)</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cs="Times New Roman"/>
                <w:color w:val="000000"/>
                <w:szCs w:val="21"/>
              </w:rPr>
            </w:pPr>
            <w:r>
              <w:rPr>
                <w:rFonts w:hint="eastAsia" w:cs="Times New Roman"/>
                <w:color w:val="000000"/>
                <w:szCs w:val="21"/>
              </w:rPr>
              <w:t>WTHR</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774 (45.89)</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440 (57.94)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363 (39.41)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976 (56.4)</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0.97 (0.88, 1.06)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499 (63.94)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0.93 (0.82, 1.06)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458 (48)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1.01 (0.88, 1.16)</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1052 (63.2)</w:t>
            </w:r>
          </w:p>
        </w:tc>
        <w:tc>
          <w:tcPr>
            <w:tcW w:w="0" w:type="auto"/>
            <w:tcBorders>
              <w:top w:val="nil"/>
              <w:left w:val="nil"/>
              <w:bottom w:val="nil"/>
              <w:right w:val="nil"/>
            </w:tcBorders>
            <w:shd w:val="clear" w:color="auto" w:fill="FFCCCC"/>
            <w:vAlign w:val="bottom"/>
          </w:tcPr>
          <w:p>
            <w:pPr>
              <w:jc w:val="both"/>
              <w:rPr>
                <w:rFonts w:cs="Times New Roman"/>
                <w:color w:val="000000"/>
                <w:szCs w:val="21"/>
              </w:rPr>
            </w:pPr>
            <w:r>
              <w:rPr>
                <w:rFonts w:cs="Times New Roman"/>
                <w:color w:val="000000"/>
                <w:szCs w:val="21"/>
              </w:rPr>
              <w:t>1.12 (1.02, 1.23)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667 (89.36)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1.09 (0.96, 1.24)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599 (65.15)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1.15 (1.00, 1.32)</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vAlign w:val="bottom"/>
          </w:tcPr>
          <w:p>
            <w:pPr>
              <w:jc w:val="both"/>
              <w:rPr>
                <w:rFonts w:cs="Times New Roman"/>
                <w:color w:val="000000"/>
                <w:szCs w:val="21"/>
              </w:rPr>
            </w:pPr>
            <w:r>
              <w:rPr>
                <w:rFonts w:cs="Times New Roman"/>
                <w:color w:val="000000"/>
                <w:szCs w:val="21"/>
              </w:rPr>
              <w:t>1.08 (1.04, 1.12)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1.05 (1.00, 1.11)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1.11 (1.05, 1.17)</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cs="Times New Roman"/>
                <w:color w:val="000000"/>
                <w:szCs w:val="21"/>
              </w:rPr>
            </w:pPr>
            <w:r>
              <w:rPr>
                <w:rFonts w:hint="eastAsia" w:cs="Times New Roman"/>
                <w:color w:val="000000"/>
                <w:szCs w:val="21"/>
              </w:rPr>
              <w:t>WWI</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1276 (76.7)</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433 (57.11)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407 (44.06)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803 (47.79)</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(0.91, 1.10)</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506 (64.83)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0.98 (0.86, 1.12)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454 (47.66)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1.01 (0.88, 1.15)</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1023 (61.73)</w:t>
            </w:r>
          </w:p>
        </w:tc>
        <w:tc>
          <w:tcPr>
            <w:tcW w:w="0" w:type="auto"/>
            <w:tcBorders>
              <w:top w:val="nil"/>
              <w:left w:val="nil"/>
              <w:bottom w:val="nil"/>
              <w:right w:val="nil"/>
            </w:tcBorders>
            <w:shd w:val="clear" w:color="auto" w:fill="FFCCCC"/>
            <w:vAlign w:val="bottom"/>
          </w:tcPr>
          <w:p>
            <w:pPr>
              <w:jc w:val="both"/>
              <w:rPr>
                <w:rFonts w:cs="Times New Roman"/>
                <w:color w:val="000000"/>
                <w:szCs w:val="21"/>
              </w:rPr>
            </w:pPr>
            <w:r>
              <w:rPr>
                <w:rFonts w:cs="Times New Roman"/>
                <w:color w:val="000000"/>
                <w:szCs w:val="21"/>
              </w:rPr>
              <w:t>1.16 (1.06, 1.27)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667 (89.24)</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1.14 (1.01, 1.30)</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559 (60.87)</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1.16 (1.02, 1.33)</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vAlign w:val="bottom"/>
          </w:tcPr>
          <w:p>
            <w:pPr>
              <w:jc w:val="both"/>
              <w:rPr>
                <w:rFonts w:cs="Times New Roman"/>
                <w:color w:val="000000"/>
                <w:szCs w:val="21"/>
              </w:rPr>
            </w:pPr>
            <w:r>
              <w:rPr>
                <w:rFonts w:cs="Times New Roman"/>
                <w:color w:val="000000"/>
                <w:szCs w:val="21"/>
              </w:rPr>
              <w:t>1.09 (1.05, 1.13)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1.09 (1.04, 1.15)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1.09 (1.04, 1.15)</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cs="Times New Roman"/>
                <w:color w:val="000000"/>
                <w:szCs w:val="21"/>
              </w:rPr>
            </w:pPr>
            <w:r>
              <w:rPr>
                <w:rFonts w:hint="eastAsia" w:cs="Times New Roman"/>
                <w:color w:val="000000"/>
                <w:szCs w:val="21"/>
              </w:rPr>
              <w:t>BSI</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957 (55.17)</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435 (57.1)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359 (38.74)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1266 (76)</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1.03 (0.94, 1.13)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495 (63.4)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0.94 (0.82, 1.07)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470 (49.34)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1.14 (0.99, 1.31)</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1017 (58.65)</w:t>
            </w:r>
          </w:p>
        </w:tc>
        <w:tc>
          <w:tcPr>
            <w:tcW w:w="0" w:type="auto"/>
            <w:tcBorders>
              <w:top w:val="nil"/>
              <w:left w:val="nil"/>
              <w:bottom w:val="nil"/>
              <w:right w:val="nil"/>
            </w:tcBorders>
            <w:shd w:val="clear" w:color="auto" w:fill="FFCCCC"/>
            <w:vAlign w:val="bottom"/>
          </w:tcPr>
          <w:p>
            <w:pPr>
              <w:jc w:val="both"/>
              <w:rPr>
                <w:rFonts w:cs="Times New Roman"/>
                <w:color w:val="000000"/>
                <w:szCs w:val="21"/>
              </w:rPr>
            </w:pPr>
            <w:r>
              <w:rPr>
                <w:rFonts w:cs="Times New Roman"/>
                <w:color w:val="000000"/>
                <w:szCs w:val="21"/>
              </w:rPr>
              <w:t>1.19 (1.09, 1.31)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676 (90.91)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1.12 (0.98, 1.27)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591 (64.58)</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1.28 (1.12, 1.47)</w:t>
            </w:r>
          </w:p>
        </w:tc>
      </w:tr>
      <w:tr>
        <w:tblPrEx>
          <w:tblCellMar>
            <w:top w:w="0" w:type="dxa"/>
            <w:left w:w="108" w:type="dxa"/>
            <w:bottom w:w="0" w:type="dxa"/>
            <w:right w:w="108" w:type="dxa"/>
          </w:tblCellMar>
        </w:tblPrEx>
        <w:trPr>
          <w:trHeight w:val="240" w:hRule="atLeast"/>
        </w:trPr>
        <w:tc>
          <w:tcPr>
            <w:tcW w:w="0" w:type="auto"/>
            <w:vMerge w:val="continue"/>
            <w:tcBorders>
              <w:bottom w:val="single" w:color="auto" w:sz="4" w:space="0"/>
            </w:tcBorders>
          </w:tcPr>
          <w:p>
            <w:pPr>
              <w:jc w:val="both"/>
              <w:rPr>
                <w:rFonts w:eastAsia="Times New Roman" w:cs="Times New Roman"/>
                <w:b/>
                <w:bCs/>
                <w:color w:val="000000"/>
                <w:szCs w:val="21"/>
              </w:rPr>
            </w:pPr>
          </w:p>
        </w:tc>
        <w:tc>
          <w:tcPr>
            <w:tcW w:w="0" w:type="auto"/>
            <w:tcBorders>
              <w:bottom w:val="single" w:color="auto" w:sz="4" w:space="0"/>
            </w:tcBorders>
            <w:noWrap/>
          </w:tcPr>
          <w:p>
            <w:pPr>
              <w:jc w:val="both"/>
              <w:rPr>
                <w:rFonts w:eastAsia="Times New Roman" w:cs="Times New Roman"/>
                <w:color w:val="000000"/>
                <w:szCs w:val="21"/>
              </w:rPr>
            </w:pPr>
          </w:p>
        </w:tc>
        <w:tc>
          <w:tcPr>
            <w:tcW w:w="0" w:type="auto"/>
            <w:tcBorders>
              <w:bottom w:val="single" w:color="auto" w:sz="4" w:space="0"/>
            </w:tcBorders>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single" w:color="auto" w:sz="4" w:space="0"/>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FFCCCC"/>
            <w:vAlign w:val="bottom"/>
          </w:tcPr>
          <w:p>
            <w:pPr>
              <w:jc w:val="both"/>
              <w:rPr>
                <w:rFonts w:cs="Times New Roman"/>
                <w:color w:val="000000"/>
                <w:szCs w:val="21"/>
              </w:rPr>
            </w:pPr>
            <w:r>
              <w:rPr>
                <w:rFonts w:cs="Times New Roman"/>
                <w:color w:val="000000"/>
                <w:szCs w:val="21"/>
              </w:rPr>
              <w:t>1.11 (1.07, 1.15)</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FFCCCC"/>
          </w:tcPr>
          <w:p>
            <w:pPr>
              <w:jc w:val="both"/>
              <w:rPr>
                <w:rFonts w:eastAsia="Times New Roman" w:cs="Times New Roman"/>
                <w:color w:val="000000"/>
                <w:szCs w:val="21"/>
              </w:rPr>
            </w:pPr>
            <w:r>
              <w:rPr>
                <w:rFonts w:cs="Times New Roman"/>
                <w:color w:val="000000"/>
                <w:szCs w:val="21"/>
              </w:rPr>
              <w:t>1.08 (1.03, 1.14)</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FFCCCC"/>
          </w:tcPr>
          <w:p>
            <w:pPr>
              <w:jc w:val="both"/>
              <w:rPr>
                <w:rFonts w:eastAsia="Times New Roman" w:cs="Times New Roman"/>
                <w:color w:val="000000"/>
                <w:szCs w:val="21"/>
              </w:rPr>
            </w:pPr>
            <w:r>
              <w:rPr>
                <w:rFonts w:cs="Times New Roman"/>
                <w:color w:val="000000"/>
                <w:szCs w:val="21"/>
              </w:rPr>
              <w:t>1.14 (1.08, 1.20)</w:t>
            </w:r>
          </w:p>
        </w:tc>
      </w:tr>
      <w:tr>
        <w:tblPrEx>
          <w:tblCellMar>
            <w:top w:w="0" w:type="dxa"/>
            <w:left w:w="108" w:type="dxa"/>
            <w:bottom w:w="0" w:type="dxa"/>
            <w:right w:w="108" w:type="dxa"/>
          </w:tblCellMar>
        </w:tblPrEx>
        <w:trPr>
          <w:trHeight w:val="220" w:hRule="atLeast"/>
        </w:trPr>
        <w:tc>
          <w:tcPr>
            <w:tcW w:w="0" w:type="auto"/>
            <w:vMerge w:val="restart"/>
            <w:tcBorders>
              <w:top w:val="single" w:color="auto" w:sz="4" w:space="0"/>
            </w:tcBorders>
            <w:noWrap/>
          </w:tcPr>
          <w:p>
            <w:pPr>
              <w:jc w:val="both"/>
              <w:rPr>
                <w:rFonts w:eastAsia="Times New Roman" w:cs="Times New Roman"/>
                <w:b/>
                <w:bCs/>
                <w:color w:val="000000"/>
                <w:szCs w:val="21"/>
              </w:rPr>
            </w:pPr>
            <w:r>
              <w:rPr>
                <w:rFonts w:eastAsia="Times New Roman" w:cs="Times New Roman"/>
                <w:b/>
                <w:bCs/>
                <w:color w:val="000000"/>
                <w:szCs w:val="21"/>
              </w:rPr>
              <w:t>Fat mass (FM)</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Arm FM</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single" w:color="auto" w:sz="4" w:space="0"/>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840 (49.94)</w:t>
            </w:r>
          </w:p>
        </w:tc>
        <w:tc>
          <w:tcPr>
            <w:tcW w:w="0" w:type="auto"/>
            <w:tcBorders>
              <w:top w:val="single" w:color="auto" w:sz="4" w:space="0"/>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466 (71.6)</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347 (42.37)</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960 (55.39)</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0.93 (0.84, 1.01)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545 (62.42)</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0.83 (0.74, 0.95)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516 (50.2)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1.05 (0.92, 1.21)</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986 (58.36)</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1.01 (0.92, 1.11)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595 (78.06)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0.96 (0.84, 1.09)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557 (58.77)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1.09 (0.95, 1.25)</w:t>
            </w:r>
          </w:p>
        </w:tc>
      </w:tr>
      <w:tr>
        <w:tblPrEx>
          <w:tblCellMar>
            <w:top w:w="0" w:type="dxa"/>
            <w:left w:w="108" w:type="dxa"/>
            <w:bottom w:w="0" w:type="dxa"/>
            <w:right w:w="108" w:type="dxa"/>
          </w:tblCellMar>
        </w:tblPrEx>
        <w:trPr>
          <w:trHeight w:val="240" w:hRule="atLeast"/>
        </w:trPr>
        <w:tc>
          <w:tcPr>
            <w:tcW w:w="0" w:type="auto"/>
            <w:vMerge w:val="continue"/>
            <w:tcBorders>
              <w:bottom w:val="single" w:color="auto" w:sz="4" w:space="0"/>
            </w:tcBorders>
          </w:tcPr>
          <w:p>
            <w:pPr>
              <w:jc w:val="both"/>
              <w:rPr>
                <w:rFonts w:eastAsia="Times New Roman" w:cs="Times New Roman"/>
                <w:b/>
                <w:bCs/>
                <w:color w:val="000000"/>
                <w:szCs w:val="21"/>
              </w:rPr>
            </w:pPr>
          </w:p>
        </w:tc>
        <w:tc>
          <w:tcPr>
            <w:tcW w:w="0" w:type="auto"/>
            <w:tcBorders>
              <w:bottom w:val="single" w:color="auto" w:sz="4" w:space="0"/>
            </w:tcBorders>
            <w:noWrap/>
          </w:tcPr>
          <w:p>
            <w:pPr>
              <w:jc w:val="both"/>
              <w:rPr>
                <w:rFonts w:eastAsia="Times New Roman" w:cs="Times New Roman"/>
                <w:color w:val="000000"/>
                <w:szCs w:val="21"/>
              </w:rPr>
            </w:pPr>
          </w:p>
        </w:tc>
        <w:tc>
          <w:tcPr>
            <w:tcW w:w="0" w:type="auto"/>
            <w:tcBorders>
              <w:bottom w:val="single" w:color="auto" w:sz="4" w:space="0"/>
            </w:tcBorders>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single" w:color="auto" w:sz="4" w:space="0"/>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FFCCCC"/>
            <w:vAlign w:val="bottom"/>
          </w:tcPr>
          <w:p>
            <w:pPr>
              <w:jc w:val="both"/>
              <w:rPr>
                <w:rFonts w:cs="Times New Roman"/>
                <w:color w:val="000000"/>
                <w:szCs w:val="21"/>
              </w:rPr>
            </w:pPr>
            <w:r>
              <w:rPr>
                <w:rFonts w:cs="Times New Roman"/>
                <w:color w:val="000000"/>
                <w:szCs w:val="21"/>
              </w:rPr>
              <w:t>1.04 (1.01, 1.08)</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1.04 (0.99, 1.09)</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1.04 (0.99, 1.10)</w:t>
            </w:r>
          </w:p>
        </w:tc>
      </w:tr>
      <w:tr>
        <w:tblPrEx>
          <w:tblCellMar>
            <w:top w:w="0" w:type="dxa"/>
            <w:left w:w="108" w:type="dxa"/>
            <w:bottom w:w="0" w:type="dxa"/>
            <w:right w:w="108" w:type="dxa"/>
          </w:tblCellMar>
        </w:tblPrEx>
        <w:trPr>
          <w:trHeight w:val="240" w:hRule="atLeast"/>
        </w:trPr>
        <w:tc>
          <w:tcPr>
            <w:tcW w:w="0" w:type="auto"/>
            <w:vMerge w:val="continue"/>
            <w:tcBorders>
              <w:top w:val="single" w:color="auto" w:sz="4" w:space="0"/>
            </w:tcBorders>
          </w:tcPr>
          <w:p>
            <w:pPr>
              <w:jc w:val="both"/>
              <w:rPr>
                <w:rFonts w:eastAsia="Times New Roman" w:cs="Times New Roman"/>
                <w:b/>
                <w:bCs/>
                <w:color w:val="000000"/>
                <w:szCs w:val="21"/>
              </w:rPr>
            </w:pPr>
          </w:p>
        </w:tc>
        <w:tc>
          <w:tcPr>
            <w:tcW w:w="0" w:type="auto"/>
            <w:tcBorders>
              <w:top w:val="single" w:color="auto" w:sz="4" w:space="0"/>
              <w:bottom w:val="single" w:color="auto" w:sz="4" w:space="0"/>
            </w:tcBorders>
            <w:noWrap/>
          </w:tcPr>
          <w:p>
            <w:pPr>
              <w:jc w:val="both"/>
              <w:rPr>
                <w:rFonts w:eastAsia="Times New Roman" w:cs="Times New Roman"/>
                <w:color w:val="000000"/>
                <w:szCs w:val="21"/>
              </w:rPr>
            </w:pPr>
            <w:r>
              <w:rPr>
                <w:rFonts w:eastAsia="Times New Roman" w:cs="Times New Roman"/>
                <w:color w:val="000000"/>
                <w:szCs w:val="21"/>
              </w:rPr>
              <w:t>Leg FM</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single" w:color="auto" w:sz="4" w:space="0"/>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1226 (73.6)</w:t>
            </w:r>
          </w:p>
        </w:tc>
        <w:tc>
          <w:tcPr>
            <w:tcW w:w="0" w:type="auto"/>
            <w:tcBorders>
              <w:top w:val="single" w:color="auto" w:sz="4" w:space="0"/>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492 (65.76)</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400 (43.75)</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tcBorders>
              <w:top w:val="single" w:color="auto" w:sz="4" w:space="0"/>
            </w:tcBorders>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794 (47.02)</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0.97 (0.89, 1.06)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537 (69.08)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0.96 (0.85, 1.09)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469 (49.78)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0.99 (0.86, 1.13)</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1031 (61.38)</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0.98 (0.90, 1.08)</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577 (75.86)</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0.96 (0.84, 1.08)</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551 (58.73)</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1.02 (0.89, 1.17)</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1.02 (0.98, 1.06)</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1.01 (0.96, 1.06)</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1.03 (0.98, 1.08)</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Trunk FM</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965 (55.67)</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474 (63.6)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423 (46.3)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1267 (76.38)</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0.94 (0.86, 1.03)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535 (68.05)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0.95 (0.83, 1.07)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470 (49.43)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0.94 (0.82, 1.07)</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939 (54.17)</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0.97 (0.88, 1.06)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597 (79.1)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0.96 (0.85, 1.09)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527 (56.67)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0.98 (0.85, 1.12)</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1.02 (0.98, 1.06)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1.02 (0.97, 1.08)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1.01 (0.96, 1.07)</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Whole FM</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813 (55.32)</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502 (66.44)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416 (45.59)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1061 (55.81)</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0.91 (0.83, 0.99)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514 (66.15)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0.89 (0.79, 1.01)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466 (48.47)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0.93 (0.81, 1.06)</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1056 (63.33)</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0.96 (0.88, 1.06)</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590 (78.3)</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0.94 (0.83, 1.06)</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538 (58.43)</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1.00 (0.87, 1.14)</w:t>
            </w:r>
          </w:p>
        </w:tc>
      </w:tr>
      <w:tr>
        <w:tblPrEx>
          <w:tblCellMar>
            <w:top w:w="0" w:type="dxa"/>
            <w:left w:w="108" w:type="dxa"/>
            <w:bottom w:w="0" w:type="dxa"/>
            <w:right w:w="108" w:type="dxa"/>
          </w:tblCellMar>
        </w:tblPrEx>
        <w:trPr>
          <w:trHeight w:val="240" w:hRule="atLeast"/>
        </w:trPr>
        <w:tc>
          <w:tcPr>
            <w:tcW w:w="0" w:type="auto"/>
            <w:vMerge w:val="continue"/>
            <w:tcBorders>
              <w:bottom w:val="single" w:color="auto" w:sz="4" w:space="0"/>
            </w:tcBorders>
          </w:tcPr>
          <w:p>
            <w:pPr>
              <w:jc w:val="both"/>
              <w:rPr>
                <w:rFonts w:eastAsia="Times New Roman" w:cs="Times New Roman"/>
                <w:b/>
                <w:bCs/>
                <w:color w:val="000000"/>
                <w:szCs w:val="21"/>
              </w:rPr>
            </w:pPr>
          </w:p>
        </w:tc>
        <w:tc>
          <w:tcPr>
            <w:tcW w:w="0" w:type="auto"/>
            <w:tcBorders>
              <w:bottom w:val="single" w:color="auto" w:sz="4" w:space="0"/>
            </w:tcBorders>
            <w:noWrap/>
          </w:tcPr>
          <w:p>
            <w:pPr>
              <w:jc w:val="both"/>
              <w:rPr>
                <w:rFonts w:eastAsia="Times New Roman" w:cs="Times New Roman"/>
                <w:color w:val="000000"/>
                <w:szCs w:val="21"/>
              </w:rPr>
            </w:pPr>
          </w:p>
        </w:tc>
        <w:tc>
          <w:tcPr>
            <w:tcW w:w="0" w:type="auto"/>
            <w:tcBorders>
              <w:bottom w:val="single" w:color="auto" w:sz="4" w:space="0"/>
            </w:tcBorders>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1.02 (0.99, 1.06)</w:t>
            </w:r>
          </w:p>
        </w:tc>
        <w:tc>
          <w:tcPr>
            <w:tcW w:w="0" w:type="auto"/>
            <w:tcBorders>
              <w:top w:val="nil"/>
              <w:left w:val="nil"/>
              <w:bottom w:val="single" w:color="auto" w:sz="4" w:space="0"/>
              <w:right w:val="nil"/>
            </w:tcBorders>
            <w:shd w:val="clear" w:color="auto" w:fill="auto"/>
          </w:tcPr>
          <w:p>
            <w:pPr>
              <w:jc w:val="both"/>
              <w:rPr>
                <w:rFonts w:eastAsia="Times New Roman" w:cs="Times New Roman"/>
                <w:b/>
                <w:bCs/>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auto"/>
          </w:tcPr>
          <w:p>
            <w:pPr>
              <w:jc w:val="both"/>
              <w:rPr>
                <w:rFonts w:eastAsia="Times New Roman" w:cs="Times New Roman"/>
                <w:b/>
                <w:bCs/>
                <w:color w:val="000000"/>
                <w:szCs w:val="21"/>
              </w:rPr>
            </w:pPr>
            <w:r>
              <w:rPr>
                <w:rFonts w:cs="Times New Roman"/>
                <w:color w:val="000000"/>
                <w:szCs w:val="21"/>
              </w:rPr>
              <w:t>1.02 (0.97, 1.08)</w:t>
            </w:r>
          </w:p>
        </w:tc>
        <w:tc>
          <w:tcPr>
            <w:tcW w:w="0" w:type="auto"/>
            <w:tcBorders>
              <w:top w:val="nil"/>
              <w:left w:val="nil"/>
              <w:bottom w:val="single" w:color="auto" w:sz="4" w:space="0"/>
              <w:right w:val="nil"/>
            </w:tcBorders>
            <w:shd w:val="clear" w:color="auto" w:fill="auto"/>
          </w:tcPr>
          <w:p>
            <w:pPr>
              <w:jc w:val="both"/>
              <w:rPr>
                <w:rFonts w:eastAsia="Times New Roman" w:cs="Times New Roman"/>
                <w:b/>
                <w:bCs/>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auto"/>
          </w:tcPr>
          <w:p>
            <w:pPr>
              <w:jc w:val="both"/>
              <w:rPr>
                <w:rFonts w:eastAsia="Times New Roman" w:cs="Times New Roman"/>
                <w:b/>
                <w:bCs/>
                <w:color w:val="000000"/>
                <w:szCs w:val="21"/>
              </w:rPr>
            </w:pPr>
            <w:r>
              <w:rPr>
                <w:rFonts w:cs="Times New Roman"/>
                <w:color w:val="000000"/>
                <w:szCs w:val="21"/>
              </w:rPr>
              <w:t>1.02 (0.97, 1.08)</w:t>
            </w:r>
          </w:p>
        </w:tc>
      </w:tr>
      <w:tr>
        <w:tblPrEx>
          <w:tblCellMar>
            <w:top w:w="0" w:type="dxa"/>
            <w:left w:w="108" w:type="dxa"/>
            <w:bottom w:w="0" w:type="dxa"/>
            <w:right w:w="108" w:type="dxa"/>
          </w:tblCellMar>
        </w:tblPrEx>
        <w:trPr>
          <w:trHeight w:val="220" w:hRule="atLeast"/>
        </w:trPr>
        <w:tc>
          <w:tcPr>
            <w:tcW w:w="0" w:type="auto"/>
            <w:vMerge w:val="restart"/>
            <w:tcBorders>
              <w:top w:val="single" w:color="auto" w:sz="4" w:space="0"/>
            </w:tcBorders>
            <w:noWrap/>
          </w:tcPr>
          <w:p>
            <w:pPr>
              <w:jc w:val="both"/>
              <w:rPr>
                <w:rFonts w:eastAsia="Times New Roman" w:cs="Times New Roman"/>
                <w:b/>
                <w:bCs/>
                <w:color w:val="000000"/>
                <w:szCs w:val="21"/>
              </w:rPr>
            </w:pPr>
            <w:r>
              <w:rPr>
                <w:rFonts w:eastAsia="Times New Roman" w:cs="Times New Roman"/>
                <w:b/>
                <w:bCs/>
                <w:color w:val="000000"/>
                <w:szCs w:val="21"/>
              </w:rPr>
              <w:t>Lean mass (LM)</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Arm LM</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single" w:color="auto" w:sz="4" w:space="0"/>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1152 (67.37)</w:t>
            </w:r>
          </w:p>
        </w:tc>
        <w:tc>
          <w:tcPr>
            <w:tcW w:w="0" w:type="auto"/>
            <w:tcBorders>
              <w:top w:val="single" w:color="auto" w:sz="4" w:space="0"/>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619 (84.8)</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365 (49.48)</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892 (53.66)</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0.94 (0.86, 1.02)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524 (65.87)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0.90 (0.80, 1.01)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545 (49.64)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(0.88, 1.15)</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1039 (62.2)</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0.93 (0.85, 1.02)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463 (60.87)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0.88 (0.78, 1.00)</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510 (53.18)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1.02 (0.89, 1.17)</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0.97 (0.93, 1.00)</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0.94 (0.90, 0.99)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(0.95, 1.05)</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tcPr>
          <w:p>
            <w:pPr>
              <w:jc w:val="both"/>
              <w:rPr>
                <w:rFonts w:eastAsia="Times New Roman" w:cs="Times New Roman"/>
                <w:color w:val="000000"/>
                <w:szCs w:val="21"/>
              </w:rPr>
            </w:pPr>
            <w:r>
              <w:rPr>
                <w:rFonts w:eastAsia="Times New Roman" w:cs="Times New Roman"/>
                <w:color w:val="000000"/>
                <w:szCs w:val="21"/>
              </w:rPr>
              <w:t>Leg LM</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1006 (58.51)</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629 (84.47)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464 (50.63)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1128 (66.4)</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0.96 (0.88, 1.05)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495 (62.97)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0.91 (0.80, 1.02)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457 (47.72)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1.04 (0.91, 1.18)</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972 (56.05)</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1.05 (0.96, 1.15)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482 (63.8)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0.98 (0.87, 1.12)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499 (54.21)</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1.15 (1.01, 1.31)</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1.03 (0.99, 1.06)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1.01 (0.96, 1.06)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1.05 (1.00, 1.11)</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Trunk LM</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897 (54.07)</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618 (83.95)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479 (52.75)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1005 (57.86)</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0.92 (0.84, 1.00)</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521 (66.65)</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0.87 (0.78, 0.98)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452 (48.21)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0.98 (0.86, 1.12)</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1015 (60.55)</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0.94 (0.86, 1.03)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467 (60.78)</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0.86 (0.76, 0.97)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489 (51.53)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1.05 (0.92, 1.20)</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0.96 (0.92, 0.99)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0.92 (0.87, 0.96)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1.01 (0.95, 1.06)</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Whole LM</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1124 (66.71)</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627 (83.9)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458 (50.97)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918 (55.03)</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0.95 (0.88, 1.04)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515 (66.38)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0.91 (0.80, 1.02)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472 (48.66)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1.03 (0.90, 1.17)</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1408 (86.81)</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0.98 (0.89, 1.07)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464 (60.81)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0.90 (0.79, 1.01)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490 (52.92)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1.10 (0.96, 1.25)</w:t>
            </w:r>
          </w:p>
        </w:tc>
      </w:tr>
      <w:tr>
        <w:trPr>
          <w:trHeight w:val="240" w:hRule="atLeast"/>
        </w:trPr>
        <w:tc>
          <w:tcPr>
            <w:tcW w:w="0" w:type="auto"/>
            <w:vMerge w:val="continue"/>
            <w:tcBorders>
              <w:bottom w:val="single" w:color="auto" w:sz="4" w:space="0"/>
            </w:tcBorders>
          </w:tcPr>
          <w:p>
            <w:pPr>
              <w:jc w:val="both"/>
              <w:rPr>
                <w:rFonts w:eastAsia="Times New Roman" w:cs="Times New Roman"/>
                <w:b/>
                <w:bCs/>
                <w:color w:val="000000"/>
                <w:szCs w:val="21"/>
              </w:rPr>
            </w:pPr>
          </w:p>
        </w:tc>
        <w:tc>
          <w:tcPr>
            <w:tcW w:w="0" w:type="auto"/>
            <w:tcBorders>
              <w:bottom w:val="single" w:color="auto" w:sz="4" w:space="0"/>
            </w:tcBorders>
            <w:noWrap/>
          </w:tcPr>
          <w:p>
            <w:pPr>
              <w:jc w:val="both"/>
              <w:rPr>
                <w:rFonts w:eastAsia="Times New Roman" w:cs="Times New Roman"/>
                <w:color w:val="000000"/>
                <w:szCs w:val="21"/>
              </w:rPr>
            </w:pPr>
          </w:p>
        </w:tc>
        <w:tc>
          <w:tcPr>
            <w:tcW w:w="0" w:type="auto"/>
            <w:tcBorders>
              <w:bottom w:val="single" w:color="auto" w:sz="4" w:space="0"/>
            </w:tcBorders>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single" w:color="auto" w:sz="4" w:space="0"/>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auto"/>
            <w:vAlign w:val="bottom"/>
          </w:tcPr>
          <w:p>
            <w:pPr>
              <w:jc w:val="both"/>
              <w:rPr>
                <w:rFonts w:cs="Times New Roman"/>
                <w:color w:val="000000"/>
                <w:szCs w:val="21"/>
              </w:rPr>
            </w:pPr>
            <w:r>
              <w:rPr>
                <w:rFonts w:cs="Times New Roman"/>
                <w:color w:val="000000"/>
                <w:szCs w:val="21"/>
              </w:rPr>
              <w:t>0.98 (0.95, 1.02)</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0.95 (0.90, 1.00)</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1.02 (0.97, 1.08)</w:t>
            </w:r>
          </w:p>
        </w:tc>
      </w:tr>
      <w:tr>
        <w:trPr>
          <w:trHeight w:val="220" w:hRule="atLeast"/>
        </w:trPr>
        <w:tc>
          <w:tcPr>
            <w:tcW w:w="0" w:type="auto"/>
            <w:vMerge w:val="restart"/>
            <w:tcBorders>
              <w:top w:val="single" w:color="auto" w:sz="4" w:space="0"/>
            </w:tcBorders>
          </w:tcPr>
          <w:p>
            <w:pPr>
              <w:jc w:val="both"/>
              <w:rPr>
                <w:rFonts w:eastAsia="Times New Roman" w:cs="Times New Roman"/>
                <w:b/>
                <w:bCs/>
                <w:color w:val="000000"/>
                <w:szCs w:val="21"/>
              </w:rPr>
            </w:pPr>
            <w:r>
              <w:rPr>
                <w:rFonts w:eastAsia="Times New Roman" w:cs="Times New Roman"/>
                <w:b/>
                <w:bCs/>
                <w:color w:val="000000"/>
                <w:szCs w:val="21"/>
              </w:rPr>
              <w:t>Fat-to-lean mass ratio</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Arm FM/LM</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single" w:color="auto" w:sz="4" w:space="0"/>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980 (56.37)</w:t>
            </w:r>
          </w:p>
        </w:tc>
        <w:tc>
          <w:tcPr>
            <w:tcW w:w="0" w:type="auto"/>
            <w:tcBorders>
              <w:top w:val="single" w:color="auto" w:sz="4" w:space="0"/>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468 (62.72)</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404 (44.21)</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Borders>
              <w:top w:val="single" w:color="auto" w:sz="4" w:space="0"/>
            </w:tcBorders>
          </w:tcPr>
          <w:p>
            <w:pPr>
              <w:jc w:val="both"/>
              <w:rPr>
                <w:rFonts w:eastAsia="Times New Roman" w:cs="Times New Roman"/>
                <w:b/>
                <w:bCs/>
                <w:color w:val="000000"/>
                <w:szCs w:val="21"/>
              </w:rPr>
            </w:pPr>
          </w:p>
        </w:tc>
        <w:tc>
          <w:tcPr>
            <w:tcW w:w="0" w:type="auto"/>
            <w:tcBorders>
              <w:top w:val="single" w:color="auto" w:sz="4" w:space="0"/>
            </w:tcBorders>
            <w:noWrap/>
          </w:tcPr>
          <w:p>
            <w:pPr>
              <w:jc w:val="both"/>
              <w:rPr>
                <w:rFonts w:eastAsia="Times New Roman" w:cs="Times New Roman"/>
                <w:color w:val="000000"/>
                <w:szCs w:val="21"/>
              </w:rPr>
            </w:pP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single" w:color="auto" w:sz="4" w:space="0"/>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1128 (67.37)</w:t>
            </w:r>
          </w:p>
        </w:tc>
        <w:tc>
          <w:tcPr>
            <w:tcW w:w="0" w:type="auto"/>
            <w:tcBorders>
              <w:top w:val="single" w:color="auto" w:sz="4" w:space="0"/>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0.93 (0.85, 1.02)</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515 (64.97)</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0.91 (0.80, 1.03)</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463 (48.4)</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0.96 (0.84, 1.10)</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912 (56.49)</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1.02 (0.93, 1.12)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623 (83.36)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1.01 (0.89, 1.15)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553 (59.84)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1.04 (0.90, 1.19)</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vAlign w:val="bottom"/>
          </w:tcPr>
          <w:p>
            <w:pPr>
              <w:jc w:val="both"/>
              <w:rPr>
                <w:rFonts w:cs="Times New Roman"/>
                <w:color w:val="000000"/>
                <w:szCs w:val="21"/>
              </w:rPr>
            </w:pPr>
            <w:r>
              <w:rPr>
                <w:rFonts w:cs="Times New Roman"/>
                <w:color w:val="000000"/>
                <w:szCs w:val="21"/>
              </w:rPr>
              <w:t>1.06 (1.03, 1.10)</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1.07 (1.02, 1.12)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1.05 (1.00, 1.11)</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Leg FM/LM</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984 (67.04)</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470 (62.06)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405 (43.89)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1069 (56.46)</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0.89 (0.81, 0.97)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516 (66.25)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0.90 (0.79, 1.02)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447 (47.09)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0.87 (0.76, 1.00)</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706 (38.28)</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0.94 (0.86, 1.04)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620 (82.67)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0.94 (0.83, 1.07)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568 (61.56)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0.95 (0.82, 1.08)</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(0.96, 1.04)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(0.95, 1.05)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(0.95, 1.06)</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Trunk FM/LM</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973 (56.58)</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444 (58.43)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405 (43.79)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1093 (65.8)</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1.02 (0.93, 1.12)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527 (67.51)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1.01 (0.89, 1.15)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498 (52.34)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1.03 (0.90, 1.17)</w:t>
            </w:r>
          </w:p>
        </w:tc>
      </w:tr>
      <w:tr>
        <w:trPr>
          <w:trHeight w:val="21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1425 (86.6)</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1.02 (0.93, 1.12)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635 (85.16)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1.05 (0.92, 1.19)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517 (56.31)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0.99 (0.86, 1.13)</w:t>
            </w:r>
          </w:p>
        </w:tc>
      </w:tr>
      <w:tr>
        <w:trPr>
          <w:trHeight w:val="210" w:hRule="atLeast"/>
        </w:trPr>
        <w:tc>
          <w:tcPr>
            <w:tcW w:w="0" w:type="auto"/>
            <w:vMerge w:val="continue"/>
            <w:tcBorders>
              <w:bottom w:val="single" w:color="auto" w:sz="4" w:space="0"/>
            </w:tcBorders>
          </w:tcPr>
          <w:p>
            <w:pPr>
              <w:jc w:val="both"/>
              <w:rPr>
                <w:rFonts w:eastAsia="Times New Roman" w:cs="Times New Roman"/>
                <w:b/>
                <w:bCs/>
                <w:color w:val="000000"/>
                <w:szCs w:val="21"/>
              </w:rPr>
            </w:pPr>
          </w:p>
        </w:tc>
        <w:tc>
          <w:tcPr>
            <w:tcW w:w="0" w:type="auto"/>
            <w:tcBorders>
              <w:bottom w:val="single" w:color="auto" w:sz="4" w:space="0"/>
            </w:tcBorders>
            <w:noWrap/>
          </w:tcPr>
          <w:p>
            <w:pPr>
              <w:jc w:val="both"/>
              <w:rPr>
                <w:rFonts w:eastAsia="Times New Roman" w:cs="Times New Roman"/>
                <w:color w:val="000000"/>
                <w:szCs w:val="21"/>
              </w:rPr>
            </w:pPr>
          </w:p>
        </w:tc>
        <w:tc>
          <w:tcPr>
            <w:tcW w:w="0" w:type="auto"/>
            <w:tcBorders>
              <w:bottom w:val="single" w:color="auto" w:sz="4" w:space="0"/>
            </w:tcBorders>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1.03 (1.00, 1.07)</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1.05 (1.00, 1.10)</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1.01 (0.96, 1.07)</w:t>
            </w:r>
          </w:p>
        </w:tc>
      </w:tr>
      <w:tr>
        <w:tblPrEx>
          <w:tblCellMar>
            <w:top w:w="0" w:type="dxa"/>
            <w:left w:w="108" w:type="dxa"/>
            <w:bottom w:w="0" w:type="dxa"/>
            <w:right w:w="108" w:type="dxa"/>
          </w:tblCellMar>
        </w:tblPrEx>
        <w:trPr>
          <w:trHeight w:val="220" w:hRule="atLeast"/>
        </w:trPr>
        <w:tc>
          <w:tcPr>
            <w:tcW w:w="0" w:type="auto"/>
            <w:vMerge w:val="restart"/>
            <w:tcBorders>
              <w:top w:val="single" w:color="auto" w:sz="4" w:space="0"/>
            </w:tcBorders>
          </w:tcPr>
          <w:p>
            <w:pPr>
              <w:jc w:val="both"/>
              <w:rPr>
                <w:rFonts w:eastAsia="Times New Roman" w:cs="Times New Roman"/>
                <w:b/>
                <w:bCs/>
                <w:color w:val="000000"/>
                <w:szCs w:val="21"/>
              </w:rPr>
            </w:pPr>
            <w:r>
              <w:rPr>
                <w:rFonts w:eastAsia="Times New Roman" w:cs="Times New Roman"/>
                <w:b/>
                <w:bCs/>
                <w:color w:val="000000"/>
                <w:szCs w:val="21"/>
              </w:rPr>
              <w:t>Fat mass distribution</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Arm/whole FM</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single" w:color="auto" w:sz="4" w:space="0"/>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952 (54.6)</w:t>
            </w:r>
          </w:p>
        </w:tc>
        <w:tc>
          <w:tcPr>
            <w:tcW w:w="0" w:type="auto"/>
            <w:tcBorders>
              <w:top w:val="single" w:color="auto" w:sz="4" w:space="0"/>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612 (81.68)</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394 (42.8)</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981 (58.53)</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1.02 (0.93, 1.11)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491 (62.83)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0.96 (0.85, 1.08)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483 (50.69)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1.13 (0.99, 1.29)</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920 (53.2)</w:t>
            </w:r>
          </w:p>
        </w:tc>
        <w:tc>
          <w:tcPr>
            <w:tcW w:w="0" w:type="auto"/>
            <w:tcBorders>
              <w:top w:val="nil"/>
              <w:left w:val="nil"/>
              <w:bottom w:val="nil"/>
              <w:right w:val="nil"/>
            </w:tcBorders>
            <w:shd w:val="clear" w:color="auto" w:fill="FFCCCC"/>
            <w:vAlign w:val="bottom"/>
          </w:tcPr>
          <w:p>
            <w:pPr>
              <w:jc w:val="both"/>
              <w:rPr>
                <w:rFonts w:cs="Times New Roman"/>
                <w:color w:val="000000"/>
                <w:szCs w:val="21"/>
              </w:rPr>
            </w:pPr>
            <w:r>
              <w:rPr>
                <w:rFonts w:cs="Times New Roman"/>
                <w:color w:val="000000"/>
                <w:szCs w:val="21"/>
              </w:rPr>
              <w:t>1.14 (1.05, 1.25)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503 (66.58)</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1.17 (1.03, 1.32)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543 (58.95)</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1.18 (1.03, 1.35)</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vAlign w:val="bottom"/>
          </w:tcPr>
          <w:p>
            <w:pPr>
              <w:jc w:val="both"/>
              <w:rPr>
                <w:rFonts w:cs="Times New Roman"/>
                <w:color w:val="000000"/>
                <w:szCs w:val="21"/>
              </w:rPr>
            </w:pPr>
            <w:r>
              <w:rPr>
                <w:rFonts w:cs="Times New Roman"/>
                <w:color w:val="000000"/>
                <w:szCs w:val="21"/>
              </w:rPr>
              <w:t>1.04 (1.01, 1.08)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1.04 (0.99, 1.09)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1.06 (1.01, 1.12)</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Leg/whole FM</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1097 (66.72)</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574 (77.06)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461 (50.24)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973 (56.59)</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0.93 (0.85, 1.01)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503 (64.35)</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0.87 (0.77, 0.98)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504 (53)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1.01 (0.89, 1.15)</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681 (39.93)</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(0.91, 1.09)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529 (69.63)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(0.88, 1.12)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455 (49.13)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1.01 (0.89, 1.15)</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0.99 (0.95, 1.02)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0.96 (0.91, 1.01)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1.02 (0.97, 1.08)</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Trunk/whole FM</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956 (55.67)</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502 (66.05)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479 (51.83)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1085 (65.92)</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0.93 (0.85, 1.02)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487 (62.37)</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0.86 (0.76, 0.97)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506 (53.2)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1.01 (0.89, 1.14)</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1355 (82.32)</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0.99 (0.91, 1.08)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617 (82.78)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1.01 (0.89, 1.14)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435 (47.32)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0.94 (0.83, 1.07)</w:t>
            </w:r>
          </w:p>
        </w:tc>
      </w:tr>
      <w:tr>
        <w:trPr>
          <w:trHeight w:val="240" w:hRule="atLeast"/>
        </w:trPr>
        <w:tc>
          <w:tcPr>
            <w:tcW w:w="0" w:type="auto"/>
            <w:vMerge w:val="continue"/>
            <w:tcBorders>
              <w:bottom w:val="single" w:color="auto" w:sz="4" w:space="0"/>
            </w:tcBorders>
          </w:tcPr>
          <w:p>
            <w:pPr>
              <w:jc w:val="both"/>
              <w:rPr>
                <w:rFonts w:eastAsia="Times New Roman" w:cs="Times New Roman"/>
                <w:b/>
                <w:bCs/>
                <w:color w:val="000000"/>
                <w:szCs w:val="21"/>
              </w:rPr>
            </w:pPr>
          </w:p>
        </w:tc>
        <w:tc>
          <w:tcPr>
            <w:tcW w:w="0" w:type="auto"/>
            <w:tcBorders>
              <w:bottom w:val="single" w:color="auto" w:sz="4" w:space="0"/>
            </w:tcBorders>
            <w:noWrap/>
          </w:tcPr>
          <w:p>
            <w:pPr>
              <w:jc w:val="both"/>
              <w:rPr>
                <w:rFonts w:eastAsia="Times New Roman" w:cs="Times New Roman"/>
                <w:color w:val="000000"/>
                <w:szCs w:val="21"/>
              </w:rPr>
            </w:pPr>
          </w:p>
        </w:tc>
        <w:tc>
          <w:tcPr>
            <w:tcW w:w="0" w:type="auto"/>
            <w:tcBorders>
              <w:bottom w:val="single" w:color="auto" w:sz="4" w:space="0"/>
            </w:tcBorders>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single" w:color="auto" w:sz="4" w:space="0"/>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auto"/>
            <w:vAlign w:val="bottom"/>
          </w:tcPr>
          <w:p>
            <w:pPr>
              <w:jc w:val="both"/>
              <w:rPr>
                <w:rFonts w:cs="Times New Roman"/>
                <w:color w:val="000000"/>
                <w:szCs w:val="21"/>
              </w:rPr>
            </w:pPr>
            <w:r>
              <w:rPr>
                <w:rFonts w:cs="Times New Roman"/>
                <w:color w:val="000000"/>
                <w:szCs w:val="21"/>
              </w:rPr>
              <w:t>0.99 (0.96, 1.03)</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1.02 (0.97, 1.08)</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0.96 (0.91, 1.01)</w:t>
            </w:r>
          </w:p>
        </w:tc>
      </w:tr>
      <w:tr>
        <w:trPr>
          <w:trHeight w:val="220" w:hRule="atLeast"/>
        </w:trPr>
        <w:tc>
          <w:tcPr>
            <w:tcW w:w="0" w:type="auto"/>
            <w:vMerge w:val="restart"/>
            <w:tcBorders>
              <w:top w:val="single" w:color="auto" w:sz="4" w:space="0"/>
            </w:tcBorders>
          </w:tcPr>
          <w:p>
            <w:pPr>
              <w:jc w:val="both"/>
              <w:rPr>
                <w:rFonts w:eastAsia="Times New Roman" w:cs="Times New Roman"/>
                <w:b/>
                <w:bCs/>
                <w:color w:val="000000"/>
                <w:szCs w:val="21"/>
              </w:rPr>
            </w:pPr>
            <w:r>
              <w:rPr>
                <w:rFonts w:eastAsia="Times New Roman" w:cs="Times New Roman"/>
                <w:b/>
                <w:bCs/>
                <w:color w:val="000000"/>
                <w:szCs w:val="21"/>
              </w:rPr>
              <w:t>Lean mass distribution</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Arm/whole LM</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single" w:color="auto" w:sz="4" w:space="0"/>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987 (56.54)</w:t>
            </w:r>
          </w:p>
        </w:tc>
        <w:tc>
          <w:tcPr>
            <w:tcW w:w="0" w:type="auto"/>
            <w:tcBorders>
              <w:top w:val="single" w:color="auto" w:sz="4" w:space="0"/>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595 (80.11)</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428 (46.81)</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954 (56.48)</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0.95 (0.87, 1.04)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520 (66.6)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0.96 (0.85, 1.08)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497 (52.14)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0.96 (0.84, 1.09)</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938 (54.22)</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0.88 (0.80, 0.96)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491 (64.38)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0.94 (0.83, 1.06)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495 (53.41)</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0.84 (0.73, 0.96)</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0.93 (0.90, 0.96)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0.93 (0.89, 0.98)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0.94 (0.89, 0.99)</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Leg/whole LM</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872 (52.53)</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563 (74.73)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468 (50.52)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rPr>
          <w:trHeight w:val="220" w:hRule="atLeast"/>
        </w:trPr>
        <w:tc>
          <w:tcPr>
            <w:tcW w:w="0" w:type="auto"/>
            <w:vMerge w:val="continue"/>
            <w:tcBorders>
              <w:bottom w:val="single" w:color="auto" w:sz="4" w:space="0"/>
            </w:tcBorders>
          </w:tcPr>
          <w:p>
            <w:pPr>
              <w:jc w:val="both"/>
              <w:rPr>
                <w:rFonts w:eastAsia="Times New Roman" w:cs="Times New Roman"/>
                <w:b/>
                <w:bCs/>
                <w:color w:val="000000"/>
                <w:szCs w:val="21"/>
              </w:rPr>
            </w:pPr>
          </w:p>
        </w:tc>
        <w:tc>
          <w:tcPr>
            <w:tcW w:w="0" w:type="auto"/>
            <w:tcBorders>
              <w:bottom w:val="single" w:color="auto" w:sz="4" w:space="0"/>
            </w:tcBorders>
            <w:noWrap/>
          </w:tcPr>
          <w:p>
            <w:pPr>
              <w:jc w:val="both"/>
              <w:rPr>
                <w:rFonts w:eastAsia="Times New Roman" w:cs="Times New Roman"/>
                <w:color w:val="000000"/>
                <w:szCs w:val="21"/>
              </w:rPr>
            </w:pPr>
          </w:p>
        </w:tc>
        <w:tc>
          <w:tcPr>
            <w:tcW w:w="0" w:type="auto"/>
            <w:tcBorders>
              <w:bottom w:val="single" w:color="auto" w:sz="4" w:space="0"/>
            </w:tcBorders>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single" w:color="auto" w:sz="4" w:space="0"/>
              <w:right w:val="nil"/>
            </w:tcBorders>
            <w:shd w:val="clear" w:color="auto" w:fill="auto"/>
            <w:vAlign w:val="center"/>
          </w:tcPr>
          <w:p>
            <w:pPr>
              <w:jc w:val="both"/>
              <w:rPr>
                <w:rFonts w:cs="Times New Roman"/>
                <w:color w:val="000000"/>
                <w:szCs w:val="21"/>
              </w:rPr>
            </w:pPr>
            <w:r>
              <w:rPr>
                <w:rFonts w:cs="Times New Roman"/>
                <w:color w:val="000000"/>
                <w:szCs w:val="21"/>
              </w:rPr>
              <w:t>978 (55.91)</w:t>
            </w:r>
          </w:p>
        </w:tc>
        <w:tc>
          <w:tcPr>
            <w:tcW w:w="0" w:type="auto"/>
            <w:tcBorders>
              <w:top w:val="nil"/>
              <w:left w:val="nil"/>
              <w:bottom w:val="single" w:color="auto" w:sz="4" w:space="0"/>
              <w:right w:val="nil"/>
            </w:tcBorders>
            <w:shd w:val="clear" w:color="auto" w:fill="auto"/>
            <w:vAlign w:val="bottom"/>
          </w:tcPr>
          <w:p>
            <w:pPr>
              <w:jc w:val="both"/>
              <w:rPr>
                <w:rFonts w:cs="Times New Roman"/>
                <w:color w:val="000000"/>
                <w:szCs w:val="21"/>
              </w:rPr>
            </w:pPr>
            <w:r>
              <w:rPr>
                <w:rFonts w:cs="Times New Roman"/>
                <w:color w:val="000000"/>
                <w:szCs w:val="21"/>
              </w:rPr>
              <w:t>1.02 (0.93, 1.12)</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479 (61.25)</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1.01 (0.89, 1.14)</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460 (48.35)</w:t>
            </w:r>
          </w:p>
        </w:tc>
        <w:tc>
          <w:tcPr>
            <w:tcW w:w="0" w:type="auto"/>
            <w:tcBorders>
              <w:top w:val="nil"/>
              <w:left w:val="nil"/>
              <w:bottom w:val="single" w:color="auto" w:sz="4" w:space="0"/>
              <w:right w:val="nil"/>
            </w:tcBorders>
            <w:shd w:val="clear" w:color="auto" w:fill="auto"/>
          </w:tcPr>
          <w:p>
            <w:pPr>
              <w:jc w:val="both"/>
              <w:rPr>
                <w:rFonts w:eastAsia="Times New Roman" w:cs="Times New Roman"/>
                <w:color w:val="000000"/>
                <w:szCs w:val="21"/>
              </w:rPr>
            </w:pPr>
            <w:r>
              <w:rPr>
                <w:rFonts w:cs="Times New Roman"/>
                <w:color w:val="000000"/>
                <w:szCs w:val="21"/>
              </w:rPr>
              <w:t>1.05 (0.92, 1.20)</w:t>
            </w:r>
          </w:p>
        </w:tc>
      </w:tr>
      <w:tr>
        <w:trPr>
          <w:trHeight w:val="240" w:hRule="atLeast"/>
        </w:trPr>
        <w:tc>
          <w:tcPr>
            <w:tcW w:w="0" w:type="auto"/>
            <w:vMerge w:val="continue"/>
            <w:tcBorders>
              <w:top w:val="single" w:color="auto" w:sz="4" w:space="0"/>
            </w:tcBorders>
          </w:tcPr>
          <w:p>
            <w:pPr>
              <w:jc w:val="both"/>
              <w:rPr>
                <w:rFonts w:eastAsia="Times New Roman" w:cs="Times New Roman"/>
                <w:b/>
                <w:bCs/>
                <w:color w:val="000000"/>
                <w:szCs w:val="21"/>
              </w:rPr>
            </w:pPr>
          </w:p>
        </w:tc>
        <w:tc>
          <w:tcPr>
            <w:tcW w:w="0" w:type="auto"/>
            <w:tcBorders>
              <w:top w:val="single" w:color="auto" w:sz="4" w:space="0"/>
            </w:tcBorders>
            <w:noWrap/>
          </w:tcPr>
          <w:p>
            <w:pPr>
              <w:jc w:val="both"/>
              <w:rPr>
                <w:rFonts w:eastAsia="Times New Roman" w:cs="Times New Roman"/>
                <w:color w:val="000000"/>
                <w:szCs w:val="21"/>
              </w:rPr>
            </w:pP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single" w:color="auto" w:sz="4" w:space="0"/>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733 (43)</w:t>
            </w:r>
          </w:p>
        </w:tc>
        <w:tc>
          <w:tcPr>
            <w:tcW w:w="0" w:type="auto"/>
            <w:tcBorders>
              <w:top w:val="single" w:color="auto" w:sz="4" w:space="0"/>
              <w:left w:val="nil"/>
              <w:bottom w:val="nil"/>
              <w:right w:val="nil"/>
            </w:tcBorders>
            <w:shd w:val="clear" w:color="auto" w:fill="FFCCCC"/>
            <w:vAlign w:val="bottom"/>
          </w:tcPr>
          <w:p>
            <w:pPr>
              <w:jc w:val="both"/>
              <w:rPr>
                <w:rFonts w:cs="Times New Roman"/>
                <w:color w:val="000000"/>
                <w:szCs w:val="21"/>
              </w:rPr>
            </w:pPr>
            <w:r>
              <w:rPr>
                <w:rFonts w:cs="Times New Roman"/>
                <w:color w:val="000000"/>
                <w:szCs w:val="21"/>
              </w:rPr>
              <w:t>1.22 (1.11, 1.33)</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564 (75.13)</w:t>
            </w:r>
          </w:p>
        </w:tc>
        <w:tc>
          <w:tcPr>
            <w:tcW w:w="0" w:type="auto"/>
            <w:tcBorders>
              <w:top w:val="single" w:color="auto" w:sz="4" w:space="0"/>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1.33 (1.18, 1.51)</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492 (53.67)</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1.13 (1.00, 1.29)</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vAlign w:val="bottom"/>
          </w:tcPr>
          <w:p>
            <w:pPr>
              <w:jc w:val="both"/>
              <w:rPr>
                <w:rFonts w:cs="Times New Roman"/>
                <w:color w:val="000000"/>
                <w:szCs w:val="21"/>
              </w:rPr>
            </w:pPr>
            <w:r>
              <w:rPr>
                <w:rFonts w:cs="Times New Roman"/>
                <w:color w:val="000000"/>
                <w:szCs w:val="21"/>
              </w:rPr>
              <w:t>1.11 (1.08, 1.15)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1.14 (1.09, 1.19)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FFCCCC"/>
          </w:tcPr>
          <w:p>
            <w:pPr>
              <w:jc w:val="both"/>
              <w:rPr>
                <w:rFonts w:eastAsia="Times New Roman" w:cs="Times New Roman"/>
                <w:color w:val="000000"/>
                <w:szCs w:val="21"/>
              </w:rPr>
            </w:pPr>
            <w:r>
              <w:rPr>
                <w:rFonts w:cs="Times New Roman"/>
                <w:color w:val="000000"/>
                <w:szCs w:val="21"/>
              </w:rPr>
              <w:t>1.09 (1.04, 1.14)</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Trunk/whole LM</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1176 (70.36)</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537 (71.24)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502 (54.77)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875 (52.08)</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0.91 (0.83, 0.99)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488 (62.4)</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0.82 (0.72, 0.93)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484 (50.83)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0.99 (0.87, 1.13)</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1161 (69.91)</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0.85 (0.78, 0.93)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581 (77.43)</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0.77 (0.68, 0.88)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434 (46.87)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0.90 (0.79, 1.02)</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0.92 (0.90, 0.95)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0.90 (0.86, 0.94)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0.94 (0.90, 0.98)</w:t>
            </w:r>
          </w:p>
        </w:tc>
      </w:tr>
      <w:tr>
        <w:tblPrEx>
          <w:tblCellMar>
            <w:top w:w="0" w:type="dxa"/>
            <w:left w:w="108" w:type="dxa"/>
            <w:bottom w:w="0" w:type="dxa"/>
            <w:right w:w="108" w:type="dxa"/>
          </w:tblCellMar>
        </w:tblPrEx>
        <w:trPr>
          <w:trHeight w:val="220" w:hRule="atLeast"/>
        </w:trPr>
        <w:tc>
          <w:tcPr>
            <w:tcW w:w="0" w:type="auto"/>
            <w:vMerge w:val="restart"/>
            <w:tcBorders>
              <w:top w:val="single" w:color="auto" w:sz="4" w:space="0"/>
            </w:tcBorders>
          </w:tcPr>
          <w:p>
            <w:pPr>
              <w:jc w:val="both"/>
              <w:rPr>
                <w:rFonts w:eastAsia="Times New Roman" w:cs="Times New Roman"/>
                <w:b/>
                <w:bCs/>
                <w:color w:val="000000"/>
                <w:szCs w:val="21"/>
              </w:rPr>
            </w:pPr>
            <w:r>
              <w:rPr>
                <w:rFonts w:eastAsia="Times New Roman" w:cs="Times New Roman"/>
                <w:b/>
                <w:bCs/>
                <w:color w:val="000000"/>
                <w:szCs w:val="21"/>
              </w:rPr>
              <w:t>Muscle strength</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Grip strength</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single" w:color="auto" w:sz="4" w:space="0"/>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963 (55.73)</w:t>
            </w:r>
          </w:p>
        </w:tc>
        <w:tc>
          <w:tcPr>
            <w:tcW w:w="0" w:type="auto"/>
            <w:tcBorders>
              <w:top w:val="single" w:color="auto" w:sz="4" w:space="0"/>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742 (102.89)</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666 (73.94)</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1188 (71.03)</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0.75 (0.69, 0.82)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488 (66.27)</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0.76 (0.68, 0.85)</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424 (48.29)</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0.75 (0.66, 0.85)</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971 (56.03)</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0.61 (0.55, 0.67)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376 (45.37)</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0.62 (0.54, 0.71)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330 (32.48)</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0.59 (0.51, 0.68)</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0.80 (0.77, 0.83)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0.79 (0.75, 0.83)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0.82 (0.78, 0.87)</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Grip strength/BMI</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849 (50.39)</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759 (103.01)</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666 (73.29)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1025 (59.18)</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0.74 (0.68, 0.80)</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495 (63.54)</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0.75 (0.67, 0.84)</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425 (44.72)</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0.73 (0.64, 0.82)</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894 (52.99)</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0.67 (0.61, 0.74)</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352 (45.7)</w:t>
            </w:r>
          </w:p>
        </w:tc>
        <w:tc>
          <w:tcPr>
            <w:tcW w:w="0" w:type="auto"/>
            <w:tcBorders>
              <w:top w:val="nil"/>
              <w:left w:val="nil"/>
              <w:bottom w:val="nil"/>
              <w:right w:val="nil"/>
            </w:tcBorders>
            <w:shd w:val="clear" w:color="auto" w:fill="CCECFF"/>
          </w:tcPr>
          <w:p>
            <w:pPr>
              <w:jc w:val="both"/>
              <w:rPr>
                <w:rFonts w:eastAsia="Times New Roman" w:cs="Times New Roman"/>
                <w:b/>
                <w:bCs/>
                <w:color w:val="000000"/>
                <w:szCs w:val="21"/>
              </w:rPr>
            </w:pPr>
            <w:r>
              <w:rPr>
                <w:rFonts w:cs="Times New Roman"/>
                <w:color w:val="000000"/>
                <w:szCs w:val="21"/>
              </w:rPr>
              <w:t>0.64 (0.56, 0.73)</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329 (35.17)</w:t>
            </w:r>
          </w:p>
        </w:tc>
        <w:tc>
          <w:tcPr>
            <w:tcW w:w="0" w:type="auto"/>
            <w:tcBorders>
              <w:top w:val="nil"/>
              <w:left w:val="nil"/>
              <w:bottom w:val="nil"/>
              <w:right w:val="nil"/>
            </w:tcBorders>
            <w:shd w:val="clear" w:color="auto" w:fill="CCECFF"/>
          </w:tcPr>
          <w:p>
            <w:pPr>
              <w:jc w:val="both"/>
              <w:rPr>
                <w:rFonts w:eastAsia="Times New Roman" w:cs="Times New Roman"/>
                <w:b/>
                <w:bCs/>
                <w:color w:val="000000"/>
                <w:szCs w:val="21"/>
              </w:rPr>
            </w:pPr>
            <w:r>
              <w:rPr>
                <w:rFonts w:cs="Times New Roman"/>
                <w:color w:val="000000"/>
                <w:szCs w:val="21"/>
              </w:rPr>
              <w:t>0.70 (0.61, 0.81)</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0.82 (0.78, 0.85)</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w:t>
            </w:r>
          </w:p>
        </w:tc>
        <w:tc>
          <w:tcPr>
            <w:tcW w:w="0" w:type="auto"/>
            <w:tcBorders>
              <w:top w:val="nil"/>
              <w:left w:val="nil"/>
              <w:bottom w:val="nil"/>
              <w:right w:val="nil"/>
            </w:tcBorders>
            <w:shd w:val="clear" w:color="auto" w:fill="CCECFF"/>
          </w:tcPr>
          <w:p>
            <w:pPr>
              <w:jc w:val="both"/>
              <w:rPr>
                <w:rFonts w:eastAsia="Times New Roman" w:cs="Times New Roman"/>
                <w:b/>
                <w:bCs/>
                <w:color w:val="000000"/>
                <w:szCs w:val="21"/>
              </w:rPr>
            </w:pPr>
            <w:r>
              <w:rPr>
                <w:rFonts w:cs="Times New Roman"/>
                <w:color w:val="000000"/>
                <w:szCs w:val="21"/>
              </w:rPr>
              <w:t>0.81 (0.77, 0.85)</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w:t>
            </w:r>
          </w:p>
        </w:tc>
        <w:tc>
          <w:tcPr>
            <w:tcW w:w="0" w:type="auto"/>
            <w:tcBorders>
              <w:top w:val="nil"/>
              <w:left w:val="nil"/>
              <w:bottom w:val="nil"/>
              <w:right w:val="nil"/>
            </w:tcBorders>
            <w:shd w:val="clear" w:color="auto" w:fill="CCECFF"/>
          </w:tcPr>
          <w:p>
            <w:pPr>
              <w:jc w:val="both"/>
              <w:rPr>
                <w:rFonts w:eastAsia="Times New Roman" w:cs="Times New Roman"/>
                <w:b/>
                <w:bCs/>
                <w:color w:val="000000"/>
                <w:szCs w:val="21"/>
              </w:rPr>
            </w:pPr>
            <w:r>
              <w:rPr>
                <w:rFonts w:cs="Times New Roman"/>
                <w:color w:val="000000"/>
                <w:szCs w:val="21"/>
              </w:rPr>
              <w:t>0.83 (0.78, 0.88)</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Grip strength/arm LM</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1152 (69.24)</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703 (95.16)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652 (71.87)</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1006 (60.24)</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0.76 (0.70, 0.83)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480 (61.52)</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0.74 (0.66, 0.83)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458 (48.23)</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0.78 (0.69, 0.88)</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1158 (69.96)</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0.69 (0.63, 0.75)</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423 (55.14)</w:t>
            </w:r>
          </w:p>
        </w:tc>
        <w:tc>
          <w:tcPr>
            <w:tcW w:w="0" w:type="auto"/>
            <w:tcBorders>
              <w:top w:val="nil"/>
              <w:left w:val="nil"/>
              <w:bottom w:val="nil"/>
              <w:right w:val="nil"/>
            </w:tcBorders>
            <w:shd w:val="clear" w:color="auto" w:fill="CCECFF"/>
          </w:tcPr>
          <w:p>
            <w:pPr>
              <w:jc w:val="both"/>
              <w:rPr>
                <w:rFonts w:eastAsia="Times New Roman" w:cs="Times New Roman"/>
                <w:b/>
                <w:bCs/>
                <w:color w:val="000000"/>
                <w:szCs w:val="21"/>
              </w:rPr>
            </w:pPr>
            <w:r>
              <w:rPr>
                <w:rFonts w:cs="Times New Roman"/>
                <w:color w:val="000000"/>
                <w:szCs w:val="21"/>
              </w:rPr>
              <w:t>0.71 (0.63, 0.81)</w:t>
            </w:r>
          </w:p>
        </w:tc>
        <w:tc>
          <w:tcPr>
            <w:tcW w:w="0" w:type="auto"/>
            <w:tcBorders>
              <w:top w:val="nil"/>
              <w:left w:val="nil"/>
              <w:bottom w:val="nil"/>
              <w:right w:val="nil"/>
            </w:tcBorders>
            <w:shd w:val="clear" w:color="auto" w:fill="auto"/>
          </w:tcPr>
          <w:p>
            <w:pPr>
              <w:jc w:val="both"/>
              <w:rPr>
                <w:rFonts w:eastAsia="Times New Roman" w:cs="Times New Roman"/>
                <w:b/>
                <w:bCs/>
                <w:color w:val="000000"/>
                <w:szCs w:val="21"/>
              </w:rPr>
            </w:pPr>
            <w:r>
              <w:rPr>
                <w:rFonts w:cs="Times New Roman"/>
                <w:color w:val="000000"/>
                <w:szCs w:val="21"/>
              </w:rPr>
              <w:t>310 (33.06)</w:t>
            </w:r>
          </w:p>
        </w:tc>
        <w:tc>
          <w:tcPr>
            <w:tcW w:w="0" w:type="auto"/>
            <w:tcBorders>
              <w:top w:val="nil"/>
              <w:left w:val="nil"/>
              <w:bottom w:val="nil"/>
              <w:right w:val="nil"/>
            </w:tcBorders>
            <w:shd w:val="clear" w:color="auto" w:fill="CCECFF"/>
          </w:tcPr>
          <w:p>
            <w:pPr>
              <w:jc w:val="both"/>
              <w:rPr>
                <w:rFonts w:eastAsia="Times New Roman" w:cs="Times New Roman"/>
                <w:b/>
                <w:bCs/>
                <w:color w:val="000000"/>
                <w:szCs w:val="21"/>
              </w:rPr>
            </w:pPr>
            <w:r>
              <w:rPr>
                <w:rFonts w:cs="Times New Roman"/>
                <w:color w:val="000000"/>
                <w:szCs w:val="21"/>
              </w:rPr>
              <w:t>0.64 (0.55, 0.74)</w:t>
            </w:r>
          </w:p>
        </w:tc>
      </w:tr>
      <w:tr>
        <w:tblPrEx>
          <w:tblCellMar>
            <w:top w:w="0" w:type="dxa"/>
            <w:left w:w="108" w:type="dxa"/>
            <w:bottom w:w="0" w:type="dxa"/>
            <w:right w:w="108" w:type="dxa"/>
          </w:tblCellMar>
        </w:tblPrEx>
        <w:trPr>
          <w:trHeight w:val="240" w:hRule="atLeast"/>
        </w:trPr>
        <w:tc>
          <w:tcPr>
            <w:tcW w:w="0" w:type="auto"/>
            <w:vMerge w:val="continue"/>
            <w:tcBorders>
              <w:bottom w:val="single" w:color="auto" w:sz="4" w:space="0"/>
            </w:tcBorders>
          </w:tcPr>
          <w:p>
            <w:pPr>
              <w:jc w:val="both"/>
              <w:rPr>
                <w:rFonts w:eastAsia="Times New Roman" w:cs="Times New Roman"/>
                <w:b/>
                <w:bCs/>
                <w:color w:val="000000"/>
                <w:szCs w:val="21"/>
              </w:rPr>
            </w:pPr>
          </w:p>
        </w:tc>
        <w:tc>
          <w:tcPr>
            <w:tcW w:w="0" w:type="auto"/>
            <w:tcBorders>
              <w:bottom w:val="single" w:color="auto" w:sz="4" w:space="0"/>
            </w:tcBorders>
            <w:noWrap/>
          </w:tcPr>
          <w:p>
            <w:pPr>
              <w:jc w:val="both"/>
              <w:rPr>
                <w:rFonts w:eastAsia="Times New Roman" w:cs="Times New Roman"/>
                <w:color w:val="000000"/>
                <w:szCs w:val="21"/>
              </w:rPr>
            </w:pPr>
          </w:p>
        </w:tc>
        <w:tc>
          <w:tcPr>
            <w:tcW w:w="0" w:type="auto"/>
            <w:tcBorders>
              <w:bottom w:val="single" w:color="auto" w:sz="4" w:space="0"/>
            </w:tcBorders>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single" w:color="auto" w:sz="4" w:space="0"/>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CCECFF"/>
            <w:vAlign w:val="bottom"/>
          </w:tcPr>
          <w:p>
            <w:pPr>
              <w:jc w:val="both"/>
              <w:rPr>
                <w:rFonts w:cs="Times New Roman"/>
                <w:color w:val="000000"/>
                <w:szCs w:val="21"/>
              </w:rPr>
            </w:pPr>
            <w:r>
              <w:rPr>
                <w:rFonts w:cs="Times New Roman"/>
                <w:color w:val="000000"/>
                <w:szCs w:val="21"/>
              </w:rPr>
              <w:t>0.84 (0.81, 0.87)</w:t>
            </w:r>
          </w:p>
        </w:tc>
        <w:tc>
          <w:tcPr>
            <w:tcW w:w="0" w:type="auto"/>
            <w:tcBorders>
              <w:top w:val="nil"/>
              <w:left w:val="nil"/>
              <w:bottom w:val="single" w:color="auto" w:sz="4" w:space="0"/>
              <w:right w:val="nil"/>
            </w:tcBorders>
            <w:shd w:val="clear" w:color="auto" w:fill="auto"/>
          </w:tcPr>
          <w:p>
            <w:pPr>
              <w:jc w:val="both"/>
              <w:rPr>
                <w:rFonts w:eastAsia="Times New Roman" w:cs="Times New Roman"/>
                <w:b/>
                <w:bCs/>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CCECFF"/>
          </w:tcPr>
          <w:p>
            <w:pPr>
              <w:jc w:val="both"/>
              <w:rPr>
                <w:rFonts w:eastAsia="Times New Roman" w:cs="Times New Roman"/>
                <w:b/>
                <w:bCs/>
                <w:color w:val="000000"/>
                <w:szCs w:val="21"/>
              </w:rPr>
            </w:pPr>
            <w:r>
              <w:rPr>
                <w:rFonts w:cs="Times New Roman"/>
                <w:color w:val="000000"/>
                <w:szCs w:val="21"/>
              </w:rPr>
              <w:t>0.84 (0.80, 0.88)</w:t>
            </w:r>
          </w:p>
        </w:tc>
        <w:tc>
          <w:tcPr>
            <w:tcW w:w="0" w:type="auto"/>
            <w:tcBorders>
              <w:top w:val="nil"/>
              <w:left w:val="nil"/>
              <w:bottom w:val="single" w:color="auto" w:sz="4" w:space="0"/>
              <w:right w:val="nil"/>
            </w:tcBorders>
            <w:shd w:val="clear" w:color="auto" w:fill="auto"/>
          </w:tcPr>
          <w:p>
            <w:pPr>
              <w:jc w:val="both"/>
              <w:rPr>
                <w:rFonts w:eastAsia="Times New Roman" w:cs="Times New Roman"/>
                <w:b/>
                <w:bCs/>
                <w:color w:val="000000"/>
                <w:szCs w:val="21"/>
              </w:rPr>
            </w:pPr>
            <w:r>
              <w:rPr>
                <w:rFonts w:cs="Times New Roman"/>
                <w:color w:val="000000"/>
                <w:szCs w:val="21"/>
              </w:rPr>
              <w:t>-</w:t>
            </w:r>
          </w:p>
        </w:tc>
        <w:tc>
          <w:tcPr>
            <w:tcW w:w="0" w:type="auto"/>
            <w:tcBorders>
              <w:top w:val="nil"/>
              <w:left w:val="nil"/>
              <w:bottom w:val="single" w:color="auto" w:sz="4" w:space="0"/>
              <w:right w:val="nil"/>
            </w:tcBorders>
            <w:shd w:val="clear" w:color="auto" w:fill="CCECFF"/>
          </w:tcPr>
          <w:p>
            <w:pPr>
              <w:jc w:val="both"/>
              <w:rPr>
                <w:rFonts w:eastAsia="Times New Roman" w:cs="Times New Roman"/>
                <w:b/>
                <w:bCs/>
                <w:color w:val="000000"/>
                <w:szCs w:val="21"/>
              </w:rPr>
            </w:pPr>
            <w:r>
              <w:rPr>
                <w:rFonts w:cs="Times New Roman"/>
                <w:color w:val="000000"/>
                <w:szCs w:val="21"/>
              </w:rPr>
              <w:t>0.83 (0.78, 0.87)</w:t>
            </w:r>
          </w:p>
        </w:tc>
      </w:tr>
      <w:tr>
        <w:trPr>
          <w:trHeight w:val="220" w:hRule="atLeast"/>
        </w:trPr>
        <w:tc>
          <w:tcPr>
            <w:tcW w:w="0" w:type="auto"/>
            <w:vMerge w:val="restart"/>
            <w:tcBorders>
              <w:top w:val="single" w:color="auto" w:sz="4" w:space="0"/>
            </w:tcBorders>
          </w:tcPr>
          <w:p>
            <w:pPr>
              <w:jc w:val="both"/>
              <w:rPr>
                <w:rFonts w:eastAsia="Times New Roman" w:cs="Times New Roman"/>
                <w:b/>
                <w:bCs/>
                <w:color w:val="000000"/>
                <w:szCs w:val="21"/>
              </w:rPr>
            </w:pPr>
            <w:r>
              <w:rPr>
                <w:rFonts w:eastAsia="Times New Roman" w:cs="Times New Roman"/>
                <w:b/>
                <w:bCs/>
                <w:color w:val="000000"/>
                <w:szCs w:val="21"/>
              </w:rPr>
              <w:t>Bone density</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Heel BMD</w:t>
            </w:r>
          </w:p>
        </w:tc>
        <w:tc>
          <w:tcPr>
            <w:tcW w:w="0" w:type="auto"/>
            <w:tcBorders>
              <w:top w:val="single" w:color="auto" w:sz="4" w:space="0"/>
            </w:tcBorders>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single" w:color="auto" w:sz="4" w:space="0"/>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974 (56.16)</w:t>
            </w:r>
          </w:p>
        </w:tc>
        <w:tc>
          <w:tcPr>
            <w:tcW w:w="0" w:type="auto"/>
            <w:tcBorders>
              <w:top w:val="single" w:color="auto" w:sz="4" w:space="0"/>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621 (83.08)</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540 (59.13)</w:t>
            </w:r>
          </w:p>
        </w:tc>
        <w:tc>
          <w:tcPr>
            <w:tcW w:w="0" w:type="auto"/>
            <w:tcBorders>
              <w:top w:val="single" w:color="auto" w:sz="4" w:space="0"/>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1046 (62.39)</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0.88 (0.81, 0.96)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495 (63.74)</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0.82 (0.73, 0.93)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476 (49.77)</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0.94 (0.83, 1.07)</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997 (56.8)</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0.88 (0.80, 0.96)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490 (64.29)</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0.87 (0.77, 0.98)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404 (43.68)</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0.88 (0.77, 1.00)</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0.94 (0.91, 0.98)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0.95 (0.90, 1.00)</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0.94 (0.89, 0.99)</w:t>
            </w:r>
          </w:p>
        </w:tc>
      </w:tr>
      <w:tr>
        <w:tblPrEx>
          <w:tblCellMar>
            <w:top w:w="0" w:type="dxa"/>
            <w:left w:w="108" w:type="dxa"/>
            <w:bottom w:w="0" w:type="dxa"/>
            <w:right w:w="108" w:type="dxa"/>
          </w:tblCellMar>
        </w:tblPrEx>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Heel BMD t-score</w:t>
            </w:r>
          </w:p>
        </w:tc>
        <w:tc>
          <w:tcPr>
            <w:tcW w:w="0" w:type="auto"/>
            <w:noWrap/>
          </w:tcPr>
          <w:p>
            <w:pPr>
              <w:jc w:val="both"/>
              <w:rPr>
                <w:rFonts w:eastAsia="Times New Roman" w:cs="Times New Roman"/>
                <w:color w:val="000000"/>
                <w:szCs w:val="21"/>
              </w:rPr>
            </w:pPr>
            <w:r>
              <w:rPr>
                <w:rFonts w:eastAsia="Times New Roman" w:cs="Times New Roman"/>
                <w:color w:val="000000"/>
                <w:szCs w:val="21"/>
              </w:rPr>
              <w:t>low</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1035 (62.26)</w:t>
            </w:r>
          </w:p>
        </w:tc>
        <w:tc>
          <w:tcPr>
            <w:tcW w:w="0" w:type="auto"/>
            <w:tcBorders>
              <w:top w:val="nil"/>
              <w:left w:val="nil"/>
              <w:bottom w:val="nil"/>
              <w:right w:val="nil"/>
            </w:tcBorders>
            <w:shd w:val="clear" w:color="auto" w:fill="auto"/>
            <w:vAlign w:val="bottom"/>
          </w:tcPr>
          <w:p>
            <w:pPr>
              <w:jc w:val="both"/>
              <w:rPr>
                <w:rFonts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615 (82.66)</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543 (59.59)</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2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moderate</w:t>
            </w:r>
          </w:p>
        </w:tc>
        <w:tc>
          <w:tcPr>
            <w:tcW w:w="0" w:type="auto"/>
            <w:tcBorders>
              <w:top w:val="nil"/>
              <w:left w:val="nil"/>
              <w:bottom w:val="nil"/>
              <w:right w:val="nil"/>
            </w:tcBorders>
            <w:shd w:val="clear" w:color="auto" w:fill="auto"/>
            <w:vAlign w:val="center"/>
          </w:tcPr>
          <w:p>
            <w:pPr>
              <w:jc w:val="both"/>
              <w:rPr>
                <w:rFonts w:cs="Times New Roman"/>
                <w:color w:val="000000"/>
                <w:szCs w:val="21"/>
              </w:rPr>
            </w:pPr>
            <w:r>
              <w:rPr>
                <w:rFonts w:cs="Times New Roman"/>
                <w:color w:val="000000"/>
                <w:szCs w:val="21"/>
              </w:rPr>
              <w:t>1007 (58.12)</w:t>
            </w:r>
          </w:p>
        </w:tc>
        <w:tc>
          <w:tcPr>
            <w:tcW w:w="0" w:type="auto"/>
            <w:tcBorders>
              <w:top w:val="nil"/>
              <w:left w:val="nil"/>
              <w:bottom w:val="nil"/>
              <w:right w:val="nil"/>
            </w:tcBorders>
            <w:shd w:val="clear" w:color="auto" w:fill="CCECFF"/>
            <w:vAlign w:val="bottom"/>
          </w:tcPr>
          <w:p>
            <w:pPr>
              <w:jc w:val="both"/>
              <w:rPr>
                <w:rFonts w:cs="Times New Roman"/>
                <w:color w:val="000000"/>
                <w:szCs w:val="21"/>
              </w:rPr>
            </w:pPr>
            <w:r>
              <w:rPr>
                <w:rFonts w:cs="Times New Roman"/>
                <w:color w:val="000000"/>
                <w:szCs w:val="21"/>
              </w:rPr>
              <w:t>0.86 (0.79, 0.93)</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516 (65.4)</w:t>
            </w:r>
          </w:p>
        </w:tc>
        <w:tc>
          <w:tcPr>
            <w:tcW w:w="0" w:type="auto"/>
            <w:tcBorders>
              <w:top w:val="nil"/>
              <w:left w:val="nil"/>
              <w:bottom w:val="nil"/>
              <w:right w:val="nil"/>
            </w:tcBorders>
            <w:shd w:val="clear" w:color="auto" w:fill="CCECFF"/>
          </w:tcPr>
          <w:p>
            <w:pPr>
              <w:jc w:val="both"/>
              <w:rPr>
                <w:rFonts w:eastAsia="Times New Roman" w:cs="Times New Roman"/>
                <w:color w:val="000000"/>
                <w:szCs w:val="21"/>
              </w:rPr>
            </w:pPr>
            <w:r>
              <w:rPr>
                <w:rFonts w:cs="Times New Roman"/>
                <w:color w:val="000000"/>
                <w:szCs w:val="21"/>
              </w:rPr>
              <w:t>0.82 (0.73, 0.92)</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481 (49.78)</w:t>
            </w:r>
          </w:p>
        </w:tc>
        <w:tc>
          <w:tcPr>
            <w:tcW w:w="0" w:type="auto"/>
            <w:tcBorders>
              <w:top w:val="nil"/>
              <w:left w:val="nil"/>
              <w:bottom w:val="nil"/>
              <w:right w:val="nil"/>
            </w:tcBorders>
            <w:shd w:val="clear" w:color="auto" w:fill="auto"/>
          </w:tcPr>
          <w:p>
            <w:pPr>
              <w:jc w:val="both"/>
              <w:rPr>
                <w:rFonts w:eastAsia="Times New Roman" w:cs="Times New Roman"/>
                <w:color w:val="000000"/>
                <w:szCs w:val="21"/>
              </w:rPr>
            </w:pPr>
            <w:r>
              <w:rPr>
                <w:rFonts w:cs="Times New Roman"/>
                <w:color w:val="000000"/>
                <w:szCs w:val="21"/>
              </w:rPr>
              <w:t>0.90 (0.79, 1.02)</w:t>
            </w:r>
          </w:p>
        </w:tc>
      </w:tr>
      <w:tr>
        <w:trPr>
          <w:trHeight w:val="240" w:hRule="atLeast"/>
        </w:trPr>
        <w:tc>
          <w:tcPr>
            <w:tcW w:w="0" w:type="auto"/>
            <w:vMerge w:val="continue"/>
          </w:tcPr>
          <w:p>
            <w:pPr>
              <w:jc w:val="both"/>
              <w:rPr>
                <w:rFonts w:eastAsia="Times New Roman" w:cs="Times New Roman"/>
                <w:b/>
                <w:bCs/>
                <w:color w:val="000000"/>
                <w:szCs w:val="21"/>
              </w:rPr>
            </w:pPr>
          </w:p>
        </w:tc>
        <w:tc>
          <w:tcPr>
            <w:tcW w:w="0" w:type="auto"/>
            <w:noWrap/>
          </w:tcPr>
          <w:p>
            <w:pPr>
              <w:jc w:val="both"/>
              <w:rPr>
                <w:rFonts w:eastAsia="Times New Roman" w:cs="Times New Roman"/>
                <w:color w:val="000000"/>
                <w:szCs w:val="21"/>
              </w:rPr>
            </w:pPr>
          </w:p>
        </w:tc>
        <w:tc>
          <w:tcPr>
            <w:tcW w:w="0" w:type="auto"/>
            <w:noWrap/>
          </w:tcPr>
          <w:p>
            <w:pPr>
              <w:jc w:val="both"/>
              <w:rPr>
                <w:rFonts w:eastAsia="Times New Roman" w:cs="Times New Roman"/>
                <w:color w:val="000000"/>
                <w:szCs w:val="21"/>
              </w:rPr>
            </w:pPr>
            <w:r>
              <w:rPr>
                <w:rFonts w:eastAsia="Times New Roman" w:cs="Times New Roman"/>
                <w:color w:val="000000"/>
                <w:szCs w:val="21"/>
              </w:rPr>
              <w:t>high</w:t>
            </w:r>
          </w:p>
        </w:tc>
        <w:tc>
          <w:tcPr>
            <w:tcW w:w="0" w:type="auto"/>
            <w:tcBorders>
              <w:top w:val="nil"/>
              <w:left w:val="nil"/>
              <w:right w:val="nil"/>
            </w:tcBorders>
            <w:shd w:val="clear" w:color="auto" w:fill="auto"/>
            <w:vAlign w:val="center"/>
          </w:tcPr>
          <w:p>
            <w:pPr>
              <w:jc w:val="both"/>
              <w:rPr>
                <w:rFonts w:cs="Times New Roman"/>
                <w:color w:val="000000"/>
                <w:szCs w:val="21"/>
              </w:rPr>
            </w:pPr>
            <w:r>
              <w:rPr>
                <w:rFonts w:cs="Times New Roman"/>
                <w:color w:val="000000"/>
                <w:szCs w:val="21"/>
              </w:rPr>
              <w:t>871 (52.15)</w:t>
            </w:r>
          </w:p>
        </w:tc>
        <w:tc>
          <w:tcPr>
            <w:tcW w:w="0" w:type="auto"/>
            <w:tcBorders>
              <w:top w:val="nil"/>
              <w:left w:val="nil"/>
              <w:right w:val="nil"/>
            </w:tcBorders>
            <w:shd w:val="clear" w:color="auto" w:fill="CCECFF"/>
            <w:vAlign w:val="bottom"/>
          </w:tcPr>
          <w:p>
            <w:pPr>
              <w:jc w:val="both"/>
              <w:rPr>
                <w:rFonts w:cs="Times New Roman"/>
                <w:color w:val="000000"/>
                <w:szCs w:val="21"/>
              </w:rPr>
            </w:pPr>
            <w:r>
              <w:rPr>
                <w:rFonts w:cs="Times New Roman"/>
                <w:color w:val="000000"/>
                <w:szCs w:val="21"/>
              </w:rPr>
              <w:t>0.85 (0.78, 0.93)</w:t>
            </w:r>
          </w:p>
        </w:tc>
        <w:tc>
          <w:tcPr>
            <w:tcW w:w="0" w:type="auto"/>
            <w:tcBorders>
              <w:top w:val="nil"/>
              <w:left w:val="nil"/>
              <w:right w:val="nil"/>
            </w:tcBorders>
            <w:shd w:val="clear" w:color="auto" w:fill="auto"/>
          </w:tcPr>
          <w:p>
            <w:pPr>
              <w:jc w:val="both"/>
              <w:rPr>
                <w:rFonts w:eastAsia="Times New Roman" w:cs="Times New Roman"/>
                <w:color w:val="000000"/>
                <w:szCs w:val="21"/>
              </w:rPr>
            </w:pPr>
            <w:r>
              <w:rPr>
                <w:rFonts w:cs="Times New Roman"/>
                <w:color w:val="000000"/>
                <w:szCs w:val="21"/>
              </w:rPr>
              <w:t>475 (63.07)</w:t>
            </w:r>
          </w:p>
        </w:tc>
        <w:tc>
          <w:tcPr>
            <w:tcW w:w="0" w:type="auto"/>
            <w:tcBorders>
              <w:top w:val="nil"/>
              <w:left w:val="nil"/>
              <w:right w:val="nil"/>
            </w:tcBorders>
            <w:shd w:val="clear" w:color="auto" w:fill="CCECFF"/>
          </w:tcPr>
          <w:p>
            <w:pPr>
              <w:jc w:val="both"/>
              <w:rPr>
                <w:rFonts w:eastAsia="Times New Roman" w:cs="Times New Roman"/>
                <w:color w:val="000000"/>
                <w:szCs w:val="21"/>
              </w:rPr>
            </w:pPr>
            <w:r>
              <w:rPr>
                <w:rFonts w:cs="Times New Roman"/>
                <w:color w:val="000000"/>
                <w:szCs w:val="21"/>
              </w:rPr>
              <w:t>0.85 (0.75, 0.96)</w:t>
            </w:r>
          </w:p>
        </w:tc>
        <w:tc>
          <w:tcPr>
            <w:tcW w:w="0" w:type="auto"/>
            <w:tcBorders>
              <w:top w:val="nil"/>
              <w:left w:val="nil"/>
              <w:right w:val="nil"/>
            </w:tcBorders>
            <w:shd w:val="clear" w:color="auto" w:fill="auto"/>
          </w:tcPr>
          <w:p>
            <w:pPr>
              <w:jc w:val="both"/>
              <w:rPr>
                <w:rFonts w:eastAsia="Times New Roman" w:cs="Times New Roman"/>
                <w:color w:val="000000"/>
                <w:szCs w:val="21"/>
              </w:rPr>
            </w:pPr>
            <w:r>
              <w:rPr>
                <w:rFonts w:cs="Times New Roman"/>
                <w:color w:val="000000"/>
                <w:szCs w:val="21"/>
              </w:rPr>
              <w:t>396 (43.18)</w:t>
            </w:r>
          </w:p>
        </w:tc>
        <w:tc>
          <w:tcPr>
            <w:tcW w:w="0" w:type="auto"/>
            <w:tcBorders>
              <w:top w:val="nil"/>
              <w:left w:val="nil"/>
              <w:right w:val="nil"/>
            </w:tcBorders>
            <w:shd w:val="clear" w:color="auto" w:fill="CCECFF"/>
          </w:tcPr>
          <w:p>
            <w:pPr>
              <w:jc w:val="both"/>
              <w:rPr>
                <w:rFonts w:eastAsia="Times New Roman" w:cs="Times New Roman"/>
                <w:color w:val="000000"/>
                <w:szCs w:val="21"/>
              </w:rPr>
            </w:pPr>
            <w:r>
              <w:rPr>
                <w:rFonts w:cs="Times New Roman"/>
                <w:color w:val="000000"/>
                <w:szCs w:val="21"/>
              </w:rPr>
              <w:t>0.85 (0.74, 0.97)</w:t>
            </w:r>
          </w:p>
        </w:tc>
      </w:tr>
      <w:tr>
        <w:tblPrEx>
          <w:tblCellMar>
            <w:top w:w="0" w:type="dxa"/>
            <w:left w:w="108" w:type="dxa"/>
            <w:bottom w:w="0" w:type="dxa"/>
            <w:right w:w="108" w:type="dxa"/>
          </w:tblCellMar>
        </w:tblPrEx>
        <w:trPr>
          <w:trHeight w:val="240" w:hRule="atLeast"/>
        </w:trPr>
        <w:tc>
          <w:tcPr>
            <w:tcW w:w="0" w:type="auto"/>
            <w:vMerge w:val="continue"/>
            <w:tcBorders>
              <w:bottom w:val="single" w:color="auto" w:sz="8" w:space="0"/>
            </w:tcBorders>
          </w:tcPr>
          <w:p>
            <w:pPr>
              <w:jc w:val="both"/>
              <w:rPr>
                <w:rFonts w:eastAsia="Times New Roman" w:cs="Times New Roman"/>
                <w:b/>
                <w:bCs/>
                <w:color w:val="000000"/>
                <w:szCs w:val="21"/>
              </w:rPr>
            </w:pPr>
          </w:p>
        </w:tc>
        <w:tc>
          <w:tcPr>
            <w:tcW w:w="0" w:type="auto"/>
            <w:tcBorders>
              <w:bottom w:val="single" w:color="auto" w:sz="8" w:space="0"/>
            </w:tcBorders>
            <w:noWrap/>
          </w:tcPr>
          <w:p>
            <w:pPr>
              <w:jc w:val="both"/>
              <w:rPr>
                <w:rFonts w:eastAsia="Times New Roman" w:cs="Times New Roman"/>
                <w:color w:val="000000"/>
                <w:szCs w:val="21"/>
              </w:rPr>
            </w:pPr>
          </w:p>
        </w:tc>
        <w:tc>
          <w:tcPr>
            <w:tcW w:w="0" w:type="auto"/>
            <w:tcBorders>
              <w:bottom w:val="single" w:color="auto" w:sz="8" w:space="0"/>
            </w:tcBorders>
            <w:noWrap/>
          </w:tcPr>
          <w:p>
            <w:pPr>
              <w:jc w:val="both"/>
              <w:rPr>
                <w:rFonts w:eastAsia="Times New Roman" w:cs="Times New Roman"/>
                <w:color w:val="000000"/>
                <w:szCs w:val="21"/>
              </w:rPr>
            </w:pPr>
            <w:r>
              <w:rPr>
                <w:rFonts w:cs="Times New Roman"/>
                <w:color w:val="000000"/>
                <w:szCs w:val="21"/>
              </w:rPr>
              <w:t>continuous</w:t>
            </w:r>
          </w:p>
        </w:tc>
        <w:tc>
          <w:tcPr>
            <w:tcW w:w="0" w:type="auto"/>
            <w:tcBorders>
              <w:top w:val="nil"/>
              <w:left w:val="nil"/>
              <w:bottom w:val="single" w:color="auto" w:sz="8" w:space="0"/>
              <w:right w:val="nil"/>
            </w:tcBorders>
            <w:shd w:val="clear" w:color="auto" w:fill="auto"/>
            <w:vAlign w:val="center"/>
          </w:tcPr>
          <w:p>
            <w:pPr>
              <w:jc w:val="both"/>
              <w:rPr>
                <w:rFonts w:cs="Times New Roman"/>
                <w:color w:val="000000"/>
                <w:szCs w:val="21"/>
              </w:rPr>
            </w:pPr>
          </w:p>
        </w:tc>
        <w:tc>
          <w:tcPr>
            <w:tcW w:w="0" w:type="auto"/>
            <w:tcBorders>
              <w:top w:val="nil"/>
              <w:left w:val="nil"/>
              <w:bottom w:val="single" w:color="auto" w:sz="8" w:space="0"/>
              <w:right w:val="nil"/>
            </w:tcBorders>
            <w:shd w:val="clear" w:color="auto" w:fill="CCECFF"/>
            <w:vAlign w:val="bottom"/>
          </w:tcPr>
          <w:p>
            <w:pPr>
              <w:jc w:val="both"/>
              <w:rPr>
                <w:rFonts w:cs="Times New Roman"/>
                <w:color w:val="000000"/>
                <w:szCs w:val="21"/>
              </w:rPr>
            </w:pPr>
            <w:r>
              <w:rPr>
                <w:rFonts w:cs="Times New Roman"/>
                <w:color w:val="000000"/>
                <w:szCs w:val="21"/>
              </w:rPr>
              <w:t>0.94 (0.91, 0.98)</w:t>
            </w:r>
          </w:p>
        </w:tc>
        <w:tc>
          <w:tcPr>
            <w:tcW w:w="0" w:type="auto"/>
            <w:tcBorders>
              <w:top w:val="nil"/>
              <w:left w:val="nil"/>
              <w:bottom w:val="single" w:color="auto" w:sz="8" w:space="0"/>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single" w:color="auto" w:sz="8" w:space="0"/>
              <w:right w:val="nil"/>
            </w:tcBorders>
            <w:shd w:val="clear" w:color="auto" w:fill="CCECFF"/>
          </w:tcPr>
          <w:p>
            <w:pPr>
              <w:jc w:val="both"/>
              <w:rPr>
                <w:rFonts w:eastAsia="Times New Roman" w:cs="Times New Roman"/>
                <w:color w:val="000000"/>
                <w:szCs w:val="21"/>
              </w:rPr>
            </w:pPr>
            <w:r>
              <w:rPr>
                <w:rFonts w:cs="Times New Roman"/>
                <w:color w:val="000000"/>
                <w:szCs w:val="21"/>
              </w:rPr>
              <w:t>0.95 (0.90, 1.00)</w:t>
            </w:r>
          </w:p>
        </w:tc>
        <w:tc>
          <w:tcPr>
            <w:tcW w:w="0" w:type="auto"/>
            <w:tcBorders>
              <w:top w:val="nil"/>
              <w:left w:val="nil"/>
              <w:bottom w:val="single" w:color="auto" w:sz="8" w:space="0"/>
              <w:right w:val="nil"/>
            </w:tcBorders>
            <w:shd w:val="clear" w:color="auto" w:fill="auto"/>
          </w:tcPr>
          <w:p>
            <w:pPr>
              <w:jc w:val="both"/>
              <w:rPr>
                <w:rFonts w:eastAsia="Times New Roman" w:cs="Times New Roman"/>
                <w:color w:val="000000"/>
                <w:szCs w:val="21"/>
              </w:rPr>
            </w:pPr>
            <w:r>
              <w:rPr>
                <w:rFonts w:cs="Times New Roman"/>
                <w:color w:val="000000"/>
                <w:szCs w:val="21"/>
              </w:rPr>
              <w:t>-</w:t>
            </w:r>
          </w:p>
        </w:tc>
        <w:tc>
          <w:tcPr>
            <w:tcW w:w="0" w:type="auto"/>
            <w:tcBorders>
              <w:top w:val="nil"/>
              <w:left w:val="nil"/>
              <w:bottom w:val="single" w:color="auto" w:sz="8" w:space="0"/>
              <w:right w:val="nil"/>
            </w:tcBorders>
            <w:shd w:val="clear" w:color="auto" w:fill="CCECFF"/>
          </w:tcPr>
          <w:p>
            <w:pPr>
              <w:jc w:val="both"/>
              <w:rPr>
                <w:rFonts w:eastAsia="Times New Roman" w:cs="Times New Roman"/>
                <w:color w:val="000000"/>
                <w:szCs w:val="21"/>
              </w:rPr>
            </w:pPr>
            <w:r>
              <w:rPr>
                <w:rFonts w:cs="Times New Roman"/>
                <w:color w:val="000000"/>
                <w:szCs w:val="21"/>
              </w:rPr>
              <w:t>0.93 (0.88, 0.98)</w:t>
            </w:r>
          </w:p>
        </w:tc>
      </w:tr>
      <w:bookmarkEnd w:id="40"/>
    </w:tbl>
    <w:p>
      <w:pPr>
        <w:spacing w:line="360" w:lineRule="auto"/>
        <w:rPr>
          <w:rFonts w:cs="Times New Roman"/>
          <w:szCs w:val="21"/>
        </w:rPr>
        <w:sectPr>
          <w:pgSz w:w="16838" w:h="11906" w:orient="landscape"/>
          <w:pgMar w:top="720" w:right="720" w:bottom="720" w:left="720" w:header="851" w:footer="992" w:gutter="0"/>
          <w:cols w:space="425" w:num="1"/>
          <w:docGrid w:type="lines" w:linePitch="326" w:charSpace="0"/>
        </w:sectPr>
      </w:pPr>
      <w:r>
        <w:rPr>
          <w:rFonts w:hint="eastAsia" w:cs="Times New Roman"/>
          <w:bCs/>
          <w:szCs w:val="21"/>
        </w:rPr>
        <w:t xml:space="preserve">Those results that reached statistical significance (i.e., p-value &lt;0.05 using the false discovery rate for adjustment of multiple testing) are marked with color, with blue denoting inverse associations and red denoting positive associations. HRs and 95% CIs were derived from Cox proportional hazards models with attained age as the timescale after adjusting for sex, ethnicity, age at recruitment, Townsend deprivation index, smoking status, average weekly alcohol intake, physical activity, and comorbidities. Abbreviations: IR, incidence rate; HR, hazard ratio; CI, confidence interval; </w:t>
      </w:r>
      <w:r>
        <w:rPr>
          <w:rFonts w:hint="eastAsia" w:cs="Times New Roman"/>
          <w:szCs w:val="21"/>
        </w:rPr>
        <w:t>WC, waist circumference; HC, hip circumference; WTH, waist-to-hip ratio; WTHR, waist-to-height ratio; WWI, waist-to-weight ratio; BSI, body shape index; FM, fat mass; LM, lean mass; Grip, grip strength; BMI, body mass index; BMD, bone mineral density.</w:t>
      </w:r>
    </w:p>
    <w:p>
      <w:pPr>
        <w:pStyle w:val="49"/>
        <w:spacing w:line="360" w:lineRule="auto"/>
      </w:pPr>
      <w:bookmarkStart w:id="42" w:name="_Toc196124153"/>
      <w:bookmarkStart w:id="43" w:name="_Toc196123191"/>
      <w:bookmarkStart w:id="44" w:name="_Toc196124124"/>
      <w:r>
        <w:rPr>
          <w:rFonts w:hint="eastAsia"/>
        </w:rPr>
        <w:t>S9 Table. Mediation analyses of brain diseases and injuries on the associations between body composition patterns and epilepsy.</w:t>
      </w:r>
      <w:bookmarkEnd w:id="42"/>
      <w:bookmarkEnd w:id="43"/>
      <w:bookmarkEnd w:id="44"/>
    </w:p>
    <w:tbl>
      <w:tblPr>
        <w:tblStyle w:val="25"/>
        <w:tblW w:w="15876" w:type="dxa"/>
        <w:tblInd w:w="0" w:type="dxa"/>
        <w:tblLayout w:type="fixed"/>
        <w:tblCellMar>
          <w:top w:w="0" w:type="dxa"/>
          <w:left w:w="108" w:type="dxa"/>
          <w:bottom w:w="0" w:type="dxa"/>
          <w:right w:w="108" w:type="dxa"/>
        </w:tblCellMar>
      </w:tblPr>
      <w:tblGrid>
        <w:gridCol w:w="1701"/>
        <w:gridCol w:w="1984"/>
        <w:gridCol w:w="1985"/>
        <w:gridCol w:w="992"/>
        <w:gridCol w:w="1985"/>
        <w:gridCol w:w="992"/>
        <w:gridCol w:w="1984"/>
        <w:gridCol w:w="993"/>
        <w:gridCol w:w="2268"/>
        <w:gridCol w:w="992"/>
      </w:tblGrid>
      <w:tr>
        <w:tblPrEx>
          <w:tblCellMar>
            <w:top w:w="0" w:type="dxa"/>
            <w:left w:w="108" w:type="dxa"/>
            <w:bottom w:w="0" w:type="dxa"/>
            <w:right w:w="108" w:type="dxa"/>
          </w:tblCellMar>
        </w:tblPrEx>
        <w:trPr>
          <w:trHeight w:val="288" w:hRule="atLeast"/>
          <w:tblHeader/>
        </w:trPr>
        <w:tc>
          <w:tcPr>
            <w:tcW w:w="1701" w:type="dxa"/>
            <w:vMerge w:val="restart"/>
            <w:tcBorders>
              <w:top w:val="single" w:color="auto" w:sz="8" w:space="0"/>
              <w:left w:val="nil"/>
              <w:bottom w:val="nil"/>
              <w:right w:val="nil"/>
            </w:tcBorders>
            <w:shd w:val="clear" w:color="auto" w:fill="auto"/>
            <w:noWrap/>
            <w:vAlign w:val="center"/>
          </w:tcPr>
          <w:p>
            <w:pPr>
              <w:jc w:val="both"/>
              <w:rPr>
                <w:rFonts w:cs="Times New Roman"/>
                <w:b/>
                <w:bCs/>
                <w:color w:val="000000"/>
                <w:szCs w:val="21"/>
              </w:rPr>
            </w:pPr>
            <w:r>
              <w:rPr>
                <w:rFonts w:cs="Times New Roman"/>
                <w:b/>
                <w:bCs/>
                <w:color w:val="000000"/>
                <w:szCs w:val="21"/>
              </w:rPr>
              <w:t>Patterns of body composition</w:t>
            </w:r>
          </w:p>
        </w:tc>
        <w:tc>
          <w:tcPr>
            <w:tcW w:w="1984" w:type="dxa"/>
            <w:vMerge w:val="restart"/>
            <w:tcBorders>
              <w:top w:val="single" w:color="auto" w:sz="8" w:space="0"/>
              <w:left w:val="nil"/>
              <w:bottom w:val="nil"/>
              <w:right w:val="nil"/>
            </w:tcBorders>
            <w:shd w:val="clear" w:color="auto" w:fill="auto"/>
            <w:noWrap/>
            <w:vAlign w:val="center"/>
          </w:tcPr>
          <w:p>
            <w:pPr>
              <w:jc w:val="both"/>
              <w:rPr>
                <w:rFonts w:cs="Times New Roman"/>
                <w:b/>
                <w:bCs/>
                <w:color w:val="000000"/>
                <w:szCs w:val="21"/>
              </w:rPr>
            </w:pPr>
            <w:r>
              <w:rPr>
                <w:rFonts w:cs="Times New Roman"/>
                <w:b/>
                <w:bCs/>
                <w:color w:val="000000"/>
                <w:szCs w:val="21"/>
              </w:rPr>
              <w:t>Mediators</w:t>
            </w:r>
          </w:p>
        </w:tc>
        <w:tc>
          <w:tcPr>
            <w:tcW w:w="2977" w:type="dxa"/>
            <w:gridSpan w:val="2"/>
            <w:tcBorders>
              <w:top w:val="single" w:color="auto" w:sz="8" w:space="0"/>
              <w:left w:val="nil"/>
              <w:bottom w:val="single" w:color="auto" w:sz="4" w:space="0"/>
              <w:right w:val="nil"/>
            </w:tcBorders>
            <w:shd w:val="clear" w:color="auto" w:fill="auto"/>
            <w:noWrap/>
            <w:vAlign w:val="bottom"/>
          </w:tcPr>
          <w:p>
            <w:pPr>
              <w:jc w:val="center"/>
              <w:rPr>
                <w:rFonts w:cs="Times New Roman"/>
                <w:b/>
                <w:bCs/>
                <w:color w:val="000000"/>
                <w:szCs w:val="21"/>
              </w:rPr>
            </w:pPr>
            <w:r>
              <w:rPr>
                <w:rFonts w:cs="Times New Roman"/>
                <w:b/>
                <w:bCs/>
                <w:color w:val="000000"/>
                <w:szCs w:val="21"/>
              </w:rPr>
              <w:t>Total Effect</w:t>
            </w:r>
          </w:p>
        </w:tc>
        <w:tc>
          <w:tcPr>
            <w:tcW w:w="2977" w:type="dxa"/>
            <w:gridSpan w:val="2"/>
            <w:tcBorders>
              <w:top w:val="single" w:color="auto" w:sz="8" w:space="0"/>
              <w:left w:val="nil"/>
              <w:bottom w:val="single" w:color="auto" w:sz="4" w:space="0"/>
              <w:right w:val="nil"/>
            </w:tcBorders>
            <w:shd w:val="clear" w:color="auto" w:fill="auto"/>
            <w:noWrap/>
            <w:vAlign w:val="bottom"/>
          </w:tcPr>
          <w:p>
            <w:pPr>
              <w:jc w:val="center"/>
              <w:rPr>
                <w:rFonts w:cs="Times New Roman"/>
                <w:b/>
                <w:bCs/>
                <w:color w:val="000000"/>
                <w:szCs w:val="21"/>
              </w:rPr>
            </w:pPr>
            <w:r>
              <w:rPr>
                <w:rFonts w:cs="Times New Roman"/>
                <w:b/>
                <w:bCs/>
                <w:color w:val="000000"/>
                <w:szCs w:val="21"/>
              </w:rPr>
              <w:t>Direct Effect</w:t>
            </w:r>
          </w:p>
        </w:tc>
        <w:tc>
          <w:tcPr>
            <w:tcW w:w="2977" w:type="dxa"/>
            <w:gridSpan w:val="2"/>
            <w:tcBorders>
              <w:top w:val="single" w:color="auto" w:sz="8" w:space="0"/>
              <w:left w:val="nil"/>
              <w:bottom w:val="single" w:color="auto" w:sz="4" w:space="0"/>
              <w:right w:val="nil"/>
            </w:tcBorders>
            <w:shd w:val="clear" w:color="auto" w:fill="auto"/>
            <w:noWrap/>
            <w:vAlign w:val="bottom"/>
          </w:tcPr>
          <w:p>
            <w:pPr>
              <w:jc w:val="center"/>
              <w:rPr>
                <w:rFonts w:cs="Times New Roman"/>
                <w:b/>
                <w:bCs/>
                <w:color w:val="000000"/>
                <w:szCs w:val="21"/>
              </w:rPr>
            </w:pPr>
            <w:r>
              <w:rPr>
                <w:rFonts w:cs="Times New Roman"/>
                <w:b/>
                <w:bCs/>
                <w:color w:val="000000"/>
                <w:szCs w:val="21"/>
              </w:rPr>
              <w:t>Indirect Effect</w:t>
            </w:r>
          </w:p>
        </w:tc>
        <w:tc>
          <w:tcPr>
            <w:tcW w:w="2268" w:type="dxa"/>
            <w:vMerge w:val="restart"/>
            <w:tcBorders>
              <w:top w:val="single" w:color="auto" w:sz="8" w:space="0"/>
              <w:left w:val="nil"/>
              <w:bottom w:val="nil"/>
              <w:right w:val="nil"/>
            </w:tcBorders>
            <w:shd w:val="clear" w:color="auto" w:fill="auto"/>
            <w:noWrap/>
            <w:vAlign w:val="center"/>
          </w:tcPr>
          <w:p>
            <w:pPr>
              <w:jc w:val="both"/>
              <w:rPr>
                <w:rFonts w:cs="Times New Roman"/>
                <w:b/>
                <w:bCs/>
                <w:color w:val="000000"/>
                <w:szCs w:val="21"/>
              </w:rPr>
            </w:pPr>
            <w:r>
              <w:rPr>
                <w:rFonts w:cs="Times New Roman"/>
                <w:b/>
                <w:bCs/>
                <w:color w:val="000000"/>
                <w:szCs w:val="21"/>
              </w:rPr>
              <w:t>Proportion</w:t>
            </w:r>
            <w:r>
              <w:rPr>
                <w:rFonts w:hint="eastAsia" w:cs="Times New Roman"/>
                <w:b/>
                <w:bCs/>
                <w:color w:val="000000"/>
                <w:szCs w:val="21"/>
              </w:rPr>
              <w:t xml:space="preserve"> </w:t>
            </w:r>
            <w:r>
              <w:rPr>
                <w:rFonts w:cs="Times New Roman"/>
                <w:b/>
                <w:bCs/>
                <w:color w:val="000000"/>
                <w:szCs w:val="21"/>
              </w:rPr>
              <w:t xml:space="preserve">mediated, </w:t>
            </w:r>
          </w:p>
          <w:p>
            <w:pPr>
              <w:jc w:val="both"/>
              <w:rPr>
                <w:rFonts w:cs="Times New Roman"/>
                <w:b/>
                <w:bCs/>
                <w:color w:val="000000"/>
                <w:szCs w:val="21"/>
              </w:rPr>
            </w:pPr>
            <w:r>
              <w:rPr>
                <w:rFonts w:cs="Times New Roman"/>
                <w:b/>
                <w:bCs/>
                <w:color w:val="000000"/>
                <w:szCs w:val="21"/>
              </w:rPr>
              <w:t>% (95CI)</w:t>
            </w:r>
          </w:p>
        </w:tc>
        <w:tc>
          <w:tcPr>
            <w:tcW w:w="992" w:type="dxa"/>
            <w:vMerge w:val="restart"/>
            <w:tcBorders>
              <w:top w:val="single" w:color="auto" w:sz="8" w:space="0"/>
              <w:left w:val="nil"/>
              <w:bottom w:val="single" w:color="auto" w:sz="8" w:space="0"/>
              <w:right w:val="nil"/>
            </w:tcBorders>
            <w:shd w:val="clear" w:color="auto" w:fill="auto"/>
            <w:noWrap/>
            <w:vAlign w:val="center"/>
          </w:tcPr>
          <w:p>
            <w:pPr>
              <w:jc w:val="both"/>
              <w:rPr>
                <w:rFonts w:cs="Times New Roman"/>
                <w:b/>
                <w:bCs/>
                <w:color w:val="000000"/>
                <w:szCs w:val="21"/>
              </w:rPr>
            </w:pPr>
            <w:r>
              <w:rPr>
                <w:rFonts w:cs="Times New Roman"/>
                <w:b/>
                <w:bCs/>
                <w:color w:val="000000"/>
                <w:szCs w:val="21"/>
              </w:rPr>
              <w:t>P value</w:t>
            </w:r>
          </w:p>
        </w:tc>
      </w:tr>
      <w:tr>
        <w:tblPrEx>
          <w:tblCellMar>
            <w:top w:w="0" w:type="dxa"/>
            <w:left w:w="108" w:type="dxa"/>
            <w:bottom w:w="0" w:type="dxa"/>
            <w:right w:w="108" w:type="dxa"/>
          </w:tblCellMar>
        </w:tblPrEx>
        <w:trPr>
          <w:trHeight w:val="288" w:hRule="atLeast"/>
          <w:tblHeader/>
        </w:trPr>
        <w:tc>
          <w:tcPr>
            <w:tcW w:w="1701" w:type="dxa"/>
            <w:vMerge w:val="continue"/>
            <w:tcBorders>
              <w:top w:val="nil"/>
              <w:left w:val="nil"/>
              <w:bottom w:val="single" w:color="auto" w:sz="4" w:space="0"/>
              <w:right w:val="nil"/>
            </w:tcBorders>
            <w:vAlign w:val="center"/>
          </w:tcPr>
          <w:p>
            <w:pPr>
              <w:rPr>
                <w:rFonts w:cs="Times New Roman"/>
                <w:b/>
                <w:bCs/>
                <w:color w:val="000000"/>
                <w:szCs w:val="21"/>
              </w:rPr>
            </w:pPr>
          </w:p>
        </w:tc>
        <w:tc>
          <w:tcPr>
            <w:tcW w:w="1984" w:type="dxa"/>
            <w:vMerge w:val="continue"/>
            <w:tcBorders>
              <w:top w:val="nil"/>
              <w:left w:val="nil"/>
              <w:bottom w:val="single" w:color="auto" w:sz="4" w:space="0"/>
              <w:right w:val="nil"/>
            </w:tcBorders>
            <w:vAlign w:val="center"/>
          </w:tcPr>
          <w:p>
            <w:pPr>
              <w:rPr>
                <w:rFonts w:cs="Times New Roman"/>
                <w:b/>
                <w:bCs/>
                <w:color w:val="000000"/>
                <w:szCs w:val="21"/>
              </w:rPr>
            </w:pPr>
          </w:p>
        </w:tc>
        <w:tc>
          <w:tcPr>
            <w:tcW w:w="1985" w:type="dxa"/>
            <w:tcBorders>
              <w:top w:val="single" w:color="auto" w:sz="4" w:space="0"/>
              <w:left w:val="nil"/>
              <w:bottom w:val="single" w:color="auto" w:sz="4" w:space="0"/>
              <w:right w:val="nil"/>
            </w:tcBorders>
            <w:shd w:val="clear" w:color="auto" w:fill="auto"/>
            <w:noWrap/>
            <w:vAlign w:val="center"/>
          </w:tcPr>
          <w:p>
            <w:pPr>
              <w:rPr>
                <w:rFonts w:cs="Times New Roman"/>
                <w:b/>
                <w:bCs/>
                <w:color w:val="000000"/>
                <w:szCs w:val="21"/>
              </w:rPr>
            </w:pPr>
            <w:r>
              <w:rPr>
                <w:rFonts w:cs="Times New Roman"/>
                <w:b/>
                <w:bCs/>
                <w:color w:val="000000"/>
                <w:szCs w:val="21"/>
              </w:rPr>
              <w:t>HR (95%CI)</w:t>
            </w:r>
          </w:p>
        </w:tc>
        <w:tc>
          <w:tcPr>
            <w:tcW w:w="992" w:type="dxa"/>
            <w:tcBorders>
              <w:top w:val="single" w:color="auto" w:sz="4" w:space="0"/>
              <w:left w:val="nil"/>
              <w:bottom w:val="single" w:color="auto" w:sz="4" w:space="0"/>
              <w:right w:val="nil"/>
            </w:tcBorders>
            <w:shd w:val="clear" w:color="auto" w:fill="auto"/>
            <w:noWrap/>
            <w:vAlign w:val="bottom"/>
          </w:tcPr>
          <w:p>
            <w:pPr>
              <w:rPr>
                <w:rFonts w:cs="Times New Roman"/>
                <w:b/>
                <w:bCs/>
                <w:color w:val="000000"/>
                <w:szCs w:val="21"/>
              </w:rPr>
            </w:pPr>
            <w:r>
              <w:rPr>
                <w:rFonts w:cs="Times New Roman"/>
                <w:b/>
                <w:bCs/>
                <w:color w:val="000000"/>
                <w:szCs w:val="21"/>
              </w:rPr>
              <w:t>P value</w:t>
            </w:r>
          </w:p>
        </w:tc>
        <w:tc>
          <w:tcPr>
            <w:tcW w:w="1985" w:type="dxa"/>
            <w:tcBorders>
              <w:top w:val="single" w:color="auto" w:sz="4" w:space="0"/>
              <w:left w:val="nil"/>
              <w:bottom w:val="single" w:color="auto" w:sz="4" w:space="0"/>
              <w:right w:val="nil"/>
            </w:tcBorders>
            <w:shd w:val="clear" w:color="auto" w:fill="auto"/>
            <w:noWrap/>
            <w:vAlign w:val="center"/>
          </w:tcPr>
          <w:p>
            <w:pPr>
              <w:rPr>
                <w:rFonts w:cs="Times New Roman"/>
                <w:b/>
                <w:bCs/>
                <w:color w:val="000000"/>
                <w:szCs w:val="21"/>
              </w:rPr>
            </w:pPr>
            <w:r>
              <w:rPr>
                <w:rFonts w:cs="Times New Roman"/>
                <w:b/>
                <w:bCs/>
                <w:color w:val="000000"/>
                <w:szCs w:val="21"/>
              </w:rPr>
              <w:t>HR (95%CI)</w:t>
            </w:r>
          </w:p>
        </w:tc>
        <w:tc>
          <w:tcPr>
            <w:tcW w:w="992" w:type="dxa"/>
            <w:tcBorders>
              <w:top w:val="single" w:color="auto" w:sz="4" w:space="0"/>
              <w:left w:val="nil"/>
              <w:bottom w:val="single" w:color="auto" w:sz="4" w:space="0"/>
              <w:right w:val="nil"/>
            </w:tcBorders>
            <w:shd w:val="clear" w:color="auto" w:fill="auto"/>
            <w:noWrap/>
            <w:vAlign w:val="bottom"/>
          </w:tcPr>
          <w:p>
            <w:pPr>
              <w:rPr>
                <w:rFonts w:cs="Times New Roman"/>
                <w:b/>
                <w:bCs/>
                <w:color w:val="000000"/>
                <w:szCs w:val="21"/>
              </w:rPr>
            </w:pPr>
            <w:r>
              <w:rPr>
                <w:rFonts w:cs="Times New Roman"/>
                <w:b/>
                <w:bCs/>
                <w:color w:val="000000"/>
                <w:szCs w:val="21"/>
              </w:rPr>
              <w:t>P value</w:t>
            </w:r>
          </w:p>
        </w:tc>
        <w:tc>
          <w:tcPr>
            <w:tcW w:w="1984" w:type="dxa"/>
            <w:tcBorders>
              <w:top w:val="nil"/>
              <w:left w:val="nil"/>
              <w:bottom w:val="single" w:color="auto" w:sz="4" w:space="0"/>
              <w:right w:val="nil"/>
            </w:tcBorders>
            <w:shd w:val="clear" w:color="auto" w:fill="auto"/>
            <w:noWrap/>
            <w:vAlign w:val="center"/>
          </w:tcPr>
          <w:p>
            <w:pPr>
              <w:rPr>
                <w:rFonts w:cs="Times New Roman"/>
                <w:b/>
                <w:bCs/>
                <w:color w:val="000000"/>
                <w:szCs w:val="21"/>
              </w:rPr>
            </w:pPr>
            <w:r>
              <w:rPr>
                <w:rFonts w:cs="Times New Roman"/>
                <w:b/>
                <w:bCs/>
                <w:color w:val="000000"/>
                <w:szCs w:val="21"/>
              </w:rPr>
              <w:t>HR (95%CI)</w:t>
            </w:r>
          </w:p>
        </w:tc>
        <w:tc>
          <w:tcPr>
            <w:tcW w:w="993" w:type="dxa"/>
            <w:tcBorders>
              <w:top w:val="nil"/>
              <w:left w:val="nil"/>
              <w:bottom w:val="single" w:color="auto" w:sz="4" w:space="0"/>
              <w:right w:val="nil"/>
            </w:tcBorders>
            <w:shd w:val="clear" w:color="auto" w:fill="auto"/>
            <w:noWrap/>
            <w:vAlign w:val="bottom"/>
          </w:tcPr>
          <w:p>
            <w:pPr>
              <w:rPr>
                <w:rFonts w:cs="Times New Roman"/>
                <w:b/>
                <w:bCs/>
                <w:color w:val="000000"/>
                <w:szCs w:val="21"/>
              </w:rPr>
            </w:pPr>
            <w:r>
              <w:rPr>
                <w:rFonts w:cs="Times New Roman"/>
                <w:b/>
                <w:bCs/>
                <w:color w:val="000000"/>
                <w:szCs w:val="21"/>
              </w:rPr>
              <w:t>P value</w:t>
            </w:r>
          </w:p>
        </w:tc>
        <w:tc>
          <w:tcPr>
            <w:tcW w:w="2268" w:type="dxa"/>
            <w:vMerge w:val="continue"/>
            <w:tcBorders>
              <w:top w:val="nil"/>
              <w:left w:val="nil"/>
              <w:bottom w:val="single" w:color="auto" w:sz="4" w:space="0"/>
              <w:right w:val="nil"/>
            </w:tcBorders>
            <w:vAlign w:val="center"/>
          </w:tcPr>
          <w:p>
            <w:pPr>
              <w:rPr>
                <w:rFonts w:cs="Times New Roman"/>
                <w:b/>
                <w:bCs/>
                <w:color w:val="000000"/>
                <w:szCs w:val="21"/>
              </w:rPr>
            </w:pPr>
          </w:p>
        </w:tc>
        <w:tc>
          <w:tcPr>
            <w:tcW w:w="992" w:type="dxa"/>
            <w:vMerge w:val="continue"/>
            <w:tcBorders>
              <w:top w:val="nil"/>
              <w:left w:val="nil"/>
              <w:bottom w:val="single" w:color="auto" w:sz="4" w:space="0"/>
              <w:right w:val="nil"/>
            </w:tcBorders>
            <w:vAlign w:val="center"/>
          </w:tcPr>
          <w:p>
            <w:pPr>
              <w:rPr>
                <w:rFonts w:cs="Times New Roman"/>
                <w:b/>
                <w:bCs/>
                <w:color w:val="000000"/>
                <w:szCs w:val="21"/>
              </w:rPr>
            </w:pPr>
          </w:p>
        </w:tc>
      </w:tr>
      <w:tr>
        <w:tblPrEx>
          <w:tblCellMar>
            <w:top w:w="0" w:type="dxa"/>
            <w:left w:w="108" w:type="dxa"/>
            <w:bottom w:w="0" w:type="dxa"/>
            <w:right w:w="108" w:type="dxa"/>
          </w:tblCellMar>
        </w:tblPrEx>
        <w:trPr>
          <w:trHeight w:val="288" w:hRule="atLeast"/>
        </w:trPr>
        <w:tc>
          <w:tcPr>
            <w:tcW w:w="15876" w:type="dxa"/>
            <w:gridSpan w:val="10"/>
            <w:tcBorders>
              <w:top w:val="single" w:color="auto" w:sz="4" w:space="0"/>
              <w:left w:val="nil"/>
              <w:bottom w:val="nil"/>
              <w:right w:val="nil"/>
            </w:tcBorders>
            <w:shd w:val="clear" w:color="auto" w:fill="auto"/>
            <w:noWrap/>
          </w:tcPr>
          <w:p>
            <w:pPr>
              <w:jc w:val="both"/>
              <w:rPr>
                <w:rFonts w:eastAsia="Times New Roman" w:cs="Times New Roman"/>
                <w:szCs w:val="21"/>
              </w:rPr>
            </w:pPr>
            <w:r>
              <w:rPr>
                <w:rFonts w:cs="Times New Roman"/>
                <w:b/>
                <w:bCs/>
                <w:color w:val="000000"/>
                <w:szCs w:val="21"/>
              </w:rPr>
              <w:t>PC1_Fat-to-lean mass</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eastAsia="Times New Roman" w:cs="Times New Roman"/>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Stroke</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1.013 (0.997,1.030)</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0.105 </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1.011 (1.000,1.023)</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0.060 </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1.002 (0.989,1.014)</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0.790 </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12.0 (-411.2, 313.6)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0.685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Neurodegenerative diseases</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1.015 (0.999,1.025)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0.060 </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1.014 (1.002,1.025)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1.001 (0.993,1.004)</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0.405 </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5.3 (-217.5, 101.1)</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0.465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Inflammatory encephalopathies</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1.016 (0.999,1.026)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0.070 </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1.012 (1.000,1.024)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0.050 </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1.003 (0.993,1.008)</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0.850 </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20.2 (-190.0, 145.9)</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0.790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Fall</w:t>
            </w:r>
            <w:r>
              <w:rPr>
                <w:rFonts w:hint="eastAsia" w:cs="Times New Roman"/>
                <w:color w:val="000000"/>
                <w:szCs w:val="21"/>
              </w:rPr>
              <w:t>s</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1.014 (1.002,1.025)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1.012 (1.001,1.023)</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1.001 (0.999,1.003)</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0.200 </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11.1 (-5.3, 45.5)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0.205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Traffic accident</w:t>
            </w:r>
            <w:r>
              <w:rPr>
                <w:rFonts w:hint="eastAsia" w:cs="Times New Roman"/>
                <w:color w:val="000000"/>
                <w:szCs w:val="21"/>
              </w:rPr>
              <w:t>s</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1.014 (1.002,1.026)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1.013 (1.002,1.026)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1.000 (0.999,1.000)</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0.160 </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1.3 (-21.5, 1.9)</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0.185 </w:t>
            </w:r>
          </w:p>
        </w:tc>
      </w:tr>
      <w:tr>
        <w:tblPrEx>
          <w:tblCellMar>
            <w:top w:w="0" w:type="dxa"/>
            <w:left w:w="108" w:type="dxa"/>
            <w:bottom w:w="0" w:type="dxa"/>
            <w:right w:w="108" w:type="dxa"/>
          </w:tblCellMar>
        </w:tblPrEx>
        <w:trPr>
          <w:trHeight w:val="288" w:hRule="atLeast"/>
        </w:trPr>
        <w:tc>
          <w:tcPr>
            <w:tcW w:w="1701" w:type="dxa"/>
            <w:tcBorders>
              <w:top w:val="nil"/>
              <w:left w:val="nil"/>
              <w:bottom w:val="single" w:color="auto" w:sz="4" w:space="0"/>
              <w:right w:val="nil"/>
            </w:tcBorders>
            <w:shd w:val="clear" w:color="auto" w:fill="auto"/>
            <w:noWrap/>
          </w:tcPr>
          <w:p>
            <w:pPr>
              <w:jc w:val="both"/>
              <w:rPr>
                <w:rFonts w:cs="Times New Roman"/>
                <w:color w:val="000000"/>
                <w:szCs w:val="21"/>
              </w:rPr>
            </w:pPr>
          </w:p>
        </w:tc>
        <w:tc>
          <w:tcPr>
            <w:tcW w:w="1984" w:type="dxa"/>
            <w:tcBorders>
              <w:top w:val="nil"/>
              <w:left w:val="nil"/>
              <w:bottom w:val="single" w:color="auto" w:sz="4" w:space="0"/>
              <w:right w:val="nil"/>
            </w:tcBorders>
            <w:shd w:val="clear" w:color="auto" w:fill="auto"/>
            <w:noWrap/>
          </w:tcPr>
          <w:p>
            <w:pPr>
              <w:jc w:val="both"/>
              <w:rPr>
                <w:rFonts w:cs="Times New Roman"/>
                <w:color w:val="000000"/>
                <w:szCs w:val="21"/>
              </w:rPr>
            </w:pPr>
            <w:r>
              <w:rPr>
                <w:rFonts w:cs="Times New Roman"/>
                <w:color w:val="000000"/>
                <w:szCs w:val="21"/>
              </w:rPr>
              <w:t>Multi-mediator</w:t>
            </w:r>
            <w:r>
              <w:rPr>
                <w:rFonts w:cs="Times New Roman"/>
                <w:color w:val="000000"/>
                <w:szCs w:val="21"/>
                <w:vertAlign w:val="superscript"/>
              </w:rPr>
              <w:t>a</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1.013 (0.998,1.032)</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0.110</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1.014 (1.001,1.025)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0.999 (0.991,1.013)</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0.715</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-4.9 (-193.9, 329.9)</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0.605</w:t>
            </w:r>
          </w:p>
        </w:tc>
      </w:tr>
      <w:tr>
        <w:tblPrEx>
          <w:tblCellMar>
            <w:top w:w="0" w:type="dxa"/>
            <w:left w:w="108" w:type="dxa"/>
            <w:bottom w:w="0" w:type="dxa"/>
            <w:right w:w="108" w:type="dxa"/>
          </w:tblCellMar>
        </w:tblPrEx>
        <w:trPr>
          <w:trHeight w:val="288" w:hRule="atLeast"/>
        </w:trPr>
        <w:tc>
          <w:tcPr>
            <w:tcW w:w="15876" w:type="dxa"/>
            <w:gridSpan w:val="10"/>
            <w:tcBorders>
              <w:top w:val="single" w:color="auto" w:sz="4" w:space="0"/>
              <w:left w:val="nil"/>
              <w:bottom w:val="nil"/>
              <w:right w:val="nil"/>
            </w:tcBorders>
            <w:shd w:val="clear" w:color="auto" w:fill="auto"/>
            <w:noWrap/>
          </w:tcPr>
          <w:p>
            <w:pPr>
              <w:jc w:val="both"/>
              <w:rPr>
                <w:rFonts w:eastAsia="Times New Roman" w:cs="Times New Roman"/>
                <w:szCs w:val="21"/>
              </w:rPr>
            </w:pPr>
            <w:r>
              <w:rPr>
                <w:rFonts w:cs="Times New Roman"/>
                <w:b/>
                <w:bCs/>
                <w:color w:val="000000"/>
                <w:szCs w:val="21"/>
              </w:rPr>
              <w:t>PC2_Lean mass</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eastAsia="Times New Roman" w:cs="Times New Roman"/>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Stroke</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0.971 (0.945,0.986)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0.971 (0.952,0.989)</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1.000 (0.982,1.009)</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0.540 </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0.0 (-45.1, 46.9)</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0.540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Neurodegenerative diseases</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0.970 (0.946,0.984)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0.969 (0.950,0.987)</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1.001 (0.993,1.003)</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0.460 </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-3.2 (-13.3, 23.9)</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0.460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Inflammatory encephalopathies</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0.969 (0.947,0.987)</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0.967 (0.948,0.985)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1.002 (0.991,1.008)</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0.985 </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-6.2 (-38.1, 21.8)</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0.985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Fall</w:t>
            </w:r>
            <w:r>
              <w:rPr>
                <w:rFonts w:hint="eastAsia" w:cs="Times New Roman"/>
                <w:color w:val="000000"/>
                <w:szCs w:val="21"/>
              </w:rPr>
              <w:t>s</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0.967 (0.950,0.986)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0.968 (0.951,0.986)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0.999 (0.998,1.001)</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0.345 </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3.6 (-3.0, 9.2)</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0.345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Traffic accident</w:t>
            </w:r>
            <w:r>
              <w:rPr>
                <w:rFonts w:hint="eastAsia" w:cs="Times New Roman"/>
                <w:color w:val="000000"/>
                <w:szCs w:val="21"/>
              </w:rPr>
              <w:t>s</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0.967 (0.950,0.984)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0.967 (0.950,0.984)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1.000 (1.000,1.001)</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0.415 </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-0.9 (-3.9, 1.3)</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0.415 </w:t>
            </w:r>
          </w:p>
        </w:tc>
      </w:tr>
      <w:tr>
        <w:tblPrEx>
          <w:tblCellMar>
            <w:top w:w="0" w:type="dxa"/>
            <w:left w:w="108" w:type="dxa"/>
            <w:bottom w:w="0" w:type="dxa"/>
            <w:right w:w="108" w:type="dxa"/>
          </w:tblCellMar>
        </w:tblPrEx>
        <w:trPr>
          <w:trHeight w:val="288" w:hRule="atLeast"/>
        </w:trPr>
        <w:tc>
          <w:tcPr>
            <w:tcW w:w="1701" w:type="dxa"/>
            <w:tcBorders>
              <w:top w:val="nil"/>
              <w:left w:val="nil"/>
              <w:bottom w:val="single" w:color="auto" w:sz="4" w:space="0"/>
              <w:right w:val="nil"/>
            </w:tcBorders>
            <w:shd w:val="clear" w:color="auto" w:fill="auto"/>
            <w:noWrap/>
          </w:tcPr>
          <w:p>
            <w:pPr>
              <w:jc w:val="both"/>
              <w:rPr>
                <w:rFonts w:cs="Times New Roman"/>
                <w:color w:val="000000"/>
                <w:szCs w:val="21"/>
              </w:rPr>
            </w:pPr>
          </w:p>
        </w:tc>
        <w:tc>
          <w:tcPr>
            <w:tcW w:w="1984" w:type="dxa"/>
            <w:tcBorders>
              <w:top w:val="nil"/>
              <w:left w:val="nil"/>
              <w:bottom w:val="single" w:color="auto" w:sz="4" w:space="0"/>
              <w:right w:val="nil"/>
            </w:tcBorders>
            <w:shd w:val="clear" w:color="auto" w:fill="auto"/>
            <w:noWrap/>
          </w:tcPr>
          <w:p>
            <w:pPr>
              <w:jc w:val="both"/>
              <w:rPr>
                <w:rFonts w:cs="Times New Roman"/>
                <w:color w:val="000000"/>
                <w:szCs w:val="21"/>
              </w:rPr>
            </w:pPr>
            <w:r>
              <w:rPr>
                <w:rFonts w:cs="Times New Roman"/>
                <w:color w:val="000000"/>
                <w:szCs w:val="21"/>
              </w:rPr>
              <w:t>Multi-mediator</w:t>
            </w:r>
            <w:r>
              <w:rPr>
                <w:rFonts w:cs="Times New Roman"/>
                <w:color w:val="000000"/>
                <w:szCs w:val="21"/>
                <w:vertAlign w:val="superscript"/>
              </w:rPr>
              <w:t>a</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0.971 (0.950,0.991)</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&lt;0.010</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0.974 (0.956,0.994)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&lt;0.010</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0.996 (0.986,1.008)</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0.580</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12.8 (-42.2, 49.6)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0.575</w:t>
            </w:r>
          </w:p>
        </w:tc>
      </w:tr>
      <w:tr>
        <w:tblPrEx>
          <w:tblCellMar>
            <w:top w:w="0" w:type="dxa"/>
            <w:left w:w="108" w:type="dxa"/>
            <w:bottom w:w="0" w:type="dxa"/>
            <w:right w:w="108" w:type="dxa"/>
          </w:tblCellMar>
        </w:tblPrEx>
        <w:trPr>
          <w:trHeight w:val="288" w:hRule="atLeast"/>
        </w:trPr>
        <w:tc>
          <w:tcPr>
            <w:tcW w:w="15876" w:type="dxa"/>
            <w:gridSpan w:val="10"/>
            <w:tcBorders>
              <w:top w:val="single" w:color="auto" w:sz="4" w:space="0"/>
              <w:left w:val="nil"/>
              <w:bottom w:val="nil"/>
              <w:right w:val="nil"/>
            </w:tcBorders>
            <w:shd w:val="clear" w:color="auto" w:fill="auto"/>
            <w:noWrap/>
          </w:tcPr>
          <w:p>
            <w:pPr>
              <w:jc w:val="both"/>
              <w:rPr>
                <w:rFonts w:eastAsia="Times New Roman" w:cs="Times New Roman"/>
                <w:szCs w:val="21"/>
              </w:rPr>
            </w:pPr>
            <w:r>
              <w:rPr>
                <w:rFonts w:cs="Times New Roman"/>
                <w:b/>
                <w:bCs/>
                <w:color w:val="000000"/>
                <w:szCs w:val="21"/>
              </w:rPr>
              <w:t>PC3_Central obesity</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eastAsia="Times New Roman" w:cs="Times New Roman"/>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Stroke</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1.052 (1.029,1.090)</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1.052 (1.024,1.079)</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1.000 (0.992,1.019)</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0.385 </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0.6 (-24.6, 37.2)</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0.385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Neurodegenerative diseases</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1.054 (1.029,1.088)</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1.056 (1.029,1.084)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0.999 (0.997,1.008)</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0.535 </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-2.5 (-6.0, 14.5)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0.535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Inflammatory encephalopathies</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1.064 (1.028,1.089)</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1.057 (1.029,1.085)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1.007 (0.993,1.009)</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0.785 </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11.5 (-19.0, 13.9)</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0.785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Fall</w:t>
            </w:r>
            <w:r>
              <w:rPr>
                <w:rFonts w:hint="eastAsia" w:cs="Times New Roman"/>
                <w:color w:val="000000"/>
                <w:szCs w:val="21"/>
              </w:rPr>
              <w:t>s</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1.056 (1.030,1.085)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1.056 (1.029,1.084)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1.000 (0.999,1.003)</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0.280 </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0.4 (-1.9, 6.1)</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0.280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Traffic accident</w:t>
            </w:r>
            <w:r>
              <w:rPr>
                <w:rFonts w:hint="eastAsia" w:cs="Times New Roman"/>
                <w:color w:val="000000"/>
                <w:szCs w:val="21"/>
              </w:rPr>
              <w:t>s</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1.057 (1.029,1.088)</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1.058 (1.029,1.088)</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0.999 (0.999,1.000)</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0.515 </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-1.6 (-2.0, 0.9)</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0.515 </w:t>
            </w:r>
          </w:p>
        </w:tc>
      </w:tr>
      <w:tr>
        <w:tblPrEx>
          <w:tblCellMar>
            <w:top w:w="0" w:type="dxa"/>
            <w:left w:w="108" w:type="dxa"/>
            <w:bottom w:w="0" w:type="dxa"/>
            <w:right w:w="108" w:type="dxa"/>
          </w:tblCellMar>
        </w:tblPrEx>
        <w:trPr>
          <w:trHeight w:val="288" w:hRule="atLeast"/>
        </w:trPr>
        <w:tc>
          <w:tcPr>
            <w:tcW w:w="1701" w:type="dxa"/>
            <w:tcBorders>
              <w:top w:val="nil"/>
              <w:left w:val="nil"/>
              <w:bottom w:val="single" w:color="auto" w:sz="4" w:space="0"/>
              <w:right w:val="nil"/>
            </w:tcBorders>
            <w:shd w:val="clear" w:color="auto" w:fill="auto"/>
            <w:noWrap/>
          </w:tcPr>
          <w:p>
            <w:pPr>
              <w:jc w:val="both"/>
              <w:rPr>
                <w:rFonts w:cs="Times New Roman"/>
                <w:color w:val="000000"/>
                <w:szCs w:val="21"/>
              </w:rPr>
            </w:pPr>
          </w:p>
        </w:tc>
        <w:tc>
          <w:tcPr>
            <w:tcW w:w="1984" w:type="dxa"/>
            <w:tcBorders>
              <w:top w:val="nil"/>
              <w:left w:val="nil"/>
              <w:bottom w:val="single" w:color="auto" w:sz="4" w:space="0"/>
              <w:right w:val="nil"/>
            </w:tcBorders>
            <w:shd w:val="clear" w:color="auto" w:fill="auto"/>
            <w:noWrap/>
          </w:tcPr>
          <w:p>
            <w:pPr>
              <w:jc w:val="both"/>
              <w:rPr>
                <w:rFonts w:cs="Times New Roman"/>
                <w:color w:val="000000"/>
                <w:szCs w:val="21"/>
              </w:rPr>
            </w:pPr>
            <w:r>
              <w:rPr>
                <w:rFonts w:cs="Times New Roman"/>
                <w:color w:val="000000"/>
                <w:szCs w:val="21"/>
              </w:rPr>
              <w:t>Multi-mediator</w:t>
            </w:r>
            <w:r>
              <w:rPr>
                <w:rFonts w:cs="Times New Roman"/>
                <w:color w:val="000000"/>
                <w:szCs w:val="21"/>
                <w:vertAlign w:val="superscript"/>
              </w:rPr>
              <w:t>a</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1.064 (1.026,1.093)</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1.055 (1.025,1.083)</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1.009 (0.995,1.018)</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0.275</w:t>
            </w:r>
          </w:p>
        </w:tc>
        <w:tc>
          <w:tcPr>
            <w:tcW w:w="2268" w:type="dxa"/>
            <w:tcBorders>
              <w:top w:val="nil"/>
              <w:left w:val="nil"/>
              <w:bottom w:val="nil"/>
              <w:right w:val="nil"/>
            </w:tcBorders>
            <w:shd w:val="clear" w:color="auto" w:fill="auto"/>
            <w:noWrap/>
            <w:vAlign w:val="center"/>
          </w:tcPr>
          <w:p>
            <w:pPr>
              <w:jc w:val="both"/>
              <w:rPr>
                <w:rFonts w:cs="Times New Roman"/>
                <w:color w:val="000000"/>
                <w:szCs w:val="21"/>
              </w:rPr>
            </w:pPr>
            <w:r>
              <w:rPr>
                <w:rFonts w:cs="Times New Roman"/>
                <w:color w:val="000000"/>
                <w:szCs w:val="21"/>
              </w:rPr>
              <w:t>15.3 (-13.4, 32.3)</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0.275</w:t>
            </w:r>
          </w:p>
        </w:tc>
      </w:tr>
      <w:tr>
        <w:tblPrEx>
          <w:tblCellMar>
            <w:top w:w="0" w:type="dxa"/>
            <w:left w:w="108" w:type="dxa"/>
            <w:bottom w:w="0" w:type="dxa"/>
            <w:right w:w="108" w:type="dxa"/>
          </w:tblCellMar>
        </w:tblPrEx>
        <w:trPr>
          <w:trHeight w:val="288" w:hRule="atLeast"/>
        </w:trPr>
        <w:tc>
          <w:tcPr>
            <w:tcW w:w="15876" w:type="dxa"/>
            <w:gridSpan w:val="10"/>
            <w:tcBorders>
              <w:top w:val="single" w:color="auto" w:sz="4" w:space="0"/>
              <w:left w:val="nil"/>
              <w:bottom w:val="nil"/>
              <w:right w:val="nil"/>
            </w:tcBorders>
            <w:shd w:val="clear" w:color="auto" w:fill="auto"/>
            <w:noWrap/>
          </w:tcPr>
          <w:p>
            <w:pPr>
              <w:jc w:val="both"/>
              <w:rPr>
                <w:rFonts w:eastAsia="Times New Roman" w:cs="Times New Roman"/>
                <w:szCs w:val="21"/>
              </w:rPr>
            </w:pPr>
            <w:r>
              <w:rPr>
                <w:rFonts w:cs="Times New Roman"/>
                <w:b/>
                <w:bCs/>
                <w:color w:val="000000"/>
                <w:szCs w:val="21"/>
              </w:rPr>
              <w:t>PC4_Muscle strength</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eastAsia="Times New Roman" w:cs="Times New Roman"/>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Stroke</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0.881 (0.856,0.902)</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0.892 (0.868,0.915)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0.988 (0.973,0.998)</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2268"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9.1 (1.6, 18.8)</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Neurodegenerative diseases</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0.885 (0.862,0.908)</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0.890 (0.867,0.912)</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0.994 (0.990,0.999)</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&lt;0.010</w:t>
            </w:r>
          </w:p>
        </w:tc>
        <w:tc>
          <w:tcPr>
            <w:tcW w:w="2268"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4.4 (1.0, 7.9)</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&lt;0.010</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Inflammatory encephalopathies</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0.890 (0.864,0.910)</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0.888 (0.865,0.911)</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1.002 (0.991,1.008)</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0.665 </w:t>
            </w:r>
          </w:p>
        </w:tc>
        <w:tc>
          <w:tcPr>
            <w:tcW w:w="2268"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-1.7 (-7.1, 7.1)</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0.665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Fall</w:t>
            </w:r>
            <w:r>
              <w:rPr>
                <w:rFonts w:hint="eastAsia" w:cs="Times New Roman"/>
                <w:color w:val="000000"/>
                <w:szCs w:val="21"/>
              </w:rPr>
              <w:t>s</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0.887 (0.865,0.912)</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0.891 (0.868,0.915)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0.995 (0.994,0.997)</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2268"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3.6 (2.1, 5.7)</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Traffic accident</w:t>
            </w:r>
            <w:r>
              <w:rPr>
                <w:rFonts w:hint="eastAsia" w:cs="Times New Roman"/>
                <w:color w:val="000000"/>
                <w:szCs w:val="21"/>
              </w:rPr>
              <w:t>s</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0.887 (0.863,0.909)</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0.887 (0.863,0.908)</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1.001 (0.999,1.001)</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0.805 </w:t>
            </w:r>
          </w:p>
        </w:tc>
        <w:tc>
          <w:tcPr>
            <w:tcW w:w="2268"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-0.4 (-0.7, 0.5)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0.805 </w:t>
            </w:r>
          </w:p>
        </w:tc>
      </w:tr>
      <w:tr>
        <w:tblPrEx>
          <w:tblCellMar>
            <w:top w:w="0" w:type="dxa"/>
            <w:left w:w="108" w:type="dxa"/>
            <w:bottom w:w="0" w:type="dxa"/>
            <w:right w:w="108" w:type="dxa"/>
          </w:tblCellMar>
        </w:tblPrEx>
        <w:trPr>
          <w:trHeight w:val="288" w:hRule="atLeast"/>
        </w:trPr>
        <w:tc>
          <w:tcPr>
            <w:tcW w:w="1701" w:type="dxa"/>
            <w:tcBorders>
              <w:top w:val="nil"/>
              <w:left w:val="nil"/>
              <w:bottom w:val="single" w:color="auto" w:sz="4" w:space="0"/>
              <w:right w:val="nil"/>
            </w:tcBorders>
            <w:shd w:val="clear" w:color="auto" w:fill="auto"/>
            <w:noWrap/>
          </w:tcPr>
          <w:p>
            <w:pPr>
              <w:jc w:val="both"/>
              <w:rPr>
                <w:rFonts w:cs="Times New Roman"/>
                <w:color w:val="000000"/>
                <w:szCs w:val="21"/>
              </w:rPr>
            </w:pPr>
          </w:p>
        </w:tc>
        <w:tc>
          <w:tcPr>
            <w:tcW w:w="1984" w:type="dxa"/>
            <w:tcBorders>
              <w:top w:val="nil"/>
              <w:left w:val="nil"/>
              <w:bottom w:val="single" w:color="auto" w:sz="4" w:space="0"/>
              <w:right w:val="nil"/>
            </w:tcBorders>
            <w:shd w:val="clear" w:color="auto" w:fill="auto"/>
            <w:noWrap/>
          </w:tcPr>
          <w:p>
            <w:pPr>
              <w:jc w:val="both"/>
              <w:rPr>
                <w:rFonts w:cs="Times New Roman"/>
                <w:color w:val="000000"/>
                <w:szCs w:val="21"/>
              </w:rPr>
            </w:pPr>
            <w:r>
              <w:rPr>
                <w:rFonts w:cs="Times New Roman"/>
                <w:color w:val="000000"/>
                <w:szCs w:val="21"/>
              </w:rPr>
              <w:t>Multi-mediator</w:t>
            </w:r>
            <w:r>
              <w:rPr>
                <w:rFonts w:cs="Times New Roman"/>
                <w:color w:val="000000"/>
                <w:szCs w:val="21"/>
                <w:vertAlign w:val="superscript"/>
              </w:rPr>
              <w:t>a</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0.879 (0.862,0.913)</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0.901 (0.877,0.924)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0.976 (0.974,0.995)</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2268"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17.9 (3.9, 19.8)</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r>
      <w:tr>
        <w:tblPrEx>
          <w:tblCellMar>
            <w:top w:w="0" w:type="dxa"/>
            <w:left w:w="108" w:type="dxa"/>
            <w:bottom w:w="0" w:type="dxa"/>
            <w:right w:w="108" w:type="dxa"/>
          </w:tblCellMar>
        </w:tblPrEx>
        <w:trPr>
          <w:trHeight w:val="288" w:hRule="atLeast"/>
        </w:trPr>
        <w:tc>
          <w:tcPr>
            <w:tcW w:w="15876" w:type="dxa"/>
            <w:gridSpan w:val="10"/>
            <w:tcBorders>
              <w:top w:val="single" w:color="auto" w:sz="4" w:space="0"/>
              <w:left w:val="nil"/>
              <w:bottom w:val="nil"/>
              <w:right w:val="nil"/>
            </w:tcBorders>
            <w:shd w:val="clear" w:color="auto" w:fill="auto"/>
            <w:noWrap/>
          </w:tcPr>
          <w:p>
            <w:pPr>
              <w:jc w:val="both"/>
              <w:rPr>
                <w:rFonts w:eastAsia="Times New Roman" w:cs="Times New Roman"/>
                <w:szCs w:val="21"/>
              </w:rPr>
            </w:pPr>
            <w:r>
              <w:rPr>
                <w:rFonts w:cs="Times New Roman"/>
                <w:b/>
                <w:bCs/>
                <w:color w:val="000000"/>
                <w:szCs w:val="21"/>
              </w:rPr>
              <w:t>PC5_Bone density</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eastAsia="Times New Roman" w:cs="Times New Roman"/>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Stroke</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0.954 (0.924,0.995)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0.962 (0.931,0.998)</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0.992 (0.982,1.009)</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0.460 </w:t>
            </w:r>
          </w:p>
        </w:tc>
        <w:tc>
          <w:tcPr>
            <w:tcW w:w="2268"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17.4 (-56.3, 64.5)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0.470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Neurodegenerative diseases</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0.957 (0.924,0.993)</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0.959 (0.927,0.996)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0.998 (0.992,1.003)</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0.380 </w:t>
            </w:r>
          </w:p>
        </w:tc>
        <w:tc>
          <w:tcPr>
            <w:tcW w:w="2268"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4.9 (-11.4, 27.7)</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0.400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Inflammatory encephalopathies</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0.958 (0.924,0.994)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0.957 (0.926,0.994)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1.002 (0.991,1.009)</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0.995 </w:t>
            </w:r>
          </w:p>
        </w:tc>
        <w:tc>
          <w:tcPr>
            <w:tcW w:w="2268"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-3.8 (-31.3, 24.6)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0.995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Fall</w:t>
            </w:r>
            <w:r>
              <w:rPr>
                <w:rFonts w:hint="eastAsia" w:cs="Times New Roman"/>
                <w:color w:val="000000"/>
                <w:szCs w:val="21"/>
              </w:rPr>
              <w:t>s</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0.959 (0.928,0.988)</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&lt;0.010</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0.968 (0.938,0.997)</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1984"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0.990 (0.987,0.992)</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2268"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23.5 (12.3, 74.1)</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&lt;0.010</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Traffic accident</w:t>
            </w:r>
            <w:r>
              <w:rPr>
                <w:rFonts w:hint="eastAsia" w:cs="Times New Roman"/>
                <w:color w:val="000000"/>
                <w:szCs w:val="21"/>
              </w:rPr>
              <w:t>s</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0.958 (0.927,0.994)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&lt;0.010</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0.960 (0.928,0.994)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0.999 (0.998,1.000)</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0.050 </w:t>
            </w:r>
          </w:p>
        </w:tc>
        <w:tc>
          <w:tcPr>
            <w:tcW w:w="2268"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3.1 (0.0, 9.3)</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0.060 </w:t>
            </w:r>
          </w:p>
        </w:tc>
      </w:tr>
      <w:tr>
        <w:tblPrEx>
          <w:tblCellMar>
            <w:top w:w="0" w:type="dxa"/>
            <w:left w:w="108" w:type="dxa"/>
            <w:bottom w:w="0" w:type="dxa"/>
            <w:right w:w="108" w:type="dxa"/>
          </w:tblCellMar>
        </w:tblPrEx>
        <w:trPr>
          <w:trHeight w:val="288" w:hRule="atLeast"/>
        </w:trPr>
        <w:tc>
          <w:tcPr>
            <w:tcW w:w="1701" w:type="dxa"/>
            <w:tcBorders>
              <w:top w:val="nil"/>
              <w:left w:val="nil"/>
              <w:bottom w:val="single" w:color="auto" w:sz="4" w:space="0"/>
              <w:right w:val="nil"/>
            </w:tcBorders>
            <w:shd w:val="clear" w:color="auto" w:fill="auto"/>
            <w:noWrap/>
          </w:tcPr>
          <w:p>
            <w:pPr>
              <w:jc w:val="both"/>
              <w:rPr>
                <w:rFonts w:cs="Times New Roman"/>
                <w:color w:val="000000"/>
                <w:szCs w:val="21"/>
              </w:rPr>
            </w:pPr>
          </w:p>
        </w:tc>
        <w:tc>
          <w:tcPr>
            <w:tcW w:w="1984" w:type="dxa"/>
            <w:tcBorders>
              <w:top w:val="nil"/>
              <w:left w:val="nil"/>
              <w:bottom w:val="single" w:color="auto" w:sz="4" w:space="0"/>
              <w:right w:val="nil"/>
            </w:tcBorders>
            <w:shd w:val="clear" w:color="auto" w:fill="auto"/>
            <w:noWrap/>
          </w:tcPr>
          <w:p>
            <w:pPr>
              <w:jc w:val="both"/>
              <w:rPr>
                <w:rFonts w:cs="Times New Roman"/>
                <w:color w:val="000000"/>
                <w:szCs w:val="21"/>
              </w:rPr>
            </w:pPr>
            <w:r>
              <w:rPr>
                <w:rFonts w:cs="Times New Roman"/>
                <w:color w:val="000000"/>
                <w:szCs w:val="21"/>
              </w:rPr>
              <w:t>Multi-mediator</w:t>
            </w:r>
            <w:r>
              <w:rPr>
                <w:rFonts w:cs="Times New Roman"/>
                <w:color w:val="000000"/>
                <w:szCs w:val="21"/>
                <w:vertAlign w:val="superscript"/>
              </w:rPr>
              <w:t>a</w:t>
            </w:r>
          </w:p>
        </w:tc>
        <w:tc>
          <w:tcPr>
            <w:tcW w:w="1985"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0.961 (0.923,0.994)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&lt;0.010</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0.972 (0.940,1.005)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0.090</w:t>
            </w:r>
          </w:p>
        </w:tc>
        <w:tc>
          <w:tcPr>
            <w:tcW w:w="1984"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0.989 (0.974,0.998)</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c>
          <w:tcPr>
            <w:tcW w:w="2268"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27.2 (4.2, 144.6)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&lt;0.050</w:t>
            </w:r>
          </w:p>
        </w:tc>
      </w:tr>
      <w:tr>
        <w:tblPrEx>
          <w:tblCellMar>
            <w:top w:w="0" w:type="dxa"/>
            <w:left w:w="108" w:type="dxa"/>
            <w:bottom w:w="0" w:type="dxa"/>
            <w:right w:w="108" w:type="dxa"/>
          </w:tblCellMar>
        </w:tblPrEx>
        <w:trPr>
          <w:trHeight w:val="288" w:hRule="atLeast"/>
        </w:trPr>
        <w:tc>
          <w:tcPr>
            <w:tcW w:w="15876" w:type="dxa"/>
            <w:gridSpan w:val="10"/>
            <w:tcBorders>
              <w:top w:val="single" w:color="auto" w:sz="4" w:space="0"/>
              <w:left w:val="nil"/>
              <w:bottom w:val="nil"/>
              <w:right w:val="nil"/>
            </w:tcBorders>
            <w:shd w:val="clear" w:color="auto" w:fill="auto"/>
            <w:noWrap/>
          </w:tcPr>
          <w:p>
            <w:pPr>
              <w:jc w:val="both"/>
              <w:rPr>
                <w:rFonts w:eastAsia="Times New Roman" w:cs="Times New Roman"/>
                <w:szCs w:val="21"/>
              </w:rPr>
            </w:pPr>
            <w:r>
              <w:rPr>
                <w:rFonts w:cs="Times New Roman"/>
                <w:b/>
                <w:bCs/>
                <w:color w:val="000000"/>
                <w:szCs w:val="21"/>
              </w:rPr>
              <w:t>PC6_Arm-dominant fat distribution</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eastAsia="Times New Roman" w:cs="Times New Roman"/>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Stroke</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1.115 (1.071,1.147)</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1.079 (1.044,1.114)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1.034 (1.015,1.044)</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2268"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31.6 (15.1, 43.7)</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Neurodegenerative diseases</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1.102 (1.065,1.136)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1.094 (1.060,1.127)</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1.008 (1.002,1.013)</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&lt;0.010</w:t>
            </w:r>
          </w:p>
        </w:tc>
        <w:tc>
          <w:tcPr>
            <w:tcW w:w="2268"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8.4 (2.1, 15.7)</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&lt;0.010</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Inflammatory encephalopathies</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1.104 (1.064,1.135)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1.097 (1.065,1.132)</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1.006 (0.993,1.010)</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0.545 </w:t>
            </w:r>
          </w:p>
        </w:tc>
        <w:tc>
          <w:tcPr>
            <w:tcW w:w="2268"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6.7 (-8.6, 11.5)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0.545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Fall</w:t>
            </w:r>
            <w:r>
              <w:rPr>
                <w:rFonts w:hint="eastAsia" w:cs="Times New Roman"/>
                <w:color w:val="000000"/>
                <w:szCs w:val="21"/>
              </w:rPr>
              <w:t>s</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1.096 (1.063,1.130)</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1.091 (1.056,1.124)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1.005 (1.004,1.009)</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2268"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6.0 (4.4, 12.4)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Traffic accident</w:t>
            </w:r>
            <w:r>
              <w:rPr>
                <w:rFonts w:hint="eastAsia" w:cs="Times New Roman"/>
                <w:color w:val="000000"/>
                <w:szCs w:val="21"/>
              </w:rPr>
              <w:t>s</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1.099 (1.064,1.132)</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1.098 (1.064,1.130)</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1.001 (1.000,1.002)</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0.060 </w:t>
            </w:r>
          </w:p>
        </w:tc>
        <w:tc>
          <w:tcPr>
            <w:tcW w:w="2268"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 (0.0, 1.9)</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0.060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Multi-mediator</w:t>
            </w:r>
            <w:r>
              <w:rPr>
                <w:rFonts w:cs="Times New Roman"/>
                <w:color w:val="000000"/>
                <w:szCs w:val="21"/>
                <w:vertAlign w:val="superscript"/>
              </w:rPr>
              <w:t>a</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1.110 (1.064,1.144)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5"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1.076 (1.040,1.111)</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1984"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1.032 (1.015,1.041)</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c>
          <w:tcPr>
            <w:tcW w:w="2268" w:type="dxa"/>
            <w:tcBorders>
              <w:top w:val="nil"/>
              <w:left w:val="nil"/>
              <w:bottom w:val="nil"/>
              <w:right w:val="nil"/>
            </w:tcBorders>
            <w:shd w:val="clear" w:color="auto" w:fill="FFCCCC"/>
            <w:noWrap/>
            <w:vAlign w:val="bottom"/>
          </w:tcPr>
          <w:p>
            <w:pPr>
              <w:jc w:val="both"/>
              <w:rPr>
                <w:rFonts w:cs="Times New Roman"/>
                <w:color w:val="000000"/>
                <w:szCs w:val="21"/>
              </w:rPr>
            </w:pPr>
            <w:r>
              <w:rPr>
                <w:rFonts w:cs="Times New Roman"/>
                <w:color w:val="000000"/>
                <w:szCs w:val="21"/>
              </w:rPr>
              <w:t>31.0 (16.0, 48.0)</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&lt;0.001</w:t>
            </w:r>
          </w:p>
        </w:tc>
      </w:tr>
      <w:tr>
        <w:tblPrEx>
          <w:tblCellMar>
            <w:top w:w="0" w:type="dxa"/>
            <w:left w:w="108" w:type="dxa"/>
            <w:bottom w:w="0" w:type="dxa"/>
            <w:right w:w="108" w:type="dxa"/>
          </w:tblCellMar>
        </w:tblPrEx>
        <w:trPr>
          <w:trHeight w:val="288" w:hRule="atLeast"/>
        </w:trPr>
        <w:tc>
          <w:tcPr>
            <w:tcW w:w="15876" w:type="dxa"/>
            <w:gridSpan w:val="10"/>
            <w:tcBorders>
              <w:top w:val="single" w:color="auto" w:sz="4" w:space="0"/>
              <w:left w:val="nil"/>
              <w:bottom w:val="nil"/>
              <w:right w:val="nil"/>
            </w:tcBorders>
            <w:shd w:val="clear" w:color="auto" w:fill="auto"/>
            <w:noWrap/>
          </w:tcPr>
          <w:p>
            <w:pPr>
              <w:jc w:val="both"/>
              <w:rPr>
                <w:rFonts w:eastAsia="Times New Roman" w:cs="Times New Roman"/>
                <w:szCs w:val="21"/>
              </w:rPr>
            </w:pPr>
            <w:r>
              <w:rPr>
                <w:rFonts w:cs="Times New Roman"/>
                <w:b/>
                <w:bCs/>
                <w:color w:val="000000"/>
                <w:szCs w:val="21"/>
              </w:rPr>
              <w:t>PC7_Leg-dominant fat distribution</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eastAsia="Times New Roman" w:cs="Times New Roman"/>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Stroke</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0.992 (0.970,1.027)</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0.995 </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1.001 (0.972,1.025)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0.950 </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0.991 (0.985,1.014)</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0.880 </w:t>
            </w:r>
          </w:p>
        </w:tc>
        <w:tc>
          <w:tcPr>
            <w:tcW w:w="2268"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111.6 (-332.9, 784.0)</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0.605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Neurodegenerative diseases</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0.998 (0.972,1.024)</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0.980 </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1.002 (0.972,1.026)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0.915 </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0.997 (0.993,1.004)</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0.550 </w:t>
            </w:r>
          </w:p>
        </w:tc>
        <w:tc>
          <w:tcPr>
            <w:tcW w:w="2268"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195.4 (-255.9, 402.5)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0.890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Inflammatory encephalopathies</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0.990 (0.969,1.025)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0.955 </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0.999 (0.972,1.023)</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0.970 </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0.991 (0.991,1.007)</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0.970 </w:t>
            </w:r>
          </w:p>
        </w:tc>
        <w:tc>
          <w:tcPr>
            <w:tcW w:w="2268"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93.3 (-350.0, 809.2)</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0.815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Fall</w:t>
            </w:r>
            <w:r>
              <w:rPr>
                <w:rFonts w:hint="eastAsia" w:cs="Times New Roman"/>
                <w:color w:val="000000"/>
                <w:szCs w:val="21"/>
              </w:rPr>
              <w:t>s</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1.001 (0.973,1.026)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0.995 </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1.001 (0.974,1.027)</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0.895 </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1.000 (0.996,1.001)</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0.190 </w:t>
            </w:r>
          </w:p>
        </w:tc>
        <w:tc>
          <w:tcPr>
            <w:tcW w:w="2268"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-58.2 (-219.4, 175.2)</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0.975 </w:t>
            </w:r>
          </w:p>
        </w:tc>
      </w:tr>
      <w:tr>
        <w:tblPrEx>
          <w:tblCellMar>
            <w:top w:w="0" w:type="dxa"/>
            <w:left w:w="108" w:type="dxa"/>
            <w:bottom w:w="0" w:type="dxa"/>
            <w:right w:w="108" w:type="dxa"/>
          </w:tblCellMar>
        </w:tblPrEx>
        <w:trPr>
          <w:trHeight w:val="288" w:hRule="atLeast"/>
        </w:trPr>
        <w:tc>
          <w:tcPr>
            <w:tcW w:w="1701" w:type="dxa"/>
            <w:tcBorders>
              <w:top w:val="nil"/>
              <w:left w:val="nil"/>
              <w:bottom w:val="nil"/>
              <w:right w:val="nil"/>
            </w:tcBorders>
            <w:shd w:val="clear" w:color="auto" w:fill="auto"/>
            <w:noWrap/>
          </w:tcPr>
          <w:p>
            <w:pPr>
              <w:jc w:val="both"/>
              <w:rPr>
                <w:rFonts w:cs="Times New Roman"/>
                <w:color w:val="000000"/>
                <w:szCs w:val="21"/>
              </w:rPr>
            </w:pPr>
          </w:p>
        </w:tc>
        <w:tc>
          <w:tcPr>
            <w:tcW w:w="1984" w:type="dxa"/>
            <w:tcBorders>
              <w:top w:val="nil"/>
              <w:left w:val="nil"/>
              <w:bottom w:val="nil"/>
              <w:right w:val="nil"/>
            </w:tcBorders>
            <w:shd w:val="clear" w:color="auto" w:fill="auto"/>
            <w:noWrap/>
          </w:tcPr>
          <w:p>
            <w:pPr>
              <w:jc w:val="both"/>
              <w:rPr>
                <w:rFonts w:cs="Times New Roman"/>
                <w:color w:val="000000"/>
                <w:szCs w:val="21"/>
              </w:rPr>
            </w:pPr>
            <w:r>
              <w:rPr>
                <w:rFonts w:cs="Times New Roman"/>
                <w:color w:val="000000"/>
                <w:szCs w:val="21"/>
              </w:rPr>
              <w:t>Traffic accident</w:t>
            </w:r>
            <w:r>
              <w:rPr>
                <w:rFonts w:hint="eastAsia" w:cs="Times New Roman"/>
                <w:color w:val="000000"/>
                <w:szCs w:val="21"/>
              </w:rPr>
              <w:t>s</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1.000 (0.970,1.026)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0.945 </w:t>
            </w:r>
          </w:p>
        </w:tc>
        <w:tc>
          <w:tcPr>
            <w:tcW w:w="1985"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1.000 (0.970,1.026)</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0.990 </w:t>
            </w:r>
          </w:p>
        </w:tc>
        <w:tc>
          <w:tcPr>
            <w:tcW w:w="1984"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1.001 (1.000,1.001)</w:t>
            </w:r>
          </w:p>
        </w:tc>
        <w:tc>
          <w:tcPr>
            <w:tcW w:w="993"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0.285 </w:t>
            </w:r>
          </w:p>
        </w:tc>
        <w:tc>
          <w:tcPr>
            <w:tcW w:w="2268"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163.6 (-40.2, 80.5)</w:t>
            </w:r>
          </w:p>
        </w:tc>
        <w:tc>
          <w:tcPr>
            <w:tcW w:w="992"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 xml:space="preserve">0.900 </w:t>
            </w:r>
          </w:p>
        </w:tc>
      </w:tr>
      <w:tr>
        <w:tblPrEx>
          <w:tblCellMar>
            <w:top w:w="0" w:type="dxa"/>
            <w:left w:w="108" w:type="dxa"/>
            <w:bottom w:w="0" w:type="dxa"/>
            <w:right w:w="108" w:type="dxa"/>
          </w:tblCellMar>
        </w:tblPrEx>
        <w:trPr>
          <w:trHeight w:val="288" w:hRule="atLeast"/>
        </w:trPr>
        <w:tc>
          <w:tcPr>
            <w:tcW w:w="1701" w:type="dxa"/>
            <w:tcBorders>
              <w:top w:val="nil"/>
              <w:left w:val="nil"/>
              <w:bottom w:val="single" w:color="auto" w:sz="8" w:space="0"/>
              <w:right w:val="nil"/>
            </w:tcBorders>
            <w:shd w:val="clear" w:color="auto" w:fill="auto"/>
            <w:noWrap/>
          </w:tcPr>
          <w:p>
            <w:pPr>
              <w:jc w:val="both"/>
              <w:rPr>
                <w:rFonts w:cs="Times New Roman"/>
                <w:color w:val="000000"/>
                <w:szCs w:val="21"/>
              </w:rPr>
            </w:pPr>
          </w:p>
        </w:tc>
        <w:tc>
          <w:tcPr>
            <w:tcW w:w="1984" w:type="dxa"/>
            <w:tcBorders>
              <w:top w:val="nil"/>
              <w:left w:val="nil"/>
              <w:bottom w:val="single" w:color="auto" w:sz="8" w:space="0"/>
              <w:right w:val="nil"/>
            </w:tcBorders>
            <w:shd w:val="clear" w:color="auto" w:fill="auto"/>
            <w:noWrap/>
          </w:tcPr>
          <w:p>
            <w:pPr>
              <w:jc w:val="both"/>
              <w:rPr>
                <w:rFonts w:cs="Times New Roman"/>
                <w:color w:val="000000"/>
                <w:szCs w:val="21"/>
              </w:rPr>
            </w:pPr>
            <w:r>
              <w:rPr>
                <w:rFonts w:cs="Times New Roman"/>
                <w:color w:val="000000"/>
                <w:szCs w:val="21"/>
              </w:rPr>
              <w:t>Multi-mediator</w:t>
            </w:r>
            <w:r>
              <w:rPr>
                <w:rFonts w:cs="Times New Roman"/>
                <w:color w:val="000000"/>
                <w:szCs w:val="21"/>
                <w:vertAlign w:val="superscript"/>
              </w:rPr>
              <w:t>a</w:t>
            </w:r>
          </w:p>
        </w:tc>
        <w:tc>
          <w:tcPr>
            <w:tcW w:w="1985" w:type="dxa"/>
            <w:tcBorders>
              <w:top w:val="nil"/>
              <w:left w:val="nil"/>
              <w:bottom w:val="single" w:color="auto" w:sz="8" w:space="0"/>
              <w:right w:val="nil"/>
            </w:tcBorders>
            <w:shd w:val="clear" w:color="auto" w:fill="auto"/>
            <w:noWrap/>
            <w:vAlign w:val="bottom"/>
          </w:tcPr>
          <w:p>
            <w:pPr>
              <w:jc w:val="both"/>
              <w:rPr>
                <w:rFonts w:cs="Times New Roman"/>
                <w:color w:val="000000"/>
                <w:szCs w:val="21"/>
              </w:rPr>
            </w:pPr>
            <w:r>
              <w:rPr>
                <w:rFonts w:cs="Times New Roman"/>
                <w:color w:val="000000"/>
                <w:szCs w:val="21"/>
              </w:rPr>
              <w:t>1.002 (0.971,1.031)</w:t>
            </w:r>
          </w:p>
        </w:tc>
        <w:tc>
          <w:tcPr>
            <w:tcW w:w="992" w:type="dxa"/>
            <w:tcBorders>
              <w:top w:val="nil"/>
              <w:left w:val="nil"/>
              <w:bottom w:val="single" w:color="auto" w:sz="8" w:space="0"/>
              <w:right w:val="nil"/>
            </w:tcBorders>
            <w:shd w:val="clear" w:color="auto" w:fill="auto"/>
            <w:noWrap/>
            <w:vAlign w:val="bottom"/>
          </w:tcPr>
          <w:p>
            <w:pPr>
              <w:jc w:val="both"/>
              <w:rPr>
                <w:rFonts w:cs="Times New Roman"/>
                <w:color w:val="000000"/>
                <w:szCs w:val="21"/>
              </w:rPr>
            </w:pPr>
            <w:r>
              <w:rPr>
                <w:rFonts w:cs="Times New Roman"/>
                <w:color w:val="000000"/>
                <w:szCs w:val="21"/>
              </w:rPr>
              <w:t>0.935</w:t>
            </w:r>
          </w:p>
        </w:tc>
        <w:tc>
          <w:tcPr>
            <w:tcW w:w="1985" w:type="dxa"/>
            <w:tcBorders>
              <w:top w:val="nil"/>
              <w:left w:val="nil"/>
              <w:bottom w:val="single" w:color="auto" w:sz="8" w:space="0"/>
              <w:right w:val="nil"/>
            </w:tcBorders>
            <w:shd w:val="clear" w:color="auto" w:fill="auto"/>
            <w:noWrap/>
            <w:vAlign w:val="bottom"/>
          </w:tcPr>
          <w:p>
            <w:pPr>
              <w:jc w:val="both"/>
              <w:rPr>
                <w:rFonts w:cs="Times New Roman"/>
                <w:color w:val="000000"/>
                <w:szCs w:val="21"/>
              </w:rPr>
            </w:pPr>
            <w:r>
              <w:rPr>
                <w:rFonts w:cs="Times New Roman"/>
                <w:color w:val="000000"/>
                <w:szCs w:val="21"/>
              </w:rPr>
              <w:t>1.002 (0.973,1.028)</w:t>
            </w:r>
          </w:p>
        </w:tc>
        <w:tc>
          <w:tcPr>
            <w:tcW w:w="992" w:type="dxa"/>
            <w:tcBorders>
              <w:top w:val="nil"/>
              <w:left w:val="nil"/>
              <w:bottom w:val="single" w:color="auto" w:sz="8" w:space="0"/>
              <w:right w:val="nil"/>
            </w:tcBorders>
            <w:shd w:val="clear" w:color="auto" w:fill="auto"/>
            <w:noWrap/>
            <w:vAlign w:val="bottom"/>
          </w:tcPr>
          <w:p>
            <w:pPr>
              <w:jc w:val="both"/>
              <w:rPr>
                <w:rFonts w:cs="Times New Roman"/>
                <w:color w:val="000000"/>
                <w:szCs w:val="21"/>
              </w:rPr>
            </w:pPr>
            <w:r>
              <w:rPr>
                <w:rFonts w:cs="Times New Roman"/>
                <w:color w:val="000000"/>
                <w:szCs w:val="21"/>
              </w:rPr>
              <w:t>0.835</w:t>
            </w:r>
          </w:p>
        </w:tc>
        <w:tc>
          <w:tcPr>
            <w:tcW w:w="1984" w:type="dxa"/>
            <w:tcBorders>
              <w:top w:val="nil"/>
              <w:left w:val="nil"/>
              <w:bottom w:val="single" w:color="auto" w:sz="8" w:space="0"/>
              <w:right w:val="nil"/>
            </w:tcBorders>
            <w:shd w:val="clear" w:color="auto" w:fill="auto"/>
            <w:noWrap/>
            <w:vAlign w:val="bottom"/>
          </w:tcPr>
          <w:p>
            <w:pPr>
              <w:jc w:val="both"/>
              <w:rPr>
                <w:rFonts w:cs="Times New Roman"/>
                <w:color w:val="000000"/>
                <w:szCs w:val="21"/>
              </w:rPr>
            </w:pPr>
            <w:r>
              <w:rPr>
                <w:rFonts w:cs="Times New Roman"/>
                <w:color w:val="000000"/>
                <w:szCs w:val="21"/>
              </w:rPr>
              <w:t>1.001 (0.986,1.010)</w:t>
            </w:r>
          </w:p>
        </w:tc>
        <w:tc>
          <w:tcPr>
            <w:tcW w:w="993" w:type="dxa"/>
            <w:tcBorders>
              <w:top w:val="nil"/>
              <w:left w:val="nil"/>
              <w:bottom w:val="single" w:color="auto" w:sz="8" w:space="0"/>
              <w:right w:val="nil"/>
            </w:tcBorders>
            <w:shd w:val="clear" w:color="auto" w:fill="auto"/>
            <w:noWrap/>
            <w:vAlign w:val="bottom"/>
          </w:tcPr>
          <w:p>
            <w:pPr>
              <w:jc w:val="both"/>
              <w:rPr>
                <w:rFonts w:cs="Times New Roman"/>
                <w:color w:val="000000"/>
                <w:szCs w:val="21"/>
              </w:rPr>
            </w:pPr>
            <w:r>
              <w:rPr>
                <w:rFonts w:cs="Times New Roman"/>
                <w:color w:val="000000"/>
                <w:szCs w:val="21"/>
              </w:rPr>
              <w:t>0.735</w:t>
            </w:r>
          </w:p>
        </w:tc>
        <w:tc>
          <w:tcPr>
            <w:tcW w:w="2268" w:type="dxa"/>
            <w:tcBorders>
              <w:top w:val="nil"/>
              <w:left w:val="nil"/>
              <w:bottom w:val="single" w:color="auto" w:sz="8" w:space="0"/>
              <w:right w:val="nil"/>
            </w:tcBorders>
            <w:shd w:val="clear" w:color="auto" w:fill="auto"/>
            <w:noWrap/>
            <w:vAlign w:val="bottom"/>
          </w:tcPr>
          <w:p>
            <w:pPr>
              <w:jc w:val="both"/>
              <w:rPr>
                <w:rFonts w:cs="Times New Roman"/>
                <w:color w:val="000000"/>
                <w:szCs w:val="21"/>
              </w:rPr>
            </w:pPr>
            <w:r>
              <w:rPr>
                <w:rFonts w:cs="Times New Roman"/>
                <w:color w:val="000000"/>
                <w:szCs w:val="21"/>
              </w:rPr>
              <w:t>33.1 (-456.7, 592.5)</w:t>
            </w:r>
          </w:p>
        </w:tc>
        <w:tc>
          <w:tcPr>
            <w:tcW w:w="992" w:type="dxa"/>
            <w:tcBorders>
              <w:top w:val="nil"/>
              <w:left w:val="nil"/>
              <w:bottom w:val="single" w:color="auto" w:sz="8" w:space="0"/>
              <w:right w:val="nil"/>
            </w:tcBorders>
            <w:shd w:val="clear" w:color="auto" w:fill="auto"/>
            <w:noWrap/>
            <w:vAlign w:val="bottom"/>
          </w:tcPr>
          <w:p>
            <w:pPr>
              <w:jc w:val="both"/>
              <w:rPr>
                <w:rFonts w:cs="Times New Roman"/>
                <w:color w:val="000000"/>
                <w:szCs w:val="21"/>
              </w:rPr>
            </w:pPr>
            <w:r>
              <w:rPr>
                <w:rFonts w:cs="Times New Roman"/>
                <w:color w:val="000000"/>
                <w:szCs w:val="21"/>
              </w:rPr>
              <w:t>0.76</w:t>
            </w:r>
          </w:p>
        </w:tc>
      </w:tr>
    </w:tbl>
    <w:p>
      <w:pPr>
        <w:spacing w:line="360" w:lineRule="auto"/>
        <w:rPr>
          <w:rFonts w:cs="Times New Roman"/>
          <w:color w:val="000000"/>
          <w:szCs w:val="21"/>
        </w:rPr>
      </w:pPr>
      <w:r>
        <w:rPr>
          <w:rFonts w:cs="Times New Roman"/>
          <w:color w:val="000000"/>
          <w:szCs w:val="21"/>
          <w:vertAlign w:val="superscript"/>
        </w:rPr>
        <w:t>a</w:t>
      </w:r>
      <w:r>
        <w:rPr>
          <w:rFonts w:cs="Times New Roman"/>
          <w:color w:val="000000"/>
          <w:szCs w:val="21"/>
        </w:rPr>
        <w:t xml:space="preserve"> </w:t>
      </w:r>
      <w:r>
        <w:rPr>
          <w:rFonts w:hint="eastAsia" w:cs="Times New Roman"/>
          <w:color w:val="000000"/>
          <w:szCs w:val="21"/>
        </w:rPr>
        <w:t xml:space="preserve">A multi-mediator model was </w:t>
      </w:r>
      <w:r>
        <w:rPr>
          <w:rFonts w:cs="Times New Roman"/>
          <w:color w:val="000000"/>
          <w:szCs w:val="21"/>
        </w:rPr>
        <w:t>us</w:t>
      </w:r>
      <w:r>
        <w:rPr>
          <w:rFonts w:hint="eastAsia" w:cs="Times New Roman"/>
          <w:color w:val="000000"/>
          <w:szCs w:val="21"/>
        </w:rPr>
        <w:t xml:space="preserve">ed to assess the combined contributions of stroke, neurodegenerative diseases (i.e., Alzheimer's disease, Parkinson's disease, and Huntington's disease), inflammatory encephalopathies (i.e., meningitis, encephalitis, myelitis, and encephalomyelitis), and hospitalizations attributable to falls or traffic accidents, as a group. </w:t>
      </w:r>
    </w:p>
    <w:p>
      <w:pPr>
        <w:spacing w:line="360" w:lineRule="auto"/>
        <w:rPr>
          <w:rFonts w:cs="Times New Roman"/>
          <w:bCs/>
          <w:szCs w:val="21"/>
        </w:rPr>
        <w:sectPr>
          <w:pgSz w:w="16838" w:h="11906" w:orient="landscape"/>
          <w:pgMar w:top="720" w:right="720" w:bottom="720" w:left="720" w:header="851" w:footer="992" w:gutter="0"/>
          <w:cols w:space="425" w:num="1"/>
          <w:docGrid w:type="lines" w:linePitch="326" w:charSpace="0"/>
        </w:sectPr>
      </w:pPr>
      <w:r>
        <w:rPr>
          <w:rFonts w:hint="eastAsia" w:cs="Times New Roman"/>
          <w:bCs/>
          <w:szCs w:val="21"/>
        </w:rPr>
        <w:t>Those results that reached statistical significance (i.e., p-value &lt;0.05 using the false discovery rate for adjustment of multiple testing) are marked with color, with blue denoting inverse associations and red denoting positive associations. Abbreviations: HR, hazard ratio; CI, confidence interval; PC, principal component.</w:t>
      </w:r>
    </w:p>
    <w:p>
      <w:pPr>
        <w:pStyle w:val="49"/>
        <w:spacing w:line="360" w:lineRule="auto"/>
      </w:pPr>
      <w:bookmarkStart w:id="45" w:name="_Toc196123192"/>
      <w:bookmarkStart w:id="46" w:name="_Toc196124125"/>
      <w:bookmarkStart w:id="47" w:name="_Toc196124154"/>
      <w:r>
        <w:rPr>
          <w:rFonts w:hint="eastAsia"/>
        </w:rPr>
        <w:t>S10 Table. Sensitivity analyses of the associations between body composition patterns and risk of epilepsy excluding participants who self-reported taking antiepileptic drugs and applying a 2-year lag time.</w:t>
      </w:r>
      <w:bookmarkEnd w:id="45"/>
      <w:bookmarkEnd w:id="46"/>
      <w:bookmarkEnd w:id="47"/>
    </w:p>
    <w:tbl>
      <w:tblPr>
        <w:tblStyle w:val="25"/>
        <w:tblW w:w="0" w:type="auto"/>
        <w:tblInd w:w="0" w:type="dxa"/>
        <w:tblLayout w:type="fixed"/>
        <w:tblCellMar>
          <w:top w:w="0" w:type="dxa"/>
          <w:left w:w="108" w:type="dxa"/>
          <w:bottom w:w="0" w:type="dxa"/>
          <w:right w:w="108" w:type="dxa"/>
        </w:tblCellMar>
      </w:tblPr>
      <w:tblGrid>
        <w:gridCol w:w="3472"/>
        <w:gridCol w:w="1138"/>
        <w:gridCol w:w="1911"/>
        <w:gridCol w:w="1843"/>
        <w:gridCol w:w="1842"/>
      </w:tblGrid>
      <w:tr>
        <w:tblPrEx>
          <w:tblCellMar>
            <w:top w:w="0" w:type="dxa"/>
            <w:left w:w="108" w:type="dxa"/>
            <w:bottom w:w="0" w:type="dxa"/>
            <w:right w:w="108" w:type="dxa"/>
          </w:tblCellMar>
        </w:tblPrEx>
        <w:trPr>
          <w:trHeight w:val="300" w:hRule="atLeast"/>
        </w:trPr>
        <w:tc>
          <w:tcPr>
            <w:tcW w:w="3472" w:type="dxa"/>
            <w:vMerge w:val="restart"/>
            <w:tcBorders>
              <w:top w:val="single" w:color="auto" w:sz="8" w:space="0"/>
              <w:left w:val="nil"/>
              <w:bottom w:val="single" w:color="000000" w:sz="8" w:space="0"/>
              <w:right w:val="nil"/>
            </w:tcBorders>
            <w:shd w:val="clear" w:color="auto" w:fill="auto"/>
            <w:noWrap/>
            <w:vAlign w:val="center"/>
          </w:tcPr>
          <w:p>
            <w:pPr>
              <w:jc w:val="both"/>
              <w:rPr>
                <w:rFonts w:cs="Times New Roman"/>
                <w:b/>
                <w:color w:val="000000"/>
                <w:szCs w:val="21"/>
              </w:rPr>
            </w:pPr>
            <w:r>
              <w:rPr>
                <w:rFonts w:cs="Times New Roman"/>
                <w:b/>
                <w:color w:val="000000"/>
                <w:szCs w:val="21"/>
              </w:rPr>
              <w:t>Patterns of body composition</w:t>
            </w:r>
          </w:p>
        </w:tc>
        <w:tc>
          <w:tcPr>
            <w:tcW w:w="1138" w:type="dxa"/>
            <w:vMerge w:val="restart"/>
            <w:tcBorders>
              <w:top w:val="single" w:color="auto" w:sz="8" w:space="0"/>
              <w:left w:val="nil"/>
              <w:bottom w:val="single" w:color="000000" w:sz="8" w:space="0"/>
              <w:right w:val="nil"/>
            </w:tcBorders>
            <w:shd w:val="clear" w:color="auto" w:fill="auto"/>
            <w:noWrap/>
            <w:vAlign w:val="center"/>
          </w:tcPr>
          <w:p>
            <w:pPr>
              <w:jc w:val="both"/>
              <w:rPr>
                <w:rFonts w:cs="Times New Roman"/>
                <w:b/>
                <w:color w:val="000000"/>
                <w:szCs w:val="21"/>
              </w:rPr>
            </w:pPr>
            <w:r>
              <w:rPr>
                <w:rFonts w:cs="Times New Roman"/>
                <w:b/>
                <w:color w:val="000000"/>
                <w:szCs w:val="21"/>
              </w:rPr>
              <w:t>Level</w:t>
            </w:r>
          </w:p>
        </w:tc>
        <w:tc>
          <w:tcPr>
            <w:tcW w:w="5596" w:type="dxa"/>
            <w:gridSpan w:val="3"/>
            <w:tcBorders>
              <w:top w:val="single" w:color="auto" w:sz="8" w:space="0"/>
              <w:left w:val="nil"/>
              <w:bottom w:val="single" w:color="auto" w:sz="4" w:space="0"/>
              <w:right w:val="nil"/>
            </w:tcBorders>
            <w:shd w:val="clear" w:color="auto" w:fill="auto"/>
            <w:noWrap/>
          </w:tcPr>
          <w:p>
            <w:pPr>
              <w:jc w:val="center"/>
              <w:rPr>
                <w:rFonts w:cs="Times New Roman"/>
                <w:b/>
                <w:color w:val="000000"/>
                <w:szCs w:val="21"/>
              </w:rPr>
            </w:pPr>
            <w:r>
              <w:rPr>
                <w:rFonts w:cs="Times New Roman"/>
                <w:b/>
                <w:color w:val="000000"/>
                <w:szCs w:val="21"/>
              </w:rPr>
              <w:t>HR (95% CI)</w:t>
            </w:r>
          </w:p>
        </w:tc>
      </w:tr>
      <w:tr>
        <w:tblPrEx>
          <w:tblCellMar>
            <w:top w:w="0" w:type="dxa"/>
            <w:left w:w="108" w:type="dxa"/>
            <w:bottom w:w="0" w:type="dxa"/>
            <w:right w:w="108" w:type="dxa"/>
          </w:tblCellMar>
        </w:tblPrEx>
        <w:trPr>
          <w:trHeight w:val="303" w:hRule="atLeast"/>
        </w:trPr>
        <w:tc>
          <w:tcPr>
            <w:tcW w:w="3472" w:type="dxa"/>
            <w:vMerge w:val="continue"/>
            <w:tcBorders>
              <w:top w:val="single" w:color="000000" w:sz="8" w:space="0"/>
              <w:left w:val="nil"/>
              <w:bottom w:val="single" w:color="auto" w:sz="4" w:space="0"/>
              <w:right w:val="nil"/>
            </w:tcBorders>
            <w:vAlign w:val="center"/>
          </w:tcPr>
          <w:p>
            <w:pPr>
              <w:rPr>
                <w:rFonts w:cs="Times New Roman"/>
                <w:b/>
                <w:color w:val="000000"/>
                <w:szCs w:val="21"/>
              </w:rPr>
            </w:pPr>
          </w:p>
        </w:tc>
        <w:tc>
          <w:tcPr>
            <w:tcW w:w="1138" w:type="dxa"/>
            <w:vMerge w:val="continue"/>
            <w:tcBorders>
              <w:top w:val="single" w:color="000000" w:sz="8" w:space="0"/>
              <w:left w:val="nil"/>
              <w:bottom w:val="single" w:color="auto" w:sz="4" w:space="0"/>
              <w:right w:val="nil"/>
            </w:tcBorders>
            <w:vAlign w:val="center"/>
          </w:tcPr>
          <w:p>
            <w:pPr>
              <w:rPr>
                <w:rFonts w:cs="Times New Roman"/>
                <w:b/>
                <w:color w:val="000000"/>
                <w:szCs w:val="21"/>
              </w:rPr>
            </w:pPr>
          </w:p>
        </w:tc>
        <w:tc>
          <w:tcPr>
            <w:tcW w:w="1911" w:type="dxa"/>
            <w:tcBorders>
              <w:top w:val="single" w:color="auto" w:sz="4" w:space="0"/>
              <w:left w:val="nil"/>
              <w:bottom w:val="single" w:color="auto" w:sz="4" w:space="0"/>
              <w:right w:val="nil"/>
            </w:tcBorders>
            <w:shd w:val="clear" w:color="auto" w:fill="auto"/>
            <w:noWrap/>
          </w:tcPr>
          <w:p>
            <w:pPr>
              <w:rPr>
                <w:rFonts w:cs="Times New Roman"/>
                <w:b/>
                <w:color w:val="000000"/>
                <w:szCs w:val="21"/>
              </w:rPr>
            </w:pPr>
            <w:r>
              <w:rPr>
                <w:rFonts w:cs="Times New Roman"/>
                <w:b/>
                <w:color w:val="000000"/>
                <w:szCs w:val="21"/>
              </w:rPr>
              <w:t>Both</w:t>
            </w:r>
          </w:p>
        </w:tc>
        <w:tc>
          <w:tcPr>
            <w:tcW w:w="1843" w:type="dxa"/>
            <w:tcBorders>
              <w:top w:val="single" w:color="auto" w:sz="4" w:space="0"/>
              <w:left w:val="nil"/>
              <w:bottom w:val="single" w:color="auto" w:sz="4" w:space="0"/>
              <w:right w:val="nil"/>
            </w:tcBorders>
            <w:shd w:val="clear" w:color="auto" w:fill="auto"/>
            <w:noWrap/>
          </w:tcPr>
          <w:p>
            <w:pPr>
              <w:rPr>
                <w:rFonts w:cs="Times New Roman"/>
                <w:b/>
                <w:color w:val="000000"/>
                <w:szCs w:val="21"/>
              </w:rPr>
            </w:pPr>
            <w:r>
              <w:rPr>
                <w:rFonts w:cs="Times New Roman"/>
                <w:b/>
                <w:color w:val="000000"/>
                <w:szCs w:val="21"/>
              </w:rPr>
              <w:t>Male</w:t>
            </w:r>
          </w:p>
        </w:tc>
        <w:tc>
          <w:tcPr>
            <w:tcW w:w="1842" w:type="dxa"/>
            <w:tcBorders>
              <w:top w:val="single" w:color="auto" w:sz="4" w:space="0"/>
              <w:left w:val="nil"/>
              <w:bottom w:val="single" w:color="auto" w:sz="4" w:space="0"/>
              <w:right w:val="nil"/>
            </w:tcBorders>
            <w:shd w:val="clear" w:color="auto" w:fill="auto"/>
            <w:noWrap/>
          </w:tcPr>
          <w:p>
            <w:pPr>
              <w:rPr>
                <w:rFonts w:cs="Times New Roman"/>
                <w:b/>
                <w:color w:val="000000"/>
                <w:szCs w:val="21"/>
              </w:rPr>
            </w:pPr>
            <w:r>
              <w:rPr>
                <w:rFonts w:cs="Times New Roman"/>
                <w:b/>
                <w:color w:val="000000"/>
                <w:szCs w:val="21"/>
              </w:rPr>
              <w:t>Female</w:t>
            </w:r>
          </w:p>
        </w:tc>
      </w:tr>
      <w:tr>
        <w:tblPrEx>
          <w:tblCellMar>
            <w:top w:w="0" w:type="dxa"/>
            <w:left w:w="108" w:type="dxa"/>
            <w:bottom w:w="0" w:type="dxa"/>
            <w:right w:w="108" w:type="dxa"/>
          </w:tblCellMar>
        </w:tblPrEx>
        <w:trPr>
          <w:trHeight w:val="288" w:hRule="atLeast"/>
        </w:trPr>
        <w:tc>
          <w:tcPr>
            <w:tcW w:w="3472" w:type="dxa"/>
            <w:tcBorders>
              <w:top w:val="single" w:color="auto" w:sz="4" w:space="0"/>
              <w:left w:val="nil"/>
              <w:bottom w:val="nil"/>
              <w:right w:val="nil"/>
            </w:tcBorders>
            <w:shd w:val="clear" w:color="auto" w:fill="auto"/>
            <w:noWrap/>
          </w:tcPr>
          <w:p>
            <w:pPr>
              <w:rPr>
                <w:rFonts w:cs="Times New Roman"/>
                <w:b/>
                <w:color w:val="000000"/>
                <w:szCs w:val="21"/>
              </w:rPr>
            </w:pPr>
            <w:r>
              <w:rPr>
                <w:rFonts w:cs="Times New Roman"/>
                <w:b/>
                <w:color w:val="000000"/>
                <w:szCs w:val="21"/>
              </w:rPr>
              <w:t>PC1_Fat-to-lean mass</w:t>
            </w:r>
          </w:p>
        </w:tc>
        <w:tc>
          <w:tcPr>
            <w:tcW w:w="1138" w:type="dxa"/>
            <w:tcBorders>
              <w:top w:val="single" w:color="auto" w:sz="4" w:space="0"/>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0.94 (0.86, 1.04)</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0.91 (0.80, 1.04)</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0.98 (0.85, 1.14)</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0.99 (0.90, 1.09)</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1.02 (0.90, 1.17)</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0.96 (0.83, 1.11)</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1.01 (1.00, 1.02)</w:t>
            </w:r>
          </w:p>
        </w:tc>
        <w:tc>
          <w:tcPr>
            <w:tcW w:w="1843"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1.02 (1.00, 1.03)</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(0.98, 1.02)</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PC2_Lean mass</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(0.91, 1.10)</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0.98 (0.86, 1.11)</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1.04 (0.90, 1.19)</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0.94 (0.85, 1.04)</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0.90 (0.78, 1.03)</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(0.87, 1.16)</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0.98 (0.96, 0.99)</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0.97 (0.94, 0.99)</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0.99 (0.96, 1.02)</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PC3_Central obesity</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0.98 (0.88, 1.08)</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0.86 (0.75, 0.99)</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1.12 (0.97, 1.30)</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1.06 (0.96, 1.17)</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0.96 (0.84, 1.10)</w:t>
            </w:r>
          </w:p>
        </w:tc>
        <w:tc>
          <w:tcPr>
            <w:tcW w:w="1842"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1.18 (1.02, 1.36)</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1.02 (0.99, 1.04)</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0.99 (0.95, 1.03)</w:t>
            </w:r>
          </w:p>
        </w:tc>
        <w:tc>
          <w:tcPr>
            <w:tcW w:w="1842"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1.04 (1.00, 1.08)</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PC4_Muscle strength</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0.79 (0.72, 0.86)</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0.75 (0.66, 0.85)</w:t>
            </w:r>
          </w:p>
        </w:tc>
        <w:tc>
          <w:tcPr>
            <w:tcW w:w="1842"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0.83 (0.73, 0.95)</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0.75 (0.67, 0.83)</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0.75 (0.65, 0.86)</w:t>
            </w:r>
          </w:p>
        </w:tc>
        <w:tc>
          <w:tcPr>
            <w:tcW w:w="1842"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0.74 (0.63, 0.86)</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0.91 (0.89, 0.93)</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0.89 (0.86, 0.93)</w:t>
            </w:r>
          </w:p>
        </w:tc>
        <w:tc>
          <w:tcPr>
            <w:tcW w:w="1842"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0.93 (0.89, 0.96)</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PC5_Bone density</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0.85 (0.78, 0.94)</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0.80 (0.71, 0.91)</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0.91 (0.79, 1.04)</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0.87 (0.79, 0.96)</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0.84 (0.74, 0.96)</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0.90 (0.78, 1.04)</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0.96 (0.93, 0.99)</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0.96 (0.92, 1.00)</w:t>
            </w:r>
          </w:p>
        </w:tc>
        <w:tc>
          <w:tcPr>
            <w:tcW w:w="1842"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0.95 (0.91, 1.00)</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PC6_Arm-dominant fat distribution</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1.13 (1.03, 1.25)</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1.09 (0.96, 1.24)</w:t>
            </w:r>
          </w:p>
        </w:tc>
        <w:tc>
          <w:tcPr>
            <w:tcW w:w="1842"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1.19 (1.03, 1.38)</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1.39 (1.26, 1.53)</w:t>
            </w:r>
          </w:p>
        </w:tc>
        <w:tc>
          <w:tcPr>
            <w:tcW w:w="1843"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1.38 (1.21, 1.58)</w:t>
            </w:r>
          </w:p>
        </w:tc>
        <w:tc>
          <w:tcPr>
            <w:tcW w:w="1842"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1.42 (1.23, 1.64)</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1.13 (1.09, 1.16)</w:t>
            </w:r>
          </w:p>
        </w:tc>
        <w:tc>
          <w:tcPr>
            <w:tcW w:w="1843"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1.13 (1.09, 1.18)</w:t>
            </w:r>
          </w:p>
        </w:tc>
        <w:tc>
          <w:tcPr>
            <w:tcW w:w="1842"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1.13 (1.08, 1.19)</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PC7_Leg-dominant fat distribution</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0.90 (0.81, 0.99)</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0.87 (0.76, 0.99)</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0.94 (0.82, 1.09)</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1.03 (0.94, 1.13)</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1.10 (0.97, 1.25)</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0.98 (0.85, 1.13)</w:t>
            </w:r>
          </w:p>
        </w:tc>
      </w:tr>
      <w:tr>
        <w:tblPrEx>
          <w:tblCellMar>
            <w:top w:w="0" w:type="dxa"/>
            <w:left w:w="108" w:type="dxa"/>
            <w:bottom w:w="0" w:type="dxa"/>
            <w:right w:w="108" w:type="dxa"/>
          </w:tblCellMar>
        </w:tblPrEx>
        <w:trPr>
          <w:trHeight w:val="288" w:hRule="atLeast"/>
        </w:trPr>
        <w:tc>
          <w:tcPr>
            <w:tcW w:w="3472" w:type="dxa"/>
            <w:tcBorders>
              <w:top w:val="nil"/>
              <w:left w:val="nil"/>
              <w:bottom w:val="single" w:color="auto" w:sz="8" w:space="0"/>
              <w:right w:val="nil"/>
            </w:tcBorders>
            <w:shd w:val="clear" w:color="auto" w:fill="auto"/>
            <w:noWrap/>
          </w:tcPr>
          <w:p>
            <w:pPr>
              <w:rPr>
                <w:rFonts w:cs="Times New Roman"/>
                <w:color w:val="000000"/>
                <w:szCs w:val="21"/>
              </w:rPr>
            </w:pPr>
          </w:p>
        </w:tc>
        <w:tc>
          <w:tcPr>
            <w:tcW w:w="1138" w:type="dxa"/>
            <w:tcBorders>
              <w:top w:val="nil"/>
              <w:left w:val="nil"/>
              <w:bottom w:val="single" w:color="auto" w:sz="8" w:space="0"/>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single" w:color="auto" w:sz="8" w:space="0"/>
              <w:right w:val="nil"/>
            </w:tcBorders>
            <w:shd w:val="clear" w:color="auto" w:fill="auto"/>
            <w:noWrap/>
            <w:vAlign w:val="bottom"/>
          </w:tcPr>
          <w:p>
            <w:pPr>
              <w:rPr>
                <w:rFonts w:cs="Times New Roman"/>
                <w:color w:val="000000"/>
                <w:szCs w:val="21"/>
              </w:rPr>
            </w:pPr>
            <w:r>
              <w:rPr>
                <w:rFonts w:cs="Times New Roman"/>
                <w:color w:val="000000"/>
                <w:szCs w:val="21"/>
              </w:rPr>
              <w:t>1.00 (0.98, 1.03)</w:t>
            </w:r>
          </w:p>
        </w:tc>
        <w:tc>
          <w:tcPr>
            <w:tcW w:w="1843" w:type="dxa"/>
            <w:tcBorders>
              <w:top w:val="nil"/>
              <w:left w:val="nil"/>
              <w:bottom w:val="single" w:color="auto" w:sz="8" w:space="0"/>
              <w:right w:val="nil"/>
            </w:tcBorders>
            <w:shd w:val="clear" w:color="auto" w:fill="auto"/>
            <w:noWrap/>
            <w:vAlign w:val="bottom"/>
          </w:tcPr>
          <w:p>
            <w:pPr>
              <w:rPr>
                <w:rFonts w:cs="Times New Roman"/>
                <w:color w:val="000000"/>
                <w:szCs w:val="21"/>
              </w:rPr>
            </w:pPr>
            <w:r>
              <w:rPr>
                <w:rFonts w:cs="Times New Roman"/>
                <w:color w:val="000000"/>
                <w:szCs w:val="21"/>
              </w:rPr>
              <w:t>1.00 (0.96, 1.04)</w:t>
            </w:r>
          </w:p>
        </w:tc>
        <w:tc>
          <w:tcPr>
            <w:tcW w:w="1842" w:type="dxa"/>
            <w:tcBorders>
              <w:top w:val="nil"/>
              <w:left w:val="nil"/>
              <w:bottom w:val="single" w:color="auto" w:sz="8" w:space="0"/>
              <w:right w:val="nil"/>
            </w:tcBorders>
            <w:shd w:val="clear" w:color="auto" w:fill="auto"/>
            <w:noWrap/>
            <w:vAlign w:val="bottom"/>
          </w:tcPr>
          <w:p>
            <w:pPr>
              <w:rPr>
                <w:rFonts w:cs="Times New Roman"/>
                <w:color w:val="000000"/>
                <w:szCs w:val="21"/>
              </w:rPr>
            </w:pPr>
            <w:r>
              <w:rPr>
                <w:rFonts w:cs="Times New Roman"/>
                <w:color w:val="000000"/>
                <w:szCs w:val="21"/>
              </w:rPr>
              <w:t>1.01 (0.97, 1.06)</w:t>
            </w:r>
          </w:p>
        </w:tc>
      </w:tr>
    </w:tbl>
    <w:p>
      <w:pPr>
        <w:rPr>
          <w:rFonts w:cs="Times New Roman"/>
          <w:b/>
          <w:szCs w:val="21"/>
        </w:rPr>
      </w:pPr>
      <w:r>
        <w:rPr>
          <w:rFonts w:hint="eastAsia" w:cs="Times New Roman"/>
          <w:bCs/>
          <w:szCs w:val="21"/>
        </w:rPr>
        <w:t>Those results that reached statistical significance (i.e., p-value &lt;0.05 using the false discovery rate for adjustment of multiple testing) are marked with color, with blue denoting inverse associations and red denoting positive associations. HRs and 95% CIs were derived from Cox proportional hazards models with attained age as the timescale after adjusting for sex, ethnicity, age at recruitment, Townsend deprivation index, smoking status, average weekly alcohol intake, physical activity, and comorbidities. Abbreviations: HR, hazard ratio; CI, confidence interval; PC, principal component.</w:t>
      </w:r>
    </w:p>
    <w:p>
      <w:pPr>
        <w:pStyle w:val="49"/>
        <w:spacing w:line="360" w:lineRule="auto"/>
      </w:pPr>
      <w:r>
        <w:br w:type="page"/>
      </w:r>
      <w:bookmarkStart w:id="48" w:name="_Toc196124155"/>
      <w:bookmarkStart w:id="49" w:name="_Toc196123193"/>
      <w:bookmarkStart w:id="50" w:name="_Toc196124126"/>
      <w:r>
        <w:rPr>
          <w:rFonts w:hint="eastAsia"/>
        </w:rPr>
        <w:t>S11 Table. Sensitivity analyses of the associations between body composition patterns and risk of epilepsy among the white only.</w:t>
      </w:r>
      <w:bookmarkEnd w:id="48"/>
      <w:bookmarkEnd w:id="49"/>
      <w:bookmarkEnd w:id="50"/>
    </w:p>
    <w:tbl>
      <w:tblPr>
        <w:tblStyle w:val="25"/>
        <w:tblW w:w="0" w:type="auto"/>
        <w:tblInd w:w="0" w:type="dxa"/>
        <w:tblLayout w:type="fixed"/>
        <w:tblCellMar>
          <w:top w:w="0" w:type="dxa"/>
          <w:left w:w="108" w:type="dxa"/>
          <w:bottom w:w="0" w:type="dxa"/>
          <w:right w:w="108" w:type="dxa"/>
        </w:tblCellMar>
      </w:tblPr>
      <w:tblGrid>
        <w:gridCol w:w="3472"/>
        <w:gridCol w:w="1138"/>
        <w:gridCol w:w="1911"/>
        <w:gridCol w:w="1843"/>
        <w:gridCol w:w="1842"/>
      </w:tblGrid>
      <w:tr>
        <w:tblPrEx>
          <w:tblCellMar>
            <w:top w:w="0" w:type="dxa"/>
            <w:left w:w="108" w:type="dxa"/>
            <w:bottom w:w="0" w:type="dxa"/>
            <w:right w:w="108" w:type="dxa"/>
          </w:tblCellMar>
        </w:tblPrEx>
        <w:trPr>
          <w:trHeight w:val="300" w:hRule="atLeast"/>
        </w:trPr>
        <w:tc>
          <w:tcPr>
            <w:tcW w:w="3472" w:type="dxa"/>
            <w:vMerge w:val="restart"/>
            <w:tcBorders>
              <w:top w:val="single" w:color="auto" w:sz="8" w:space="0"/>
              <w:left w:val="nil"/>
              <w:bottom w:val="single" w:color="000000" w:sz="8" w:space="0"/>
              <w:right w:val="nil"/>
            </w:tcBorders>
            <w:shd w:val="clear" w:color="auto" w:fill="auto"/>
            <w:noWrap/>
            <w:vAlign w:val="center"/>
          </w:tcPr>
          <w:p>
            <w:pPr>
              <w:jc w:val="both"/>
              <w:rPr>
                <w:rFonts w:cs="Times New Roman"/>
                <w:b/>
                <w:bCs/>
                <w:color w:val="000000"/>
                <w:szCs w:val="21"/>
              </w:rPr>
            </w:pPr>
            <w:r>
              <w:rPr>
                <w:rFonts w:cs="Times New Roman"/>
                <w:b/>
                <w:bCs/>
                <w:color w:val="000000"/>
                <w:szCs w:val="21"/>
              </w:rPr>
              <w:t>Patterns of body composition</w:t>
            </w:r>
          </w:p>
        </w:tc>
        <w:tc>
          <w:tcPr>
            <w:tcW w:w="1138" w:type="dxa"/>
            <w:vMerge w:val="restart"/>
            <w:tcBorders>
              <w:top w:val="single" w:color="auto" w:sz="8" w:space="0"/>
              <w:left w:val="nil"/>
              <w:bottom w:val="single" w:color="000000" w:sz="8" w:space="0"/>
              <w:right w:val="nil"/>
            </w:tcBorders>
            <w:shd w:val="clear" w:color="auto" w:fill="auto"/>
            <w:noWrap/>
            <w:vAlign w:val="center"/>
          </w:tcPr>
          <w:p>
            <w:pPr>
              <w:jc w:val="both"/>
              <w:rPr>
                <w:rFonts w:cs="Times New Roman"/>
                <w:b/>
                <w:bCs/>
                <w:color w:val="000000"/>
                <w:szCs w:val="21"/>
              </w:rPr>
            </w:pPr>
            <w:r>
              <w:rPr>
                <w:rFonts w:cs="Times New Roman"/>
                <w:b/>
                <w:bCs/>
                <w:color w:val="000000"/>
                <w:szCs w:val="21"/>
              </w:rPr>
              <w:t>Level</w:t>
            </w:r>
          </w:p>
        </w:tc>
        <w:tc>
          <w:tcPr>
            <w:tcW w:w="5596" w:type="dxa"/>
            <w:gridSpan w:val="3"/>
            <w:tcBorders>
              <w:top w:val="single" w:color="auto" w:sz="8" w:space="0"/>
              <w:left w:val="nil"/>
              <w:bottom w:val="single" w:color="auto" w:sz="4" w:space="0"/>
              <w:right w:val="nil"/>
            </w:tcBorders>
            <w:shd w:val="clear" w:color="auto" w:fill="auto"/>
            <w:noWrap/>
          </w:tcPr>
          <w:p>
            <w:pPr>
              <w:jc w:val="center"/>
              <w:rPr>
                <w:rFonts w:cs="Times New Roman"/>
                <w:b/>
                <w:bCs/>
                <w:color w:val="000000"/>
                <w:szCs w:val="21"/>
              </w:rPr>
            </w:pPr>
            <w:r>
              <w:rPr>
                <w:rFonts w:cs="Times New Roman"/>
                <w:b/>
                <w:bCs/>
                <w:color w:val="000000"/>
                <w:szCs w:val="21"/>
              </w:rPr>
              <w:t>HR (95% CI)</w:t>
            </w:r>
          </w:p>
        </w:tc>
      </w:tr>
      <w:tr>
        <w:tblPrEx>
          <w:tblCellMar>
            <w:top w:w="0" w:type="dxa"/>
            <w:left w:w="108" w:type="dxa"/>
            <w:bottom w:w="0" w:type="dxa"/>
            <w:right w:w="108" w:type="dxa"/>
          </w:tblCellMar>
        </w:tblPrEx>
        <w:trPr>
          <w:trHeight w:val="303" w:hRule="atLeast"/>
        </w:trPr>
        <w:tc>
          <w:tcPr>
            <w:tcW w:w="3472" w:type="dxa"/>
            <w:vMerge w:val="continue"/>
            <w:tcBorders>
              <w:top w:val="single" w:color="000000" w:sz="8" w:space="0"/>
              <w:left w:val="nil"/>
              <w:bottom w:val="single" w:color="auto" w:sz="4" w:space="0"/>
              <w:right w:val="nil"/>
            </w:tcBorders>
            <w:shd w:val="clear" w:color="auto" w:fill="auto"/>
            <w:vAlign w:val="center"/>
          </w:tcPr>
          <w:p>
            <w:pPr>
              <w:rPr>
                <w:rFonts w:cs="Times New Roman"/>
                <w:b/>
                <w:bCs/>
                <w:color w:val="000000"/>
                <w:szCs w:val="21"/>
              </w:rPr>
            </w:pPr>
          </w:p>
        </w:tc>
        <w:tc>
          <w:tcPr>
            <w:tcW w:w="1138" w:type="dxa"/>
            <w:vMerge w:val="continue"/>
            <w:tcBorders>
              <w:top w:val="single" w:color="000000" w:sz="8" w:space="0"/>
              <w:left w:val="nil"/>
              <w:bottom w:val="single" w:color="auto" w:sz="4" w:space="0"/>
              <w:right w:val="nil"/>
            </w:tcBorders>
            <w:shd w:val="clear" w:color="auto" w:fill="auto"/>
            <w:vAlign w:val="center"/>
          </w:tcPr>
          <w:p>
            <w:pPr>
              <w:rPr>
                <w:rFonts w:cs="Times New Roman"/>
                <w:b/>
                <w:bCs/>
                <w:color w:val="000000"/>
                <w:szCs w:val="21"/>
              </w:rPr>
            </w:pPr>
          </w:p>
        </w:tc>
        <w:tc>
          <w:tcPr>
            <w:tcW w:w="1911" w:type="dxa"/>
            <w:tcBorders>
              <w:top w:val="single" w:color="auto" w:sz="4" w:space="0"/>
              <w:left w:val="nil"/>
              <w:bottom w:val="single" w:color="auto" w:sz="4" w:space="0"/>
              <w:right w:val="nil"/>
            </w:tcBorders>
            <w:shd w:val="clear" w:color="auto" w:fill="auto"/>
            <w:noWrap/>
          </w:tcPr>
          <w:p>
            <w:pPr>
              <w:rPr>
                <w:rFonts w:cs="Times New Roman"/>
                <w:b/>
                <w:bCs/>
                <w:color w:val="000000"/>
                <w:szCs w:val="21"/>
              </w:rPr>
            </w:pPr>
            <w:r>
              <w:rPr>
                <w:rFonts w:cs="Times New Roman"/>
                <w:b/>
                <w:bCs/>
                <w:color w:val="000000"/>
                <w:szCs w:val="21"/>
              </w:rPr>
              <w:t>Both</w:t>
            </w:r>
          </w:p>
        </w:tc>
        <w:tc>
          <w:tcPr>
            <w:tcW w:w="1843" w:type="dxa"/>
            <w:tcBorders>
              <w:top w:val="single" w:color="auto" w:sz="4" w:space="0"/>
              <w:left w:val="nil"/>
              <w:bottom w:val="single" w:color="auto" w:sz="4" w:space="0"/>
              <w:right w:val="nil"/>
            </w:tcBorders>
            <w:shd w:val="clear" w:color="auto" w:fill="auto"/>
            <w:noWrap/>
          </w:tcPr>
          <w:p>
            <w:pPr>
              <w:rPr>
                <w:rFonts w:cs="Times New Roman"/>
                <w:b/>
                <w:bCs/>
                <w:color w:val="000000"/>
                <w:szCs w:val="21"/>
              </w:rPr>
            </w:pPr>
            <w:r>
              <w:rPr>
                <w:rFonts w:cs="Times New Roman"/>
                <w:b/>
                <w:bCs/>
                <w:color w:val="000000"/>
                <w:szCs w:val="21"/>
              </w:rPr>
              <w:t>Male</w:t>
            </w:r>
          </w:p>
        </w:tc>
        <w:tc>
          <w:tcPr>
            <w:tcW w:w="1842" w:type="dxa"/>
            <w:tcBorders>
              <w:top w:val="single" w:color="auto" w:sz="4" w:space="0"/>
              <w:left w:val="nil"/>
              <w:bottom w:val="single" w:color="auto" w:sz="4" w:space="0"/>
              <w:right w:val="nil"/>
            </w:tcBorders>
            <w:shd w:val="clear" w:color="auto" w:fill="auto"/>
            <w:noWrap/>
          </w:tcPr>
          <w:p>
            <w:pPr>
              <w:rPr>
                <w:rFonts w:cs="Times New Roman"/>
                <w:b/>
                <w:bCs/>
                <w:color w:val="000000"/>
                <w:szCs w:val="21"/>
              </w:rPr>
            </w:pPr>
            <w:r>
              <w:rPr>
                <w:rFonts w:cs="Times New Roman"/>
                <w:b/>
                <w:bCs/>
                <w:color w:val="000000"/>
                <w:szCs w:val="21"/>
              </w:rPr>
              <w:t>Female</w:t>
            </w:r>
          </w:p>
        </w:tc>
      </w:tr>
      <w:tr>
        <w:tblPrEx>
          <w:tblCellMar>
            <w:top w:w="0" w:type="dxa"/>
            <w:left w:w="108" w:type="dxa"/>
            <w:bottom w:w="0" w:type="dxa"/>
            <w:right w:w="108" w:type="dxa"/>
          </w:tblCellMar>
        </w:tblPrEx>
        <w:trPr>
          <w:trHeight w:val="288" w:hRule="atLeast"/>
        </w:trPr>
        <w:tc>
          <w:tcPr>
            <w:tcW w:w="3472" w:type="dxa"/>
            <w:tcBorders>
              <w:top w:val="single" w:color="auto" w:sz="4" w:space="0"/>
              <w:left w:val="nil"/>
              <w:bottom w:val="nil"/>
              <w:right w:val="nil"/>
            </w:tcBorders>
            <w:shd w:val="clear" w:color="auto" w:fill="auto"/>
            <w:noWrap/>
          </w:tcPr>
          <w:p>
            <w:pPr>
              <w:rPr>
                <w:rFonts w:cs="Times New Roman"/>
                <w:b/>
                <w:bCs/>
                <w:color w:val="000000"/>
                <w:szCs w:val="21"/>
              </w:rPr>
            </w:pPr>
            <w:r>
              <w:rPr>
                <w:rFonts w:cs="Times New Roman"/>
                <w:b/>
                <w:bCs/>
                <w:color w:val="000000"/>
                <w:szCs w:val="21"/>
              </w:rPr>
              <w:t>PC1_Fat-to-lean mass</w:t>
            </w:r>
          </w:p>
        </w:tc>
        <w:tc>
          <w:tcPr>
            <w:tcW w:w="1138" w:type="dxa"/>
            <w:tcBorders>
              <w:top w:val="single" w:color="auto" w:sz="4" w:space="0"/>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0.95 (0.87, 1.04)</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0.93 (0.82, 1.06)</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0.97 (0.85, 1.11)</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(0.91, 1.10)</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1.01 (0.89, 1.15)</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0.99 (0.86, 1.13)</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1.01 (1.00, 1.02)</w:t>
            </w:r>
          </w:p>
        </w:tc>
        <w:tc>
          <w:tcPr>
            <w:tcW w:w="1843"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1.01 (1.00, 1.03)</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1.01 (0.99, 1.03)</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bCs/>
                <w:color w:val="000000"/>
                <w:szCs w:val="21"/>
              </w:rPr>
            </w:pPr>
            <w:r>
              <w:rPr>
                <w:rFonts w:cs="Times New Roman"/>
                <w:b/>
                <w:bCs/>
                <w:color w:val="000000"/>
                <w:szCs w:val="21"/>
              </w:rPr>
              <w:t>PC2_Lean mass</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0.98 (0.90, 1.07)</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0.92 (0.82, 1.04)</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1.05 (0.93, 1.20)</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0.92 (0.84, 1.01)</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0.87 (0.76, 0.99)</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0.99 (0.87, 1.14)</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0.97 (0.96, 0.99)</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0.96 (0.94, 0.99)</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0.99 (0.96, 1.02)</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bCs/>
                <w:color w:val="000000"/>
                <w:szCs w:val="21"/>
              </w:rPr>
            </w:pPr>
            <w:r>
              <w:rPr>
                <w:rFonts w:cs="Times New Roman"/>
                <w:b/>
                <w:bCs/>
                <w:color w:val="000000"/>
                <w:szCs w:val="21"/>
              </w:rPr>
              <w:t>PC3_Central obesity</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0.98 (0.89, 1.08)</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0.87 (0.76, 0.99)</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1.12 (0.97, 1.28)</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1.13 (1.03, 1.24)</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1.01 (0.89, 1.15)</w:t>
            </w:r>
          </w:p>
        </w:tc>
        <w:tc>
          <w:tcPr>
            <w:tcW w:w="1842"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1.26 (1.10, 1.44)</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1.04 (1.02, 1.07)</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1.01 (0.97, 1.05)</w:t>
            </w:r>
          </w:p>
        </w:tc>
        <w:tc>
          <w:tcPr>
            <w:tcW w:w="1842"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1.07 (1.03, 1.10)</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bCs/>
                <w:color w:val="000000"/>
                <w:szCs w:val="21"/>
              </w:rPr>
            </w:pPr>
            <w:r>
              <w:rPr>
                <w:rFonts w:cs="Times New Roman"/>
                <w:b/>
                <w:bCs/>
                <w:color w:val="000000"/>
                <w:szCs w:val="21"/>
              </w:rPr>
              <w:t>PC4_Muscle strength</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0.76 (0.70, 0.83)</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0.85 (0.75, 0.96)</w:t>
            </w:r>
          </w:p>
        </w:tc>
        <w:tc>
          <w:tcPr>
            <w:tcW w:w="1842"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0.78 (0.69, 0.89)</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0.68 (0.62, 0.75)</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1.03 (0.91, 1.16)</w:t>
            </w:r>
          </w:p>
        </w:tc>
        <w:tc>
          <w:tcPr>
            <w:tcW w:w="1842"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0.64 (0.55, 0.74)</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0.89 (0.87, 0.91)</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0.89 (0.86, 0.92)</w:t>
            </w:r>
          </w:p>
        </w:tc>
        <w:tc>
          <w:tcPr>
            <w:tcW w:w="1842"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0.90 (0.87, 0.93)</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bCs/>
                <w:color w:val="000000"/>
                <w:szCs w:val="21"/>
              </w:rPr>
            </w:pPr>
            <w:r>
              <w:rPr>
                <w:rFonts w:cs="Times New Roman"/>
                <w:b/>
                <w:bCs/>
                <w:color w:val="000000"/>
                <w:szCs w:val="21"/>
              </w:rPr>
              <w:t>PC5_Bone density</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0.87 (0.80, 0.95)</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0.81 (0.72, 0.92)</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0.93 (0.82, 1.05)</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0.86 (0.79, 0.94)</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0.84 (0.75, 0.96)</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0.87 (0.76, 1.00)</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0.96 (0.93, 0.99)</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0.96 (0.92, 1.00)</w:t>
            </w:r>
          </w:p>
        </w:tc>
        <w:tc>
          <w:tcPr>
            <w:tcW w:w="1842"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0.95 (0.91, 1.00)</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bCs/>
                <w:color w:val="000000"/>
                <w:szCs w:val="21"/>
              </w:rPr>
            </w:pPr>
            <w:r>
              <w:rPr>
                <w:rFonts w:cs="Times New Roman"/>
                <w:b/>
                <w:bCs/>
                <w:color w:val="000000"/>
                <w:szCs w:val="21"/>
              </w:rPr>
              <w:t>PC6_Arm-dominant fat distribution</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1.08 (0.99, 1.18)</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1.04 (0.91, 1.18)</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1.14 (1.00, 1.30)</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1.37 (1.25, 1.50)</w:t>
            </w:r>
          </w:p>
        </w:tc>
        <w:tc>
          <w:tcPr>
            <w:tcW w:w="1843"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1.35 (1.19, 1.54)</w:t>
            </w:r>
          </w:p>
        </w:tc>
        <w:tc>
          <w:tcPr>
            <w:tcW w:w="1842"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1.40 (1.22, 1.60)</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1.13 (1.10, 1.16)</w:t>
            </w:r>
          </w:p>
        </w:tc>
        <w:tc>
          <w:tcPr>
            <w:tcW w:w="1843"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1.12 (1.08, 1.17)</w:t>
            </w:r>
          </w:p>
        </w:tc>
        <w:tc>
          <w:tcPr>
            <w:tcW w:w="1842"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1.14 (1.09, 1.20)</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bCs/>
                <w:color w:val="000000"/>
                <w:szCs w:val="21"/>
              </w:rPr>
            </w:pPr>
            <w:r>
              <w:rPr>
                <w:rFonts w:cs="Times New Roman"/>
                <w:b/>
                <w:bCs/>
                <w:color w:val="000000"/>
                <w:szCs w:val="21"/>
              </w:rPr>
              <w:t>PC7_Leg-dominant fat distribution</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0.91 (0.83, 1.00)</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0.85 (0.75, 0.96)</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0.99 (0.87, 1.13)</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1.02 (0.93, 1.12)</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1.03 (0.91, 1.16)</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1.03 (0.90, 1.18)</w:t>
            </w:r>
          </w:p>
        </w:tc>
      </w:tr>
      <w:tr>
        <w:tblPrEx>
          <w:tblCellMar>
            <w:top w:w="0" w:type="dxa"/>
            <w:left w:w="108" w:type="dxa"/>
            <w:bottom w:w="0" w:type="dxa"/>
            <w:right w:w="108" w:type="dxa"/>
          </w:tblCellMar>
        </w:tblPrEx>
        <w:trPr>
          <w:trHeight w:val="288" w:hRule="atLeast"/>
        </w:trPr>
        <w:tc>
          <w:tcPr>
            <w:tcW w:w="3472" w:type="dxa"/>
            <w:tcBorders>
              <w:top w:val="nil"/>
              <w:left w:val="nil"/>
              <w:bottom w:val="single" w:color="auto" w:sz="8" w:space="0"/>
              <w:right w:val="nil"/>
            </w:tcBorders>
            <w:shd w:val="clear" w:color="auto" w:fill="auto"/>
            <w:noWrap/>
          </w:tcPr>
          <w:p>
            <w:pPr>
              <w:rPr>
                <w:rFonts w:cs="Times New Roman"/>
                <w:color w:val="000000"/>
                <w:szCs w:val="21"/>
              </w:rPr>
            </w:pPr>
          </w:p>
        </w:tc>
        <w:tc>
          <w:tcPr>
            <w:tcW w:w="1138" w:type="dxa"/>
            <w:tcBorders>
              <w:top w:val="nil"/>
              <w:left w:val="nil"/>
              <w:bottom w:val="single" w:color="auto" w:sz="8" w:space="0"/>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single" w:color="auto" w:sz="8" w:space="0"/>
              <w:right w:val="nil"/>
            </w:tcBorders>
            <w:shd w:val="clear" w:color="auto" w:fill="auto"/>
            <w:noWrap/>
            <w:vAlign w:val="bottom"/>
          </w:tcPr>
          <w:p>
            <w:pPr>
              <w:rPr>
                <w:rFonts w:cs="Times New Roman"/>
                <w:color w:val="000000"/>
                <w:szCs w:val="21"/>
              </w:rPr>
            </w:pPr>
            <w:r>
              <w:rPr>
                <w:rFonts w:cs="Times New Roman"/>
                <w:color w:val="000000"/>
                <w:szCs w:val="21"/>
              </w:rPr>
              <w:t>1.01 (0.98, 1.03)</w:t>
            </w:r>
          </w:p>
        </w:tc>
        <w:tc>
          <w:tcPr>
            <w:tcW w:w="1843" w:type="dxa"/>
            <w:tcBorders>
              <w:top w:val="nil"/>
              <w:left w:val="nil"/>
              <w:bottom w:val="single" w:color="auto" w:sz="8" w:space="0"/>
              <w:right w:val="nil"/>
            </w:tcBorders>
            <w:shd w:val="clear" w:color="auto" w:fill="auto"/>
            <w:noWrap/>
            <w:vAlign w:val="bottom"/>
          </w:tcPr>
          <w:p>
            <w:pPr>
              <w:rPr>
                <w:rFonts w:cs="Times New Roman"/>
                <w:color w:val="000000"/>
                <w:szCs w:val="21"/>
              </w:rPr>
            </w:pPr>
            <w:r>
              <w:rPr>
                <w:rFonts w:cs="Times New Roman"/>
                <w:color w:val="000000"/>
                <w:szCs w:val="21"/>
              </w:rPr>
              <w:t>0.99 (0.95, 1.03)</w:t>
            </w:r>
          </w:p>
        </w:tc>
        <w:tc>
          <w:tcPr>
            <w:tcW w:w="1842" w:type="dxa"/>
            <w:tcBorders>
              <w:top w:val="nil"/>
              <w:left w:val="nil"/>
              <w:bottom w:val="single" w:color="auto" w:sz="8" w:space="0"/>
              <w:right w:val="nil"/>
            </w:tcBorders>
            <w:shd w:val="clear" w:color="auto" w:fill="auto"/>
            <w:noWrap/>
            <w:vAlign w:val="bottom"/>
          </w:tcPr>
          <w:p>
            <w:pPr>
              <w:rPr>
                <w:rFonts w:cs="Times New Roman"/>
                <w:color w:val="000000"/>
                <w:szCs w:val="21"/>
              </w:rPr>
            </w:pPr>
            <w:r>
              <w:rPr>
                <w:rFonts w:cs="Times New Roman"/>
                <w:color w:val="000000"/>
                <w:szCs w:val="21"/>
              </w:rPr>
              <w:t>1.03 (0.99, 1.07)</w:t>
            </w:r>
          </w:p>
        </w:tc>
      </w:tr>
    </w:tbl>
    <w:p>
      <w:pPr>
        <w:rPr>
          <w:rFonts w:cs="Times New Roman"/>
          <w:bCs/>
          <w:szCs w:val="21"/>
        </w:rPr>
        <w:sectPr>
          <w:pgSz w:w="11906" w:h="16838"/>
          <w:pgMar w:top="720" w:right="720" w:bottom="720" w:left="720" w:header="851" w:footer="992" w:gutter="0"/>
          <w:cols w:space="425" w:num="1"/>
          <w:docGrid w:type="lines" w:linePitch="326" w:charSpace="0"/>
        </w:sectPr>
      </w:pPr>
      <w:r>
        <w:rPr>
          <w:rFonts w:hint="eastAsia" w:cs="Times New Roman"/>
          <w:bCs/>
          <w:szCs w:val="21"/>
        </w:rPr>
        <w:t>Those results that reached statistical significance (i.e., p-value &lt;0.05 using the false discovery rate for adjustment of multiple testing) are marked with color, with blue denoting inverse associations and red denoting positive associations. HRs and 95% CIs were derived from Cox proportional hazards models with attained age as the timescale after adjusting for sex, ethnicity, age at recruitment, Townsend deprivation index, smoking status, average weekly alcohol intake, physical activity, and comorbidities. Abbreviations: HR, hazard ratio; CI, confidence interval; PC, principal component.</w:t>
      </w:r>
    </w:p>
    <w:p>
      <w:pPr>
        <w:pStyle w:val="49"/>
        <w:spacing w:line="360" w:lineRule="auto"/>
      </w:pPr>
      <w:bookmarkStart w:id="51" w:name="_Toc196124156"/>
      <w:bookmarkStart w:id="52" w:name="_Toc196124127"/>
      <w:bookmarkStart w:id="53" w:name="_Toc196123194"/>
      <w:r>
        <w:rPr>
          <w:rFonts w:hint="eastAsia"/>
        </w:rPr>
        <w:t>S12 Table. Sensitivity analyses of the associations between body composition patterns and risk of epilepsy using Fine-Grey models accounting for the competing risk of all-cause mortality.</w:t>
      </w:r>
      <w:bookmarkEnd w:id="51"/>
      <w:bookmarkEnd w:id="52"/>
      <w:bookmarkEnd w:id="53"/>
    </w:p>
    <w:tbl>
      <w:tblPr>
        <w:tblStyle w:val="25"/>
        <w:tblW w:w="0" w:type="auto"/>
        <w:tblInd w:w="0" w:type="dxa"/>
        <w:tblLayout w:type="fixed"/>
        <w:tblCellMar>
          <w:top w:w="0" w:type="dxa"/>
          <w:left w:w="108" w:type="dxa"/>
          <w:bottom w:w="0" w:type="dxa"/>
          <w:right w:w="108" w:type="dxa"/>
        </w:tblCellMar>
      </w:tblPr>
      <w:tblGrid>
        <w:gridCol w:w="3472"/>
        <w:gridCol w:w="1138"/>
        <w:gridCol w:w="1911"/>
        <w:gridCol w:w="1843"/>
        <w:gridCol w:w="1842"/>
      </w:tblGrid>
      <w:tr>
        <w:tblPrEx>
          <w:tblCellMar>
            <w:top w:w="0" w:type="dxa"/>
            <w:left w:w="108" w:type="dxa"/>
            <w:bottom w:w="0" w:type="dxa"/>
            <w:right w:w="108" w:type="dxa"/>
          </w:tblCellMar>
        </w:tblPrEx>
        <w:trPr>
          <w:trHeight w:val="300" w:hRule="atLeast"/>
        </w:trPr>
        <w:tc>
          <w:tcPr>
            <w:tcW w:w="3472" w:type="dxa"/>
            <w:vMerge w:val="restart"/>
            <w:tcBorders>
              <w:top w:val="single" w:color="auto" w:sz="8" w:space="0"/>
              <w:left w:val="nil"/>
              <w:bottom w:val="single" w:color="000000" w:sz="8" w:space="0"/>
              <w:right w:val="nil"/>
            </w:tcBorders>
            <w:shd w:val="clear" w:color="auto" w:fill="auto"/>
            <w:noWrap/>
            <w:vAlign w:val="center"/>
          </w:tcPr>
          <w:p>
            <w:pPr>
              <w:jc w:val="both"/>
              <w:rPr>
                <w:rFonts w:cs="Times New Roman"/>
                <w:b/>
                <w:bCs/>
                <w:color w:val="000000"/>
                <w:szCs w:val="21"/>
              </w:rPr>
            </w:pPr>
            <w:r>
              <w:rPr>
                <w:rFonts w:cs="Times New Roman"/>
                <w:b/>
                <w:bCs/>
                <w:color w:val="000000"/>
                <w:szCs w:val="21"/>
              </w:rPr>
              <w:t>Patterns of body composition</w:t>
            </w:r>
          </w:p>
        </w:tc>
        <w:tc>
          <w:tcPr>
            <w:tcW w:w="1138" w:type="dxa"/>
            <w:vMerge w:val="restart"/>
            <w:tcBorders>
              <w:top w:val="single" w:color="auto" w:sz="8" w:space="0"/>
              <w:left w:val="nil"/>
              <w:bottom w:val="single" w:color="000000" w:sz="8" w:space="0"/>
              <w:right w:val="nil"/>
            </w:tcBorders>
            <w:shd w:val="clear" w:color="auto" w:fill="auto"/>
            <w:noWrap/>
            <w:vAlign w:val="center"/>
          </w:tcPr>
          <w:p>
            <w:pPr>
              <w:jc w:val="both"/>
              <w:rPr>
                <w:rFonts w:cs="Times New Roman"/>
                <w:b/>
                <w:bCs/>
                <w:color w:val="000000"/>
                <w:szCs w:val="21"/>
              </w:rPr>
            </w:pPr>
            <w:r>
              <w:rPr>
                <w:rFonts w:cs="Times New Roman"/>
                <w:b/>
                <w:bCs/>
                <w:color w:val="000000"/>
                <w:szCs w:val="21"/>
              </w:rPr>
              <w:t>Level</w:t>
            </w:r>
          </w:p>
        </w:tc>
        <w:tc>
          <w:tcPr>
            <w:tcW w:w="5596" w:type="dxa"/>
            <w:gridSpan w:val="3"/>
            <w:tcBorders>
              <w:top w:val="single" w:color="auto" w:sz="8" w:space="0"/>
              <w:left w:val="nil"/>
              <w:bottom w:val="single" w:color="auto" w:sz="4" w:space="0"/>
              <w:right w:val="nil"/>
            </w:tcBorders>
            <w:shd w:val="clear" w:color="auto" w:fill="auto"/>
            <w:noWrap/>
          </w:tcPr>
          <w:p>
            <w:pPr>
              <w:jc w:val="center"/>
              <w:rPr>
                <w:rFonts w:cs="Times New Roman"/>
                <w:b/>
                <w:bCs/>
                <w:color w:val="000000"/>
                <w:szCs w:val="21"/>
              </w:rPr>
            </w:pPr>
            <w:r>
              <w:rPr>
                <w:rFonts w:cs="Times New Roman"/>
                <w:b/>
                <w:bCs/>
                <w:color w:val="000000"/>
                <w:szCs w:val="21"/>
              </w:rPr>
              <w:t>HR (95% CI)</w:t>
            </w:r>
          </w:p>
        </w:tc>
      </w:tr>
      <w:tr>
        <w:tblPrEx>
          <w:tblCellMar>
            <w:top w:w="0" w:type="dxa"/>
            <w:left w:w="108" w:type="dxa"/>
            <w:bottom w:w="0" w:type="dxa"/>
            <w:right w:w="108" w:type="dxa"/>
          </w:tblCellMar>
        </w:tblPrEx>
        <w:trPr>
          <w:trHeight w:val="303" w:hRule="atLeast"/>
        </w:trPr>
        <w:tc>
          <w:tcPr>
            <w:tcW w:w="3472" w:type="dxa"/>
            <w:vMerge w:val="continue"/>
            <w:tcBorders>
              <w:top w:val="single" w:color="000000" w:sz="8" w:space="0"/>
              <w:left w:val="nil"/>
              <w:bottom w:val="single" w:color="auto" w:sz="4" w:space="0"/>
              <w:right w:val="nil"/>
            </w:tcBorders>
            <w:shd w:val="clear" w:color="auto" w:fill="auto"/>
            <w:vAlign w:val="center"/>
          </w:tcPr>
          <w:p>
            <w:pPr>
              <w:rPr>
                <w:rFonts w:cs="Times New Roman"/>
                <w:b/>
                <w:bCs/>
                <w:color w:val="000000"/>
                <w:szCs w:val="21"/>
              </w:rPr>
            </w:pPr>
          </w:p>
        </w:tc>
        <w:tc>
          <w:tcPr>
            <w:tcW w:w="1138" w:type="dxa"/>
            <w:vMerge w:val="continue"/>
            <w:tcBorders>
              <w:top w:val="single" w:color="000000" w:sz="8" w:space="0"/>
              <w:left w:val="nil"/>
              <w:bottom w:val="single" w:color="auto" w:sz="4" w:space="0"/>
              <w:right w:val="nil"/>
            </w:tcBorders>
            <w:shd w:val="clear" w:color="auto" w:fill="auto"/>
            <w:vAlign w:val="center"/>
          </w:tcPr>
          <w:p>
            <w:pPr>
              <w:rPr>
                <w:rFonts w:cs="Times New Roman"/>
                <w:b/>
                <w:bCs/>
                <w:color w:val="000000"/>
                <w:szCs w:val="21"/>
              </w:rPr>
            </w:pPr>
          </w:p>
        </w:tc>
        <w:tc>
          <w:tcPr>
            <w:tcW w:w="1911" w:type="dxa"/>
            <w:tcBorders>
              <w:top w:val="single" w:color="auto" w:sz="4" w:space="0"/>
              <w:left w:val="nil"/>
              <w:bottom w:val="single" w:color="auto" w:sz="4" w:space="0"/>
              <w:right w:val="nil"/>
            </w:tcBorders>
            <w:shd w:val="clear" w:color="auto" w:fill="auto"/>
            <w:noWrap/>
          </w:tcPr>
          <w:p>
            <w:pPr>
              <w:rPr>
                <w:rFonts w:cs="Times New Roman"/>
                <w:b/>
                <w:bCs/>
                <w:color w:val="000000"/>
                <w:szCs w:val="21"/>
              </w:rPr>
            </w:pPr>
            <w:r>
              <w:rPr>
                <w:rFonts w:cs="Times New Roman"/>
                <w:b/>
                <w:bCs/>
                <w:color w:val="000000"/>
                <w:szCs w:val="21"/>
              </w:rPr>
              <w:t>Both</w:t>
            </w:r>
          </w:p>
        </w:tc>
        <w:tc>
          <w:tcPr>
            <w:tcW w:w="1843" w:type="dxa"/>
            <w:tcBorders>
              <w:top w:val="single" w:color="auto" w:sz="4" w:space="0"/>
              <w:left w:val="nil"/>
              <w:bottom w:val="single" w:color="auto" w:sz="4" w:space="0"/>
              <w:right w:val="nil"/>
            </w:tcBorders>
            <w:shd w:val="clear" w:color="auto" w:fill="auto"/>
            <w:noWrap/>
          </w:tcPr>
          <w:p>
            <w:pPr>
              <w:rPr>
                <w:rFonts w:cs="Times New Roman"/>
                <w:b/>
                <w:bCs/>
                <w:color w:val="000000"/>
                <w:szCs w:val="21"/>
              </w:rPr>
            </w:pPr>
            <w:r>
              <w:rPr>
                <w:rFonts w:cs="Times New Roman"/>
                <w:b/>
                <w:bCs/>
                <w:color w:val="000000"/>
                <w:szCs w:val="21"/>
              </w:rPr>
              <w:t>Male</w:t>
            </w:r>
          </w:p>
        </w:tc>
        <w:tc>
          <w:tcPr>
            <w:tcW w:w="1842" w:type="dxa"/>
            <w:tcBorders>
              <w:top w:val="single" w:color="auto" w:sz="4" w:space="0"/>
              <w:left w:val="nil"/>
              <w:bottom w:val="single" w:color="auto" w:sz="4" w:space="0"/>
              <w:right w:val="nil"/>
            </w:tcBorders>
            <w:shd w:val="clear" w:color="auto" w:fill="auto"/>
            <w:noWrap/>
          </w:tcPr>
          <w:p>
            <w:pPr>
              <w:rPr>
                <w:rFonts w:cs="Times New Roman"/>
                <w:b/>
                <w:bCs/>
                <w:color w:val="000000"/>
                <w:szCs w:val="21"/>
              </w:rPr>
            </w:pPr>
            <w:r>
              <w:rPr>
                <w:rFonts w:cs="Times New Roman"/>
                <w:b/>
                <w:bCs/>
                <w:color w:val="000000"/>
                <w:szCs w:val="21"/>
              </w:rPr>
              <w:t>Female</w:t>
            </w:r>
          </w:p>
        </w:tc>
      </w:tr>
      <w:tr>
        <w:tblPrEx>
          <w:tblCellMar>
            <w:top w:w="0" w:type="dxa"/>
            <w:left w:w="108" w:type="dxa"/>
            <w:bottom w:w="0" w:type="dxa"/>
            <w:right w:w="108" w:type="dxa"/>
          </w:tblCellMar>
        </w:tblPrEx>
        <w:trPr>
          <w:trHeight w:val="288" w:hRule="atLeast"/>
        </w:trPr>
        <w:tc>
          <w:tcPr>
            <w:tcW w:w="3472" w:type="dxa"/>
            <w:tcBorders>
              <w:top w:val="single" w:color="auto" w:sz="4" w:space="0"/>
              <w:left w:val="nil"/>
              <w:bottom w:val="nil"/>
              <w:right w:val="nil"/>
            </w:tcBorders>
            <w:shd w:val="clear" w:color="auto" w:fill="auto"/>
            <w:noWrap/>
          </w:tcPr>
          <w:p>
            <w:pPr>
              <w:rPr>
                <w:rFonts w:cs="Times New Roman"/>
                <w:b/>
                <w:bCs/>
                <w:color w:val="000000"/>
                <w:szCs w:val="21"/>
              </w:rPr>
            </w:pPr>
            <w:r>
              <w:rPr>
                <w:rFonts w:cs="Times New Roman"/>
                <w:b/>
                <w:bCs/>
                <w:color w:val="000000"/>
                <w:szCs w:val="21"/>
              </w:rPr>
              <w:t>PC1_Fat-to-lean mass</w:t>
            </w:r>
          </w:p>
        </w:tc>
        <w:tc>
          <w:tcPr>
            <w:tcW w:w="1138" w:type="dxa"/>
            <w:tcBorders>
              <w:top w:val="single" w:color="auto" w:sz="4" w:space="0"/>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0.97 (0.88, 1.06)</w:t>
            </w:r>
          </w:p>
        </w:tc>
        <w:tc>
          <w:tcPr>
            <w:tcW w:w="1843"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0.94 (0.83, 1.07)</w:t>
            </w:r>
          </w:p>
        </w:tc>
        <w:tc>
          <w:tcPr>
            <w:tcW w:w="1842"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1.00 (0.87, 1.14)</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0.98 (0.90, 1.08)</w:t>
            </w:r>
          </w:p>
        </w:tc>
        <w:tc>
          <w:tcPr>
            <w:tcW w:w="1843"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1.00 (0.88, 1.13)</w:t>
            </w:r>
          </w:p>
        </w:tc>
        <w:tc>
          <w:tcPr>
            <w:tcW w:w="1842"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0.97 (0.85, 1.11)</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1.01 (1.00, 1.02)</w:t>
            </w:r>
          </w:p>
        </w:tc>
        <w:tc>
          <w:tcPr>
            <w:tcW w:w="1843"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1.01 (1.00, 1.02)</w:t>
            </w:r>
          </w:p>
        </w:tc>
        <w:tc>
          <w:tcPr>
            <w:tcW w:w="1842"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1.00 (0.99, 1.02)</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bCs/>
                <w:color w:val="000000"/>
                <w:szCs w:val="21"/>
              </w:rPr>
            </w:pPr>
            <w:r>
              <w:rPr>
                <w:rFonts w:cs="Times New Roman"/>
                <w:b/>
                <w:bCs/>
                <w:color w:val="000000"/>
                <w:szCs w:val="21"/>
              </w:rPr>
              <w:t>PC2_Lean mass</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0.97 (0.89, 1.05)</w:t>
            </w:r>
          </w:p>
        </w:tc>
        <w:tc>
          <w:tcPr>
            <w:tcW w:w="1843"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0.92 (0.82, 1.04)</w:t>
            </w:r>
          </w:p>
        </w:tc>
        <w:tc>
          <w:tcPr>
            <w:tcW w:w="1842"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1.03 (0.91, 1.17)</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0.89 (0.81, 0.97)</w:t>
            </w:r>
          </w:p>
        </w:tc>
        <w:tc>
          <w:tcPr>
            <w:tcW w:w="1843"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0.84 (0.74, 0.95)</w:t>
            </w:r>
          </w:p>
        </w:tc>
        <w:tc>
          <w:tcPr>
            <w:tcW w:w="1842"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0.95 (0.84, 1.09)</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0.97 (0.95, 0.98)</w:t>
            </w:r>
          </w:p>
        </w:tc>
        <w:tc>
          <w:tcPr>
            <w:tcW w:w="1843"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0.95 (0.93, 0.98)</w:t>
            </w:r>
          </w:p>
        </w:tc>
        <w:tc>
          <w:tcPr>
            <w:tcW w:w="1842"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0.98 (0.96, 1.01)</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bCs/>
                <w:color w:val="000000"/>
                <w:szCs w:val="21"/>
              </w:rPr>
            </w:pPr>
            <w:r>
              <w:rPr>
                <w:rFonts w:cs="Times New Roman"/>
                <w:b/>
                <w:bCs/>
                <w:color w:val="000000"/>
                <w:szCs w:val="21"/>
              </w:rPr>
              <w:t>PC3_Central obesity</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0.99 (0.90, 1.08)</w:t>
            </w:r>
          </w:p>
        </w:tc>
        <w:tc>
          <w:tcPr>
            <w:tcW w:w="1843"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0.89 (0.78, 1.01)</w:t>
            </w:r>
          </w:p>
        </w:tc>
        <w:tc>
          <w:tcPr>
            <w:tcW w:w="1842"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1.11 (0.96, 1.27)</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FFCCCC"/>
            <w:noWrap/>
            <w:vAlign w:val="center"/>
          </w:tcPr>
          <w:p>
            <w:pPr>
              <w:rPr>
                <w:rFonts w:cs="Times New Roman"/>
                <w:color w:val="000000"/>
                <w:szCs w:val="21"/>
              </w:rPr>
            </w:pPr>
            <w:r>
              <w:rPr>
                <w:rFonts w:cs="Times New Roman"/>
                <w:color w:val="000000"/>
                <w:szCs w:val="21"/>
              </w:rPr>
              <w:t>1.14 (1.04, 1.25)</w:t>
            </w:r>
          </w:p>
        </w:tc>
        <w:tc>
          <w:tcPr>
            <w:tcW w:w="1843"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1.04 (0.91, 1.17)</w:t>
            </w:r>
          </w:p>
        </w:tc>
        <w:tc>
          <w:tcPr>
            <w:tcW w:w="1842" w:type="dxa"/>
            <w:tcBorders>
              <w:top w:val="nil"/>
              <w:left w:val="nil"/>
              <w:bottom w:val="nil"/>
              <w:right w:val="nil"/>
            </w:tcBorders>
            <w:shd w:val="clear" w:color="auto" w:fill="FFCCCC"/>
            <w:noWrap/>
            <w:vAlign w:val="center"/>
          </w:tcPr>
          <w:p>
            <w:pPr>
              <w:rPr>
                <w:rFonts w:cs="Times New Roman"/>
                <w:color w:val="000000"/>
                <w:szCs w:val="21"/>
              </w:rPr>
            </w:pPr>
            <w:r>
              <w:rPr>
                <w:rFonts w:cs="Times New Roman"/>
                <w:color w:val="000000"/>
                <w:szCs w:val="21"/>
              </w:rPr>
              <w:t>1.25 (1.09, 1.43)</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FFCCCC"/>
            <w:noWrap/>
            <w:vAlign w:val="center"/>
          </w:tcPr>
          <w:p>
            <w:pPr>
              <w:rPr>
                <w:rFonts w:cs="Times New Roman"/>
                <w:color w:val="000000"/>
                <w:szCs w:val="21"/>
              </w:rPr>
            </w:pPr>
            <w:r>
              <w:rPr>
                <w:rFonts w:cs="Times New Roman"/>
                <w:color w:val="000000"/>
                <w:szCs w:val="21"/>
              </w:rPr>
              <w:t>1.04 (1.01, 1.07)</w:t>
            </w:r>
          </w:p>
        </w:tc>
        <w:tc>
          <w:tcPr>
            <w:tcW w:w="1843"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1.01 (0.98, 1.05)</w:t>
            </w:r>
          </w:p>
        </w:tc>
        <w:tc>
          <w:tcPr>
            <w:tcW w:w="1842" w:type="dxa"/>
            <w:tcBorders>
              <w:top w:val="nil"/>
              <w:left w:val="nil"/>
              <w:bottom w:val="nil"/>
              <w:right w:val="nil"/>
            </w:tcBorders>
            <w:shd w:val="clear" w:color="auto" w:fill="FFCCCC"/>
            <w:noWrap/>
            <w:vAlign w:val="center"/>
          </w:tcPr>
          <w:p>
            <w:pPr>
              <w:rPr>
                <w:rFonts w:cs="Times New Roman"/>
                <w:color w:val="000000"/>
                <w:szCs w:val="21"/>
              </w:rPr>
            </w:pPr>
            <w:r>
              <w:rPr>
                <w:rFonts w:cs="Times New Roman"/>
                <w:color w:val="000000"/>
                <w:szCs w:val="21"/>
              </w:rPr>
              <w:t>1.06 (1.02, 1.10)</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bCs/>
                <w:color w:val="000000"/>
                <w:szCs w:val="21"/>
              </w:rPr>
            </w:pPr>
            <w:r>
              <w:rPr>
                <w:rFonts w:cs="Times New Roman"/>
                <w:b/>
                <w:bCs/>
                <w:color w:val="000000"/>
                <w:szCs w:val="21"/>
              </w:rPr>
              <w:t>PC4_Muscle strength</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CCECFF"/>
            <w:noWrap/>
            <w:vAlign w:val="center"/>
          </w:tcPr>
          <w:p>
            <w:pPr>
              <w:jc w:val="both"/>
              <w:rPr>
                <w:rFonts w:cs="Times New Roman"/>
                <w:color w:val="000000"/>
                <w:szCs w:val="21"/>
              </w:rPr>
            </w:pPr>
            <w:r>
              <w:rPr>
                <w:rFonts w:cs="Times New Roman"/>
                <w:color w:val="000000"/>
                <w:szCs w:val="21"/>
              </w:rPr>
              <w:t>0.76 (0.70, 0.83)</w:t>
            </w:r>
          </w:p>
        </w:tc>
        <w:tc>
          <w:tcPr>
            <w:tcW w:w="1843"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0.75 (0.66, 0.84)</w:t>
            </w:r>
          </w:p>
        </w:tc>
        <w:tc>
          <w:tcPr>
            <w:tcW w:w="1842"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0.78 (0.69, 0.88)</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CCECFF"/>
            <w:noWrap/>
            <w:vAlign w:val="center"/>
          </w:tcPr>
          <w:p>
            <w:pPr>
              <w:jc w:val="both"/>
              <w:rPr>
                <w:rFonts w:cs="Times New Roman"/>
                <w:color w:val="000000"/>
                <w:szCs w:val="21"/>
              </w:rPr>
            </w:pPr>
            <w:r>
              <w:rPr>
                <w:rFonts w:cs="Times New Roman"/>
                <w:color w:val="000000"/>
                <w:szCs w:val="21"/>
              </w:rPr>
              <w:t>0.67 (0.60, 0.73)</w:t>
            </w:r>
          </w:p>
        </w:tc>
        <w:tc>
          <w:tcPr>
            <w:tcW w:w="1843"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0.69 (0.61, 0.79)</w:t>
            </w:r>
          </w:p>
        </w:tc>
        <w:tc>
          <w:tcPr>
            <w:tcW w:w="1842"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0.63 (0.54, 0.72)</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CCECFF"/>
            <w:noWrap/>
            <w:vAlign w:val="center"/>
          </w:tcPr>
          <w:p>
            <w:pPr>
              <w:jc w:val="both"/>
              <w:rPr>
                <w:rFonts w:cs="Times New Roman"/>
                <w:color w:val="000000"/>
                <w:szCs w:val="21"/>
              </w:rPr>
            </w:pPr>
            <w:r>
              <w:rPr>
                <w:rFonts w:cs="Times New Roman"/>
                <w:color w:val="000000"/>
                <w:szCs w:val="21"/>
              </w:rPr>
              <w:t>0.89 (0.87, 0.91)</w:t>
            </w:r>
          </w:p>
        </w:tc>
        <w:tc>
          <w:tcPr>
            <w:tcW w:w="1843"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0.88 (0.85, 0.91)</w:t>
            </w:r>
          </w:p>
        </w:tc>
        <w:tc>
          <w:tcPr>
            <w:tcW w:w="1842"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0.89 (0.86, 0.92)</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bCs/>
                <w:color w:val="000000"/>
                <w:szCs w:val="21"/>
              </w:rPr>
            </w:pPr>
            <w:r>
              <w:rPr>
                <w:rFonts w:cs="Times New Roman"/>
                <w:b/>
                <w:bCs/>
                <w:color w:val="000000"/>
                <w:szCs w:val="21"/>
              </w:rPr>
              <w:t>PC5_Bone density</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0.87 (0.80, 0.95)</w:t>
            </w:r>
          </w:p>
        </w:tc>
        <w:tc>
          <w:tcPr>
            <w:tcW w:w="1843"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0.84 (0.74, 0.94)</w:t>
            </w:r>
          </w:p>
        </w:tc>
        <w:tc>
          <w:tcPr>
            <w:tcW w:w="1842"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0.90 (0.80, 1.02)</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0.88 (0.80, 0.96)</w:t>
            </w:r>
          </w:p>
        </w:tc>
        <w:tc>
          <w:tcPr>
            <w:tcW w:w="1843"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0.89 (0.79, 1.00)</w:t>
            </w:r>
          </w:p>
        </w:tc>
        <w:tc>
          <w:tcPr>
            <w:tcW w:w="1842"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0.85 (0.74, 0.97)</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0.96 (0.93, 0.99)</w:t>
            </w:r>
          </w:p>
        </w:tc>
        <w:tc>
          <w:tcPr>
            <w:tcW w:w="1843"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0.97 (0.93, 1.02)</w:t>
            </w:r>
          </w:p>
        </w:tc>
        <w:tc>
          <w:tcPr>
            <w:tcW w:w="1842"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0.94 (0.90, 0.99)</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bCs/>
                <w:color w:val="000000"/>
                <w:szCs w:val="21"/>
              </w:rPr>
            </w:pPr>
            <w:r>
              <w:rPr>
                <w:rFonts w:cs="Times New Roman"/>
                <w:b/>
                <w:bCs/>
                <w:color w:val="000000"/>
                <w:szCs w:val="21"/>
              </w:rPr>
              <w:t>PC6_Arm-dominant fat distribution</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1.03 (0.94, 1.13)</w:t>
            </w:r>
          </w:p>
        </w:tc>
        <w:tc>
          <w:tcPr>
            <w:tcW w:w="1843"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0.98 (0.86, 1.10)</w:t>
            </w:r>
          </w:p>
        </w:tc>
        <w:tc>
          <w:tcPr>
            <w:tcW w:w="1842"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1.10 (0.97, 1.26)</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1.22 (1.12, 1.34)</w:t>
            </w:r>
          </w:p>
        </w:tc>
        <w:tc>
          <w:tcPr>
            <w:tcW w:w="1843" w:type="dxa"/>
            <w:tcBorders>
              <w:top w:val="nil"/>
              <w:left w:val="nil"/>
              <w:bottom w:val="nil"/>
              <w:right w:val="nil"/>
            </w:tcBorders>
            <w:shd w:val="clear" w:color="auto" w:fill="FFCCCC"/>
            <w:noWrap/>
            <w:vAlign w:val="center"/>
          </w:tcPr>
          <w:p>
            <w:pPr>
              <w:rPr>
                <w:rFonts w:cs="Times New Roman"/>
                <w:color w:val="000000"/>
                <w:szCs w:val="21"/>
              </w:rPr>
            </w:pPr>
            <w:r>
              <w:rPr>
                <w:rFonts w:cs="Times New Roman"/>
                <w:color w:val="000000"/>
                <w:szCs w:val="21"/>
              </w:rPr>
              <w:t>1.19 (1.05, 1.35)</w:t>
            </w:r>
          </w:p>
        </w:tc>
        <w:tc>
          <w:tcPr>
            <w:tcW w:w="1842" w:type="dxa"/>
            <w:tcBorders>
              <w:top w:val="nil"/>
              <w:left w:val="nil"/>
              <w:bottom w:val="nil"/>
              <w:right w:val="nil"/>
            </w:tcBorders>
            <w:shd w:val="clear" w:color="auto" w:fill="FFCCCC"/>
            <w:noWrap/>
            <w:vAlign w:val="center"/>
          </w:tcPr>
          <w:p>
            <w:pPr>
              <w:rPr>
                <w:rFonts w:cs="Times New Roman"/>
                <w:color w:val="000000"/>
                <w:szCs w:val="21"/>
              </w:rPr>
            </w:pPr>
            <w:r>
              <w:rPr>
                <w:rFonts w:cs="Times New Roman"/>
                <w:color w:val="000000"/>
                <w:szCs w:val="21"/>
              </w:rPr>
              <w:t>1.28 (1.12, 1.46)</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1.09 (1.05, 1.12)</w:t>
            </w:r>
          </w:p>
        </w:tc>
        <w:tc>
          <w:tcPr>
            <w:tcW w:w="1843" w:type="dxa"/>
            <w:tcBorders>
              <w:top w:val="nil"/>
              <w:left w:val="nil"/>
              <w:bottom w:val="nil"/>
              <w:right w:val="nil"/>
            </w:tcBorders>
            <w:shd w:val="clear" w:color="auto" w:fill="FFCCCC"/>
            <w:noWrap/>
            <w:vAlign w:val="center"/>
          </w:tcPr>
          <w:p>
            <w:pPr>
              <w:rPr>
                <w:rFonts w:cs="Times New Roman"/>
                <w:color w:val="000000"/>
                <w:szCs w:val="21"/>
              </w:rPr>
            </w:pPr>
            <w:r>
              <w:rPr>
                <w:rFonts w:cs="Times New Roman"/>
                <w:color w:val="000000"/>
                <w:szCs w:val="21"/>
              </w:rPr>
              <w:t>1.07 (1.03, 1.12)</w:t>
            </w:r>
          </w:p>
        </w:tc>
        <w:tc>
          <w:tcPr>
            <w:tcW w:w="1842" w:type="dxa"/>
            <w:tcBorders>
              <w:top w:val="nil"/>
              <w:left w:val="nil"/>
              <w:bottom w:val="nil"/>
              <w:right w:val="nil"/>
            </w:tcBorders>
            <w:shd w:val="clear" w:color="auto" w:fill="FFCCCC"/>
            <w:noWrap/>
            <w:vAlign w:val="center"/>
          </w:tcPr>
          <w:p>
            <w:pPr>
              <w:rPr>
                <w:rFonts w:cs="Times New Roman"/>
                <w:color w:val="000000"/>
                <w:szCs w:val="21"/>
              </w:rPr>
            </w:pPr>
            <w:r>
              <w:rPr>
                <w:rFonts w:cs="Times New Roman"/>
                <w:color w:val="000000"/>
                <w:szCs w:val="21"/>
              </w:rPr>
              <w:t>1.11 (1.06, 1.16)</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bCs/>
                <w:color w:val="000000"/>
                <w:szCs w:val="21"/>
              </w:rPr>
            </w:pPr>
            <w:r>
              <w:rPr>
                <w:rFonts w:cs="Times New Roman"/>
                <w:b/>
                <w:bCs/>
                <w:color w:val="000000"/>
                <w:szCs w:val="21"/>
              </w:rPr>
              <w:t>PC7_Leg-dominant fat distribution</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0.91 (0.83, 0.99)</w:t>
            </w:r>
          </w:p>
        </w:tc>
        <w:tc>
          <w:tcPr>
            <w:tcW w:w="1843" w:type="dxa"/>
            <w:tcBorders>
              <w:top w:val="nil"/>
              <w:left w:val="nil"/>
              <w:bottom w:val="nil"/>
              <w:right w:val="nil"/>
            </w:tcBorders>
            <w:shd w:val="clear" w:color="auto" w:fill="CCECFF"/>
            <w:noWrap/>
            <w:vAlign w:val="center"/>
          </w:tcPr>
          <w:p>
            <w:pPr>
              <w:rPr>
                <w:rFonts w:cs="Times New Roman"/>
                <w:color w:val="000000"/>
                <w:szCs w:val="21"/>
              </w:rPr>
            </w:pPr>
            <w:r>
              <w:rPr>
                <w:rFonts w:cs="Times New Roman"/>
                <w:color w:val="000000"/>
                <w:szCs w:val="21"/>
              </w:rPr>
              <w:t>0.84 (0.74, 0.94)</w:t>
            </w:r>
          </w:p>
        </w:tc>
        <w:tc>
          <w:tcPr>
            <w:tcW w:w="1842"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1.01 (0.88, 1.15)</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1.00 (0.91, 1.09)</w:t>
            </w:r>
          </w:p>
        </w:tc>
        <w:tc>
          <w:tcPr>
            <w:tcW w:w="1843"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0.99 (0.88, 1.12)</w:t>
            </w:r>
          </w:p>
        </w:tc>
        <w:tc>
          <w:tcPr>
            <w:tcW w:w="1842" w:type="dxa"/>
            <w:tcBorders>
              <w:top w:val="nil"/>
              <w:left w:val="nil"/>
              <w:bottom w:val="nil"/>
              <w:right w:val="nil"/>
            </w:tcBorders>
            <w:shd w:val="clear" w:color="auto" w:fill="auto"/>
            <w:noWrap/>
            <w:vAlign w:val="center"/>
          </w:tcPr>
          <w:p>
            <w:pPr>
              <w:rPr>
                <w:rFonts w:cs="Times New Roman"/>
                <w:color w:val="000000"/>
                <w:szCs w:val="21"/>
              </w:rPr>
            </w:pPr>
            <w:r>
              <w:rPr>
                <w:rFonts w:cs="Times New Roman"/>
                <w:color w:val="000000"/>
                <w:szCs w:val="21"/>
              </w:rPr>
              <w:t>1.03 (0.90, 1.17)</w:t>
            </w:r>
          </w:p>
        </w:tc>
      </w:tr>
      <w:tr>
        <w:tblPrEx>
          <w:tblCellMar>
            <w:top w:w="0" w:type="dxa"/>
            <w:left w:w="108" w:type="dxa"/>
            <w:bottom w:w="0" w:type="dxa"/>
            <w:right w:w="108" w:type="dxa"/>
          </w:tblCellMar>
        </w:tblPrEx>
        <w:trPr>
          <w:trHeight w:val="288" w:hRule="atLeast"/>
        </w:trPr>
        <w:tc>
          <w:tcPr>
            <w:tcW w:w="3472" w:type="dxa"/>
            <w:tcBorders>
              <w:top w:val="nil"/>
              <w:left w:val="nil"/>
              <w:bottom w:val="single" w:color="auto" w:sz="8" w:space="0"/>
              <w:right w:val="nil"/>
            </w:tcBorders>
            <w:shd w:val="clear" w:color="auto" w:fill="auto"/>
            <w:noWrap/>
          </w:tcPr>
          <w:p>
            <w:pPr>
              <w:rPr>
                <w:rFonts w:cs="Times New Roman"/>
                <w:color w:val="000000"/>
                <w:szCs w:val="21"/>
              </w:rPr>
            </w:pPr>
          </w:p>
        </w:tc>
        <w:tc>
          <w:tcPr>
            <w:tcW w:w="1138" w:type="dxa"/>
            <w:tcBorders>
              <w:top w:val="nil"/>
              <w:left w:val="nil"/>
              <w:bottom w:val="single" w:color="auto" w:sz="8" w:space="0"/>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single" w:color="auto" w:sz="8" w:space="0"/>
              <w:right w:val="nil"/>
            </w:tcBorders>
            <w:shd w:val="clear" w:color="auto" w:fill="auto"/>
            <w:noWrap/>
            <w:vAlign w:val="center"/>
          </w:tcPr>
          <w:p>
            <w:pPr>
              <w:rPr>
                <w:rFonts w:cs="Times New Roman"/>
                <w:color w:val="000000"/>
                <w:szCs w:val="21"/>
              </w:rPr>
            </w:pPr>
            <w:r>
              <w:rPr>
                <w:rFonts w:cs="Times New Roman"/>
                <w:color w:val="000000"/>
                <w:szCs w:val="21"/>
              </w:rPr>
              <w:t>0.99 (0.97, 1.02)</w:t>
            </w:r>
          </w:p>
        </w:tc>
        <w:tc>
          <w:tcPr>
            <w:tcW w:w="1843" w:type="dxa"/>
            <w:tcBorders>
              <w:top w:val="nil"/>
              <w:left w:val="nil"/>
              <w:bottom w:val="single" w:color="auto" w:sz="8" w:space="0"/>
              <w:right w:val="nil"/>
            </w:tcBorders>
            <w:shd w:val="clear" w:color="auto" w:fill="auto"/>
            <w:noWrap/>
            <w:vAlign w:val="center"/>
          </w:tcPr>
          <w:p>
            <w:pPr>
              <w:rPr>
                <w:rFonts w:cs="Times New Roman"/>
                <w:color w:val="000000"/>
                <w:szCs w:val="21"/>
              </w:rPr>
            </w:pPr>
            <w:r>
              <w:rPr>
                <w:rFonts w:cs="Times New Roman"/>
                <w:color w:val="000000"/>
                <w:szCs w:val="21"/>
              </w:rPr>
              <w:t>0.98 (0.94, 1.01)</w:t>
            </w:r>
          </w:p>
        </w:tc>
        <w:tc>
          <w:tcPr>
            <w:tcW w:w="1842" w:type="dxa"/>
            <w:tcBorders>
              <w:top w:val="nil"/>
              <w:left w:val="nil"/>
              <w:bottom w:val="single" w:color="auto" w:sz="8" w:space="0"/>
              <w:right w:val="nil"/>
            </w:tcBorders>
            <w:shd w:val="clear" w:color="auto" w:fill="auto"/>
            <w:noWrap/>
            <w:vAlign w:val="center"/>
          </w:tcPr>
          <w:p>
            <w:pPr>
              <w:rPr>
                <w:rFonts w:cs="Times New Roman"/>
                <w:color w:val="000000"/>
                <w:szCs w:val="21"/>
              </w:rPr>
            </w:pPr>
            <w:r>
              <w:rPr>
                <w:rFonts w:cs="Times New Roman"/>
                <w:color w:val="000000"/>
                <w:szCs w:val="21"/>
              </w:rPr>
              <w:t>1.02 (0.98, 1.06)</w:t>
            </w:r>
          </w:p>
        </w:tc>
      </w:tr>
    </w:tbl>
    <w:p>
      <w:pPr>
        <w:rPr>
          <w:rFonts w:cs="Times New Roman"/>
          <w:bCs/>
          <w:szCs w:val="21"/>
        </w:rPr>
        <w:sectPr>
          <w:pgSz w:w="11906" w:h="16838"/>
          <w:pgMar w:top="720" w:right="720" w:bottom="720" w:left="720" w:header="851" w:footer="992" w:gutter="0"/>
          <w:cols w:space="425" w:num="1"/>
          <w:docGrid w:type="lines" w:linePitch="326" w:charSpace="0"/>
        </w:sectPr>
      </w:pPr>
      <w:r>
        <w:rPr>
          <w:rFonts w:hint="eastAsia" w:cs="Times New Roman"/>
          <w:bCs/>
          <w:szCs w:val="21"/>
        </w:rPr>
        <w:t>Those results that reached statistical significance (i.e., p-value &lt;0.05 using the false discovery rate for adjustment of multiple testing) are marked with color, with blue denoting inverse associations and red denoting positive associations. HRs and 95% CIs were derived from Cox proportional hazards models with attained age as the timescale after adjusting for sex, ethnicity, age at recruitment, Townsend deprivation index, smoking status, average weekly alcohol intake, physical activity, and comorbidities. Abbreviations: HR, hazard ratio; CI, confidence interval; PC, principal component.</w:t>
      </w:r>
    </w:p>
    <w:p>
      <w:pPr>
        <w:pStyle w:val="49"/>
        <w:spacing w:line="360" w:lineRule="auto"/>
      </w:pPr>
      <w:bookmarkStart w:id="54" w:name="_Toc196124157"/>
      <w:bookmarkStart w:id="55" w:name="_Toc196123195"/>
      <w:bookmarkStart w:id="56" w:name="_Toc196124128"/>
      <w:r>
        <w:rPr>
          <w:rFonts w:hint="eastAsia"/>
        </w:rPr>
        <w:t>S13 Table. Sensitivity analyses of the associations between body composition patterns and risk of generalized epilepsy.</w:t>
      </w:r>
      <w:bookmarkEnd w:id="54"/>
      <w:bookmarkEnd w:id="55"/>
      <w:bookmarkEnd w:id="56"/>
    </w:p>
    <w:tbl>
      <w:tblPr>
        <w:tblStyle w:val="25"/>
        <w:tblW w:w="0" w:type="auto"/>
        <w:tblInd w:w="0" w:type="dxa"/>
        <w:tblLayout w:type="fixed"/>
        <w:tblCellMar>
          <w:top w:w="0" w:type="dxa"/>
          <w:left w:w="108" w:type="dxa"/>
          <w:bottom w:w="0" w:type="dxa"/>
          <w:right w:w="108" w:type="dxa"/>
        </w:tblCellMar>
      </w:tblPr>
      <w:tblGrid>
        <w:gridCol w:w="3472"/>
        <w:gridCol w:w="1138"/>
        <w:gridCol w:w="1911"/>
        <w:gridCol w:w="1843"/>
        <w:gridCol w:w="1842"/>
      </w:tblGrid>
      <w:tr>
        <w:tblPrEx>
          <w:tblCellMar>
            <w:top w:w="0" w:type="dxa"/>
            <w:left w:w="108" w:type="dxa"/>
            <w:bottom w:w="0" w:type="dxa"/>
            <w:right w:w="108" w:type="dxa"/>
          </w:tblCellMar>
        </w:tblPrEx>
        <w:trPr>
          <w:trHeight w:val="300" w:hRule="atLeast"/>
        </w:trPr>
        <w:tc>
          <w:tcPr>
            <w:tcW w:w="3472" w:type="dxa"/>
            <w:vMerge w:val="restart"/>
            <w:tcBorders>
              <w:top w:val="single" w:color="auto" w:sz="8" w:space="0"/>
              <w:left w:val="nil"/>
              <w:bottom w:val="single" w:color="000000" w:sz="8" w:space="0"/>
              <w:right w:val="nil"/>
            </w:tcBorders>
            <w:shd w:val="clear" w:color="auto" w:fill="auto"/>
            <w:noWrap/>
            <w:vAlign w:val="center"/>
          </w:tcPr>
          <w:p>
            <w:pPr>
              <w:jc w:val="both"/>
              <w:rPr>
                <w:rFonts w:cs="Times New Roman"/>
                <w:b/>
                <w:color w:val="000000"/>
                <w:szCs w:val="21"/>
              </w:rPr>
            </w:pPr>
            <w:r>
              <w:rPr>
                <w:rFonts w:cs="Times New Roman"/>
                <w:b/>
                <w:color w:val="000000"/>
                <w:szCs w:val="21"/>
              </w:rPr>
              <w:t>Patterns of body composition</w:t>
            </w:r>
          </w:p>
        </w:tc>
        <w:tc>
          <w:tcPr>
            <w:tcW w:w="1138" w:type="dxa"/>
            <w:vMerge w:val="restart"/>
            <w:tcBorders>
              <w:top w:val="single" w:color="auto" w:sz="8" w:space="0"/>
              <w:left w:val="nil"/>
              <w:bottom w:val="single" w:color="000000" w:sz="8" w:space="0"/>
              <w:right w:val="nil"/>
            </w:tcBorders>
            <w:shd w:val="clear" w:color="auto" w:fill="auto"/>
            <w:noWrap/>
            <w:vAlign w:val="center"/>
          </w:tcPr>
          <w:p>
            <w:pPr>
              <w:jc w:val="both"/>
              <w:rPr>
                <w:rFonts w:cs="Times New Roman"/>
                <w:b/>
                <w:color w:val="000000"/>
                <w:szCs w:val="21"/>
              </w:rPr>
            </w:pPr>
            <w:r>
              <w:rPr>
                <w:rFonts w:cs="Times New Roman"/>
                <w:b/>
                <w:color w:val="000000"/>
                <w:szCs w:val="21"/>
              </w:rPr>
              <w:t>Level</w:t>
            </w:r>
          </w:p>
        </w:tc>
        <w:tc>
          <w:tcPr>
            <w:tcW w:w="5596" w:type="dxa"/>
            <w:gridSpan w:val="3"/>
            <w:tcBorders>
              <w:top w:val="single" w:color="auto" w:sz="8" w:space="0"/>
              <w:left w:val="nil"/>
              <w:bottom w:val="single" w:color="auto" w:sz="4" w:space="0"/>
              <w:right w:val="nil"/>
            </w:tcBorders>
            <w:shd w:val="clear" w:color="auto" w:fill="auto"/>
            <w:noWrap/>
          </w:tcPr>
          <w:p>
            <w:pPr>
              <w:jc w:val="center"/>
              <w:rPr>
                <w:rFonts w:cs="Times New Roman"/>
                <w:b/>
                <w:color w:val="000000"/>
                <w:szCs w:val="21"/>
              </w:rPr>
            </w:pPr>
            <w:r>
              <w:rPr>
                <w:rFonts w:cs="Times New Roman"/>
                <w:b/>
                <w:color w:val="000000"/>
                <w:szCs w:val="21"/>
              </w:rPr>
              <w:t>HR (95% CI)</w:t>
            </w:r>
          </w:p>
        </w:tc>
      </w:tr>
      <w:tr>
        <w:tblPrEx>
          <w:tblCellMar>
            <w:top w:w="0" w:type="dxa"/>
            <w:left w:w="108" w:type="dxa"/>
            <w:bottom w:w="0" w:type="dxa"/>
            <w:right w:w="108" w:type="dxa"/>
          </w:tblCellMar>
        </w:tblPrEx>
        <w:trPr>
          <w:trHeight w:val="303" w:hRule="atLeast"/>
        </w:trPr>
        <w:tc>
          <w:tcPr>
            <w:tcW w:w="3472" w:type="dxa"/>
            <w:vMerge w:val="continue"/>
            <w:tcBorders>
              <w:top w:val="single" w:color="000000" w:sz="8" w:space="0"/>
              <w:left w:val="nil"/>
              <w:bottom w:val="single" w:color="auto" w:sz="4" w:space="0"/>
              <w:right w:val="nil"/>
            </w:tcBorders>
            <w:shd w:val="clear" w:color="auto" w:fill="auto"/>
            <w:vAlign w:val="center"/>
          </w:tcPr>
          <w:p>
            <w:pPr>
              <w:rPr>
                <w:rFonts w:cs="Times New Roman"/>
                <w:b/>
                <w:color w:val="000000"/>
                <w:szCs w:val="21"/>
              </w:rPr>
            </w:pPr>
          </w:p>
        </w:tc>
        <w:tc>
          <w:tcPr>
            <w:tcW w:w="1138" w:type="dxa"/>
            <w:vMerge w:val="continue"/>
            <w:tcBorders>
              <w:top w:val="single" w:color="000000" w:sz="8" w:space="0"/>
              <w:left w:val="nil"/>
              <w:bottom w:val="single" w:color="auto" w:sz="4" w:space="0"/>
              <w:right w:val="nil"/>
            </w:tcBorders>
            <w:shd w:val="clear" w:color="auto" w:fill="auto"/>
            <w:vAlign w:val="center"/>
          </w:tcPr>
          <w:p>
            <w:pPr>
              <w:rPr>
                <w:rFonts w:cs="Times New Roman"/>
                <w:b/>
                <w:color w:val="000000"/>
                <w:szCs w:val="21"/>
              </w:rPr>
            </w:pPr>
          </w:p>
        </w:tc>
        <w:tc>
          <w:tcPr>
            <w:tcW w:w="1911" w:type="dxa"/>
            <w:tcBorders>
              <w:top w:val="single" w:color="auto" w:sz="4" w:space="0"/>
              <w:left w:val="nil"/>
              <w:bottom w:val="single" w:color="auto" w:sz="4" w:space="0"/>
              <w:right w:val="nil"/>
            </w:tcBorders>
            <w:shd w:val="clear" w:color="auto" w:fill="auto"/>
            <w:noWrap/>
          </w:tcPr>
          <w:p>
            <w:pPr>
              <w:rPr>
                <w:rFonts w:cs="Times New Roman"/>
                <w:b/>
                <w:color w:val="000000"/>
                <w:szCs w:val="21"/>
              </w:rPr>
            </w:pPr>
            <w:r>
              <w:rPr>
                <w:rFonts w:cs="Times New Roman"/>
                <w:b/>
                <w:color w:val="000000"/>
                <w:szCs w:val="21"/>
              </w:rPr>
              <w:t>Both</w:t>
            </w:r>
          </w:p>
        </w:tc>
        <w:tc>
          <w:tcPr>
            <w:tcW w:w="1843" w:type="dxa"/>
            <w:tcBorders>
              <w:top w:val="single" w:color="auto" w:sz="4" w:space="0"/>
              <w:left w:val="nil"/>
              <w:bottom w:val="single" w:color="auto" w:sz="4" w:space="0"/>
              <w:right w:val="nil"/>
            </w:tcBorders>
            <w:shd w:val="clear" w:color="auto" w:fill="auto"/>
            <w:noWrap/>
          </w:tcPr>
          <w:p>
            <w:pPr>
              <w:rPr>
                <w:rFonts w:cs="Times New Roman"/>
                <w:b/>
                <w:color w:val="000000"/>
                <w:szCs w:val="21"/>
              </w:rPr>
            </w:pPr>
            <w:r>
              <w:rPr>
                <w:rFonts w:cs="Times New Roman"/>
                <w:b/>
                <w:color w:val="000000"/>
                <w:szCs w:val="21"/>
              </w:rPr>
              <w:t>Male</w:t>
            </w:r>
          </w:p>
        </w:tc>
        <w:tc>
          <w:tcPr>
            <w:tcW w:w="1842" w:type="dxa"/>
            <w:tcBorders>
              <w:top w:val="single" w:color="auto" w:sz="4" w:space="0"/>
              <w:left w:val="nil"/>
              <w:bottom w:val="single" w:color="auto" w:sz="4" w:space="0"/>
              <w:right w:val="nil"/>
            </w:tcBorders>
            <w:shd w:val="clear" w:color="auto" w:fill="auto"/>
            <w:noWrap/>
          </w:tcPr>
          <w:p>
            <w:pPr>
              <w:rPr>
                <w:rFonts w:cs="Times New Roman"/>
                <w:b/>
                <w:color w:val="000000"/>
                <w:szCs w:val="21"/>
              </w:rPr>
            </w:pPr>
            <w:r>
              <w:rPr>
                <w:rFonts w:cs="Times New Roman"/>
                <w:b/>
                <w:color w:val="000000"/>
                <w:szCs w:val="21"/>
              </w:rPr>
              <w:t>Female</w:t>
            </w:r>
          </w:p>
        </w:tc>
      </w:tr>
      <w:tr>
        <w:tblPrEx>
          <w:tblCellMar>
            <w:top w:w="0" w:type="dxa"/>
            <w:left w:w="108" w:type="dxa"/>
            <w:bottom w:w="0" w:type="dxa"/>
            <w:right w:w="108" w:type="dxa"/>
          </w:tblCellMar>
        </w:tblPrEx>
        <w:trPr>
          <w:trHeight w:val="288" w:hRule="atLeast"/>
        </w:trPr>
        <w:tc>
          <w:tcPr>
            <w:tcW w:w="3472" w:type="dxa"/>
            <w:tcBorders>
              <w:top w:val="single" w:color="auto" w:sz="4" w:space="0"/>
              <w:left w:val="nil"/>
              <w:bottom w:val="nil"/>
              <w:right w:val="nil"/>
            </w:tcBorders>
            <w:shd w:val="clear" w:color="auto" w:fill="auto"/>
            <w:noWrap/>
          </w:tcPr>
          <w:p>
            <w:pPr>
              <w:rPr>
                <w:rFonts w:cs="Times New Roman"/>
                <w:b/>
                <w:color w:val="000000"/>
                <w:szCs w:val="21"/>
              </w:rPr>
            </w:pPr>
            <w:r>
              <w:rPr>
                <w:rFonts w:cs="Times New Roman"/>
                <w:b/>
                <w:color w:val="000000"/>
                <w:szCs w:val="21"/>
              </w:rPr>
              <w:t>PC1_Fat-to-lean mass</w:t>
            </w:r>
          </w:p>
        </w:tc>
        <w:tc>
          <w:tcPr>
            <w:tcW w:w="1138" w:type="dxa"/>
            <w:tcBorders>
              <w:top w:val="single" w:color="auto" w:sz="4" w:space="0"/>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single" w:color="auto" w:sz="4" w:space="0"/>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single" w:color="auto" w:sz="4" w:space="0"/>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single" w:color="auto" w:sz="4" w:space="0"/>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1.04 (0.79, 1.36)</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1.17 (0.83, 1.66)</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0.87 (0.56, 1.33)</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1.14 (0.87, 1.48)</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1.26 (0.89, 1.78)</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0.99 (0.65, 1.50)</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1.01 (0.98, 1.04)</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1.02 (0.99, 1.06)</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0.99 (0.94, 1.05)</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PC2_Lean mass</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0.94 (0.74, 1.21)</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0.86 (0.63, 1.18)</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1.09 (0.73, 1.64)</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0.84 (0.64, 1.10)</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0.76 (0.54, 1.07)</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0.97 (0.63, 1.48)</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0.94 (0.89, 0.99)</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0.92 (0.86, 0.98)</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0.97 (0.89, 1.06)</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PC3_Central obesity</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0.98 (0.75, 1.27)</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0.97 (0.69, 1.36)</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0.99 (0.65, 1.49)</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0.91 (0.69, 1.18)</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0.93 (0.66, 1.32)</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0.86 (0.56, 1.31)</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0.97 (0.90, 1.04)</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0.96 (0.87, 1.06)</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0.98 (0.88, 1.09)</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PC4_Muscle strength</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0.71 (0.55, 0.91)</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0.70 (0.51, 0.97)</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0.72 (0.49, 1.07)</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0.67 (0.51, 0.89)</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0.73 (0.52, 1.02)</w:t>
            </w:r>
          </w:p>
        </w:tc>
        <w:tc>
          <w:tcPr>
            <w:tcW w:w="1842"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0.59 (0.37, 0.93)</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CCECFF"/>
            <w:noWrap/>
            <w:vAlign w:val="bottom"/>
          </w:tcPr>
          <w:p>
            <w:pPr>
              <w:jc w:val="both"/>
              <w:rPr>
                <w:rFonts w:cs="Times New Roman"/>
                <w:color w:val="000000"/>
                <w:szCs w:val="21"/>
              </w:rPr>
            </w:pPr>
            <w:r>
              <w:rPr>
                <w:rFonts w:cs="Times New Roman"/>
                <w:color w:val="000000"/>
                <w:szCs w:val="21"/>
              </w:rPr>
              <w:t>0.89 (0.83, 0.95)</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0.88 (0.80, 0.96)</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0.90 (0.81, 1.01)</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PC5_Bone density</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0.75 (0.58, 0.96)</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0.75 (0.54, 1.04)</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0.74 (0.49, 1.09)</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0.84 (0.65, 1.08)</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0.90 (0.66, 1.25)</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0.73 (0.48, 1.10)</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0.95 (0.87, 1.04)</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(0.89, 1.11)</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0.88 (0.76, 1.02)</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PC6_Arm-dominant fat distribution</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0.89 (0.68, 1.16)</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1.08 (0.77, 1.53)</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0.65 (0.43, 1.00)</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1.21 (0.93, 1.57)</w:t>
            </w:r>
          </w:p>
        </w:tc>
        <w:tc>
          <w:tcPr>
            <w:tcW w:w="1843"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1.48 (1.05, 2.09)</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0.88 (0.59, 1.32)</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1.08 (0.99, 1.18)</w:t>
            </w:r>
          </w:p>
        </w:tc>
        <w:tc>
          <w:tcPr>
            <w:tcW w:w="1843"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1.12 (1.01, 1.24)</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0.99 (0.85, 1.15)</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PC7_Leg-dominant fat distribution</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0.72 (0.55, 0.94)</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0.60 (0.42, 0.85)</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0.94 (0.62, 1.42)</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1.02 (0.80, 1.31)</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1.05 (0.77, 1.44)</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(0.66, 1.51)</w:t>
            </w:r>
          </w:p>
        </w:tc>
      </w:tr>
      <w:tr>
        <w:tblPrEx>
          <w:tblCellMar>
            <w:top w:w="0" w:type="dxa"/>
            <w:left w:w="108" w:type="dxa"/>
            <w:bottom w:w="0" w:type="dxa"/>
            <w:right w:w="108" w:type="dxa"/>
          </w:tblCellMar>
        </w:tblPrEx>
        <w:trPr>
          <w:trHeight w:val="288" w:hRule="atLeast"/>
        </w:trPr>
        <w:tc>
          <w:tcPr>
            <w:tcW w:w="3472" w:type="dxa"/>
            <w:tcBorders>
              <w:top w:val="nil"/>
              <w:left w:val="nil"/>
              <w:bottom w:val="single" w:color="auto" w:sz="8" w:space="0"/>
              <w:right w:val="nil"/>
            </w:tcBorders>
            <w:shd w:val="clear" w:color="auto" w:fill="auto"/>
            <w:noWrap/>
          </w:tcPr>
          <w:p>
            <w:pPr>
              <w:rPr>
                <w:rFonts w:cs="Times New Roman"/>
                <w:color w:val="000000"/>
                <w:szCs w:val="21"/>
              </w:rPr>
            </w:pPr>
          </w:p>
        </w:tc>
        <w:tc>
          <w:tcPr>
            <w:tcW w:w="1138" w:type="dxa"/>
            <w:tcBorders>
              <w:top w:val="nil"/>
              <w:left w:val="nil"/>
              <w:bottom w:val="single" w:color="auto" w:sz="8" w:space="0"/>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single" w:color="auto" w:sz="8" w:space="0"/>
              <w:right w:val="nil"/>
            </w:tcBorders>
            <w:shd w:val="clear" w:color="auto" w:fill="auto"/>
            <w:noWrap/>
            <w:vAlign w:val="bottom"/>
          </w:tcPr>
          <w:p>
            <w:pPr>
              <w:rPr>
                <w:rFonts w:cs="Times New Roman"/>
                <w:color w:val="000000"/>
                <w:szCs w:val="21"/>
              </w:rPr>
            </w:pPr>
            <w:r>
              <w:rPr>
                <w:rFonts w:cs="Times New Roman"/>
                <w:color w:val="000000"/>
                <w:szCs w:val="21"/>
              </w:rPr>
              <w:t>0.99 (0.92, 1.07)</w:t>
            </w:r>
          </w:p>
        </w:tc>
        <w:tc>
          <w:tcPr>
            <w:tcW w:w="1843" w:type="dxa"/>
            <w:tcBorders>
              <w:top w:val="nil"/>
              <w:left w:val="nil"/>
              <w:bottom w:val="single" w:color="auto" w:sz="8" w:space="0"/>
              <w:right w:val="nil"/>
            </w:tcBorders>
            <w:shd w:val="clear" w:color="auto" w:fill="auto"/>
            <w:noWrap/>
            <w:vAlign w:val="bottom"/>
          </w:tcPr>
          <w:p>
            <w:pPr>
              <w:rPr>
                <w:rFonts w:cs="Times New Roman"/>
                <w:color w:val="000000"/>
                <w:szCs w:val="21"/>
              </w:rPr>
            </w:pPr>
            <w:r>
              <w:rPr>
                <w:rFonts w:cs="Times New Roman"/>
                <w:color w:val="000000"/>
                <w:szCs w:val="21"/>
              </w:rPr>
              <w:t>0.96 (0.87, 1.06)</w:t>
            </w:r>
          </w:p>
        </w:tc>
        <w:tc>
          <w:tcPr>
            <w:tcW w:w="1842" w:type="dxa"/>
            <w:tcBorders>
              <w:top w:val="nil"/>
              <w:left w:val="nil"/>
              <w:bottom w:val="single" w:color="auto" w:sz="8" w:space="0"/>
              <w:right w:val="nil"/>
            </w:tcBorders>
            <w:shd w:val="clear" w:color="auto" w:fill="auto"/>
            <w:noWrap/>
            <w:vAlign w:val="bottom"/>
          </w:tcPr>
          <w:p>
            <w:pPr>
              <w:rPr>
                <w:rFonts w:cs="Times New Roman"/>
                <w:color w:val="000000"/>
                <w:szCs w:val="21"/>
              </w:rPr>
            </w:pPr>
            <w:r>
              <w:rPr>
                <w:rFonts w:cs="Times New Roman"/>
                <w:color w:val="000000"/>
                <w:szCs w:val="21"/>
              </w:rPr>
              <w:t>1.05 (0.93, 1.18)</w:t>
            </w:r>
          </w:p>
        </w:tc>
      </w:tr>
    </w:tbl>
    <w:p>
      <w:pPr>
        <w:rPr>
          <w:rFonts w:cs="Times New Roman"/>
          <w:bCs/>
          <w:szCs w:val="21"/>
        </w:rPr>
        <w:sectPr>
          <w:pgSz w:w="11906" w:h="16838"/>
          <w:pgMar w:top="720" w:right="720" w:bottom="720" w:left="720" w:header="851" w:footer="992" w:gutter="0"/>
          <w:cols w:space="425" w:num="1"/>
          <w:docGrid w:type="lines" w:linePitch="326" w:charSpace="0"/>
        </w:sectPr>
      </w:pPr>
      <w:r>
        <w:rPr>
          <w:rFonts w:hint="eastAsia" w:cs="Times New Roman"/>
          <w:bCs/>
          <w:szCs w:val="21"/>
        </w:rPr>
        <w:t>Those results that reached statistical significance (i.e., p-value &lt;0.05 using the false discovery rate for adjustment of multiple testing) are marked with color, with blue denoting inverse associations and red denoting positive associations. HRs and 95% CIs were derived from Cox proportional hazards models with attained age as the timescale after adjusting for sex, ethnicity, age at recruitment, Townsend deprivation index, smoking status, average weekly alcohol intake, physical activity, and comorbidities. Abbreviations: HR, hazard ratio; CI, confidence interval; PC, principal component.</w:t>
      </w:r>
    </w:p>
    <w:p>
      <w:pPr>
        <w:pStyle w:val="49"/>
        <w:spacing w:line="360" w:lineRule="auto"/>
      </w:pPr>
      <w:bookmarkStart w:id="57" w:name="_Toc196124129"/>
      <w:bookmarkStart w:id="58" w:name="_Toc196123196"/>
      <w:bookmarkStart w:id="59" w:name="_Toc196124158"/>
      <w:r>
        <w:rPr>
          <w:rFonts w:hint="eastAsia"/>
        </w:rPr>
        <w:t>S14 Table. Sensitivity analyses of the associations between body composition patterns and risk of focal epilepsy.</w:t>
      </w:r>
      <w:bookmarkEnd w:id="57"/>
      <w:bookmarkEnd w:id="58"/>
      <w:bookmarkEnd w:id="59"/>
    </w:p>
    <w:tbl>
      <w:tblPr>
        <w:tblStyle w:val="25"/>
        <w:tblW w:w="0" w:type="auto"/>
        <w:tblInd w:w="0" w:type="dxa"/>
        <w:tblLayout w:type="fixed"/>
        <w:tblCellMar>
          <w:top w:w="0" w:type="dxa"/>
          <w:left w:w="108" w:type="dxa"/>
          <w:bottom w:w="0" w:type="dxa"/>
          <w:right w:w="108" w:type="dxa"/>
        </w:tblCellMar>
      </w:tblPr>
      <w:tblGrid>
        <w:gridCol w:w="3472"/>
        <w:gridCol w:w="1138"/>
        <w:gridCol w:w="1911"/>
        <w:gridCol w:w="1843"/>
        <w:gridCol w:w="1842"/>
      </w:tblGrid>
      <w:tr>
        <w:tblPrEx>
          <w:tblCellMar>
            <w:top w:w="0" w:type="dxa"/>
            <w:left w:w="108" w:type="dxa"/>
            <w:bottom w:w="0" w:type="dxa"/>
            <w:right w:w="108" w:type="dxa"/>
          </w:tblCellMar>
        </w:tblPrEx>
        <w:trPr>
          <w:trHeight w:val="300" w:hRule="atLeast"/>
        </w:trPr>
        <w:tc>
          <w:tcPr>
            <w:tcW w:w="3472" w:type="dxa"/>
            <w:vMerge w:val="restart"/>
            <w:tcBorders>
              <w:top w:val="single" w:color="auto" w:sz="8" w:space="0"/>
              <w:left w:val="nil"/>
              <w:bottom w:val="single" w:color="000000" w:sz="8" w:space="0"/>
              <w:right w:val="nil"/>
            </w:tcBorders>
            <w:shd w:val="clear" w:color="auto" w:fill="auto"/>
            <w:noWrap/>
            <w:vAlign w:val="center"/>
          </w:tcPr>
          <w:p>
            <w:pPr>
              <w:jc w:val="both"/>
              <w:rPr>
                <w:rFonts w:cs="Times New Roman"/>
                <w:b/>
                <w:color w:val="000000"/>
                <w:szCs w:val="21"/>
              </w:rPr>
            </w:pPr>
            <w:r>
              <w:rPr>
                <w:rFonts w:cs="Times New Roman"/>
                <w:b/>
                <w:color w:val="000000"/>
                <w:szCs w:val="21"/>
              </w:rPr>
              <w:t>Patterns of body composition</w:t>
            </w:r>
          </w:p>
        </w:tc>
        <w:tc>
          <w:tcPr>
            <w:tcW w:w="1138" w:type="dxa"/>
            <w:vMerge w:val="restart"/>
            <w:tcBorders>
              <w:top w:val="single" w:color="auto" w:sz="8" w:space="0"/>
              <w:left w:val="nil"/>
              <w:bottom w:val="single" w:color="000000" w:sz="8" w:space="0"/>
              <w:right w:val="nil"/>
            </w:tcBorders>
            <w:shd w:val="clear" w:color="auto" w:fill="auto"/>
            <w:noWrap/>
            <w:vAlign w:val="center"/>
          </w:tcPr>
          <w:p>
            <w:pPr>
              <w:jc w:val="both"/>
              <w:rPr>
                <w:rFonts w:cs="Times New Roman"/>
                <w:b/>
                <w:color w:val="000000"/>
                <w:szCs w:val="21"/>
              </w:rPr>
            </w:pPr>
            <w:r>
              <w:rPr>
                <w:rFonts w:cs="Times New Roman"/>
                <w:b/>
                <w:color w:val="000000"/>
                <w:szCs w:val="21"/>
              </w:rPr>
              <w:t>Level</w:t>
            </w:r>
          </w:p>
        </w:tc>
        <w:tc>
          <w:tcPr>
            <w:tcW w:w="5596" w:type="dxa"/>
            <w:gridSpan w:val="3"/>
            <w:tcBorders>
              <w:top w:val="single" w:color="auto" w:sz="8" w:space="0"/>
              <w:left w:val="nil"/>
              <w:bottom w:val="single" w:color="auto" w:sz="4" w:space="0"/>
              <w:right w:val="nil"/>
            </w:tcBorders>
            <w:shd w:val="clear" w:color="auto" w:fill="auto"/>
            <w:noWrap/>
          </w:tcPr>
          <w:p>
            <w:pPr>
              <w:jc w:val="center"/>
              <w:rPr>
                <w:rFonts w:cs="Times New Roman"/>
                <w:b/>
                <w:color w:val="000000"/>
                <w:szCs w:val="21"/>
              </w:rPr>
            </w:pPr>
            <w:r>
              <w:rPr>
                <w:rFonts w:cs="Times New Roman"/>
                <w:b/>
                <w:color w:val="000000"/>
                <w:szCs w:val="21"/>
              </w:rPr>
              <w:t>HR (95% CI)</w:t>
            </w:r>
          </w:p>
        </w:tc>
      </w:tr>
      <w:tr>
        <w:tblPrEx>
          <w:tblCellMar>
            <w:top w:w="0" w:type="dxa"/>
            <w:left w:w="108" w:type="dxa"/>
            <w:bottom w:w="0" w:type="dxa"/>
            <w:right w:w="108" w:type="dxa"/>
          </w:tblCellMar>
        </w:tblPrEx>
        <w:trPr>
          <w:trHeight w:val="303" w:hRule="atLeast"/>
        </w:trPr>
        <w:tc>
          <w:tcPr>
            <w:tcW w:w="3472" w:type="dxa"/>
            <w:vMerge w:val="continue"/>
            <w:tcBorders>
              <w:top w:val="single" w:color="000000" w:sz="8" w:space="0"/>
              <w:left w:val="nil"/>
              <w:bottom w:val="single" w:color="auto" w:sz="4" w:space="0"/>
              <w:right w:val="nil"/>
            </w:tcBorders>
            <w:shd w:val="clear" w:color="auto" w:fill="auto"/>
            <w:vAlign w:val="center"/>
          </w:tcPr>
          <w:p>
            <w:pPr>
              <w:rPr>
                <w:rFonts w:cs="Times New Roman"/>
                <w:b/>
                <w:color w:val="000000"/>
                <w:szCs w:val="21"/>
              </w:rPr>
            </w:pPr>
          </w:p>
        </w:tc>
        <w:tc>
          <w:tcPr>
            <w:tcW w:w="1138" w:type="dxa"/>
            <w:vMerge w:val="continue"/>
            <w:tcBorders>
              <w:top w:val="single" w:color="000000" w:sz="8" w:space="0"/>
              <w:left w:val="nil"/>
              <w:bottom w:val="single" w:color="auto" w:sz="4" w:space="0"/>
              <w:right w:val="nil"/>
            </w:tcBorders>
            <w:shd w:val="clear" w:color="auto" w:fill="auto"/>
            <w:vAlign w:val="center"/>
          </w:tcPr>
          <w:p>
            <w:pPr>
              <w:rPr>
                <w:rFonts w:cs="Times New Roman"/>
                <w:b/>
                <w:color w:val="000000"/>
                <w:szCs w:val="21"/>
              </w:rPr>
            </w:pPr>
          </w:p>
        </w:tc>
        <w:tc>
          <w:tcPr>
            <w:tcW w:w="1911" w:type="dxa"/>
            <w:tcBorders>
              <w:top w:val="single" w:color="auto" w:sz="4" w:space="0"/>
              <w:left w:val="nil"/>
              <w:bottom w:val="single" w:color="auto" w:sz="4" w:space="0"/>
              <w:right w:val="nil"/>
            </w:tcBorders>
            <w:shd w:val="clear" w:color="auto" w:fill="auto"/>
            <w:noWrap/>
          </w:tcPr>
          <w:p>
            <w:pPr>
              <w:rPr>
                <w:rFonts w:cs="Times New Roman"/>
                <w:b/>
                <w:color w:val="000000"/>
                <w:szCs w:val="21"/>
              </w:rPr>
            </w:pPr>
            <w:r>
              <w:rPr>
                <w:rFonts w:cs="Times New Roman"/>
                <w:b/>
                <w:color w:val="000000"/>
                <w:szCs w:val="21"/>
              </w:rPr>
              <w:t>Both</w:t>
            </w:r>
          </w:p>
        </w:tc>
        <w:tc>
          <w:tcPr>
            <w:tcW w:w="1843" w:type="dxa"/>
            <w:tcBorders>
              <w:top w:val="single" w:color="auto" w:sz="4" w:space="0"/>
              <w:left w:val="nil"/>
              <w:bottom w:val="single" w:color="auto" w:sz="4" w:space="0"/>
              <w:right w:val="nil"/>
            </w:tcBorders>
            <w:shd w:val="clear" w:color="auto" w:fill="auto"/>
            <w:noWrap/>
          </w:tcPr>
          <w:p>
            <w:pPr>
              <w:rPr>
                <w:rFonts w:cs="Times New Roman"/>
                <w:b/>
                <w:color w:val="000000"/>
                <w:szCs w:val="21"/>
              </w:rPr>
            </w:pPr>
            <w:r>
              <w:rPr>
                <w:rFonts w:cs="Times New Roman"/>
                <w:b/>
                <w:color w:val="000000"/>
                <w:szCs w:val="21"/>
              </w:rPr>
              <w:t>Male</w:t>
            </w:r>
          </w:p>
        </w:tc>
        <w:tc>
          <w:tcPr>
            <w:tcW w:w="1842" w:type="dxa"/>
            <w:tcBorders>
              <w:top w:val="single" w:color="auto" w:sz="4" w:space="0"/>
              <w:left w:val="nil"/>
              <w:bottom w:val="single" w:color="auto" w:sz="4" w:space="0"/>
              <w:right w:val="nil"/>
            </w:tcBorders>
            <w:shd w:val="clear" w:color="auto" w:fill="auto"/>
            <w:noWrap/>
          </w:tcPr>
          <w:p>
            <w:pPr>
              <w:rPr>
                <w:rFonts w:cs="Times New Roman"/>
                <w:b/>
                <w:color w:val="000000"/>
                <w:szCs w:val="21"/>
              </w:rPr>
            </w:pPr>
            <w:r>
              <w:rPr>
                <w:rFonts w:cs="Times New Roman"/>
                <w:b/>
                <w:color w:val="000000"/>
                <w:szCs w:val="21"/>
              </w:rPr>
              <w:t>Female</w:t>
            </w:r>
          </w:p>
        </w:tc>
      </w:tr>
      <w:tr>
        <w:tblPrEx>
          <w:tblCellMar>
            <w:top w:w="0" w:type="dxa"/>
            <w:left w:w="108" w:type="dxa"/>
            <w:bottom w:w="0" w:type="dxa"/>
            <w:right w:w="108" w:type="dxa"/>
          </w:tblCellMar>
        </w:tblPrEx>
        <w:trPr>
          <w:trHeight w:val="288" w:hRule="atLeast"/>
        </w:trPr>
        <w:tc>
          <w:tcPr>
            <w:tcW w:w="3472" w:type="dxa"/>
            <w:tcBorders>
              <w:top w:val="single" w:color="auto" w:sz="4" w:space="0"/>
              <w:left w:val="nil"/>
              <w:bottom w:val="nil"/>
              <w:right w:val="nil"/>
            </w:tcBorders>
            <w:shd w:val="clear" w:color="auto" w:fill="auto"/>
            <w:noWrap/>
          </w:tcPr>
          <w:p>
            <w:pPr>
              <w:rPr>
                <w:rFonts w:cs="Times New Roman"/>
                <w:b/>
                <w:color w:val="000000"/>
                <w:szCs w:val="21"/>
              </w:rPr>
            </w:pPr>
            <w:r>
              <w:rPr>
                <w:rFonts w:cs="Times New Roman"/>
                <w:b/>
                <w:color w:val="000000"/>
                <w:szCs w:val="21"/>
              </w:rPr>
              <w:t>PC1_Fat-to-lean mass</w:t>
            </w:r>
          </w:p>
        </w:tc>
        <w:tc>
          <w:tcPr>
            <w:tcW w:w="1138" w:type="dxa"/>
            <w:tcBorders>
              <w:top w:val="single" w:color="auto" w:sz="4" w:space="0"/>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single" w:color="auto" w:sz="4" w:space="0"/>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single" w:color="auto" w:sz="4" w:space="0"/>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single" w:color="auto" w:sz="4" w:space="0"/>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0.91 (0.69, 1.20)</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0.83 (0.57, 1.22)</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1.02 (0.68, 1.53)</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1.05 (0.80, 1.38)</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1.07 (0.74, 1.55)</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1.06 (0.71, 1.60)</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1.01 (0.98, 1.05)</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1.03 (0.99, 1.07)</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(0.95, 1.05)</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PC2_Lean mass</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1.16 (0.89, 1.51)</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1.22 (0.85, 1.76)</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1.11 (0.76, 1.61)</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1.04 (0.78, 1.37)</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1.21 (0.82, 1.78)</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0.90 (0.60, 1.35)</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0.99 (0.94, 1.05)</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1.01 (0.94, 1.08)</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0.98 (0.90, 1.06)</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PC3_Central obesity</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1.12 (0.85, 1.48)</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0.90 (0.62, 1.30)</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1.53 (1.00, 2.35)</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0.98 (0.74, 1.29)</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0.69 (0.47, 1.02)</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1.48 (0.97, 2.28)</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0.99 (0.92, 1.06)</w:t>
            </w:r>
          </w:p>
        </w:tc>
        <w:tc>
          <w:tcPr>
            <w:tcW w:w="1843"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0.89 (0.80, 1.00)</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1.07 (0.97, 1.18)</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PC4_Muscle strength</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0.97 (0.75, 1.24)</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0.84 (0.59, 1.19)</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1.14 (0.80, 1.63)</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0.79 (0.59, 1.05)</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0.75 (0.51, 1.10)</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0.86 (0.56, 1.34)</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auto"/>
            <w:noWrap/>
            <w:vAlign w:val="bottom"/>
          </w:tcPr>
          <w:p>
            <w:pPr>
              <w:jc w:val="both"/>
              <w:rPr>
                <w:rFonts w:cs="Times New Roman"/>
                <w:color w:val="000000"/>
                <w:szCs w:val="21"/>
              </w:rPr>
            </w:pPr>
            <w:r>
              <w:rPr>
                <w:rFonts w:cs="Times New Roman"/>
                <w:color w:val="000000"/>
                <w:szCs w:val="21"/>
              </w:rPr>
              <w:t>0.98 (0.91, 1.05)</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0.96 (0.87, 1.07)</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(0.90, 1.12)</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PC5_Bone density</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1.05 (0.81, 1.36)</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1.16 (0.81, 1.66)</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0.93 (0.63, 1.38)</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1.06 (0.81, 1.39)</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0.97 (0.66, 1.42)</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1.18 (0.81, 1.74)</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1.01 (0.93, 1.10)</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0.97 (0.86, 1.10)</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1.07 (0.94, 1.21)</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PC6_Arm-dominant fat distribution</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1.23 (0.94, 1.62)</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1.21 (0.83, 1.76)</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1.24 (0.84, 1.83)</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1.42 (1.08, 1.87)</w:t>
            </w:r>
          </w:p>
        </w:tc>
        <w:tc>
          <w:tcPr>
            <w:tcW w:w="1843" w:type="dxa"/>
            <w:tcBorders>
              <w:top w:val="nil"/>
              <w:left w:val="nil"/>
              <w:bottom w:val="nil"/>
              <w:right w:val="nil"/>
            </w:tcBorders>
            <w:shd w:val="clear" w:color="auto" w:fill="FFCCCC"/>
            <w:noWrap/>
            <w:vAlign w:val="bottom"/>
          </w:tcPr>
          <w:p>
            <w:pPr>
              <w:rPr>
                <w:rFonts w:cs="Times New Roman"/>
                <w:color w:val="000000"/>
                <w:szCs w:val="21"/>
              </w:rPr>
            </w:pPr>
            <w:r>
              <w:rPr>
                <w:rFonts w:cs="Times New Roman"/>
                <w:color w:val="000000"/>
                <w:szCs w:val="21"/>
              </w:rPr>
              <w:t>1.50 (1.02, 2.20)</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1.30 (0.87, 1.95)</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1.07 (0.97, 1.17)</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1.09 (0.97, 1.23)</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1.02 (0.89, 1.18)</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b/>
                <w:color w:val="000000"/>
                <w:szCs w:val="21"/>
              </w:rPr>
            </w:pPr>
            <w:r>
              <w:rPr>
                <w:rFonts w:cs="Times New Roman"/>
                <w:b/>
                <w:color w:val="000000"/>
                <w:szCs w:val="21"/>
              </w:rPr>
              <w:t>PC7_Leg-dominant fat distribution</w:t>
            </w: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low</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1.00 (Ref)</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moderate</w:t>
            </w:r>
          </w:p>
        </w:tc>
        <w:tc>
          <w:tcPr>
            <w:tcW w:w="1911"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0.89 (0.68, 1.15)</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0.73 (0.51, 1.05)</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1.09 (0.75, 1.59)</w:t>
            </w:r>
          </w:p>
        </w:tc>
      </w:tr>
      <w:tr>
        <w:tblPrEx>
          <w:tblCellMar>
            <w:top w:w="0" w:type="dxa"/>
            <w:left w:w="108" w:type="dxa"/>
            <w:bottom w:w="0" w:type="dxa"/>
            <w:right w:w="108" w:type="dxa"/>
          </w:tblCellMar>
        </w:tblPrEx>
        <w:trPr>
          <w:trHeight w:val="288" w:hRule="atLeast"/>
        </w:trPr>
        <w:tc>
          <w:tcPr>
            <w:tcW w:w="3472" w:type="dxa"/>
            <w:tcBorders>
              <w:top w:val="nil"/>
              <w:left w:val="nil"/>
              <w:bottom w:val="nil"/>
              <w:right w:val="nil"/>
            </w:tcBorders>
            <w:shd w:val="clear" w:color="auto" w:fill="auto"/>
            <w:noWrap/>
          </w:tcPr>
          <w:p>
            <w:pPr>
              <w:rPr>
                <w:rFonts w:cs="Times New Roman"/>
                <w:color w:val="000000"/>
                <w:szCs w:val="21"/>
              </w:rPr>
            </w:pPr>
          </w:p>
        </w:tc>
        <w:tc>
          <w:tcPr>
            <w:tcW w:w="1138" w:type="dxa"/>
            <w:tcBorders>
              <w:top w:val="nil"/>
              <w:left w:val="nil"/>
              <w:bottom w:val="nil"/>
              <w:right w:val="nil"/>
            </w:tcBorders>
            <w:shd w:val="clear" w:color="auto" w:fill="auto"/>
            <w:noWrap/>
          </w:tcPr>
          <w:p>
            <w:pPr>
              <w:rPr>
                <w:rFonts w:cs="Times New Roman"/>
                <w:color w:val="000000"/>
                <w:szCs w:val="21"/>
              </w:rPr>
            </w:pPr>
            <w:r>
              <w:rPr>
                <w:rFonts w:cs="Times New Roman"/>
                <w:color w:val="000000"/>
                <w:szCs w:val="21"/>
              </w:rPr>
              <w:t>high</w:t>
            </w:r>
          </w:p>
        </w:tc>
        <w:tc>
          <w:tcPr>
            <w:tcW w:w="1911" w:type="dxa"/>
            <w:tcBorders>
              <w:top w:val="nil"/>
              <w:left w:val="nil"/>
              <w:bottom w:val="nil"/>
              <w:right w:val="nil"/>
            </w:tcBorders>
            <w:shd w:val="clear" w:color="auto" w:fill="CCECFF"/>
            <w:noWrap/>
            <w:vAlign w:val="bottom"/>
          </w:tcPr>
          <w:p>
            <w:pPr>
              <w:rPr>
                <w:rFonts w:cs="Times New Roman"/>
                <w:color w:val="000000"/>
                <w:szCs w:val="21"/>
              </w:rPr>
            </w:pPr>
            <w:r>
              <w:rPr>
                <w:rFonts w:cs="Times New Roman"/>
                <w:color w:val="000000"/>
                <w:szCs w:val="21"/>
              </w:rPr>
              <w:t>0.75 (0.57, 0.98)</w:t>
            </w:r>
          </w:p>
        </w:tc>
        <w:tc>
          <w:tcPr>
            <w:tcW w:w="1843"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0.76 (0.53, 1.10)</w:t>
            </w:r>
          </w:p>
        </w:tc>
        <w:tc>
          <w:tcPr>
            <w:tcW w:w="1842" w:type="dxa"/>
            <w:tcBorders>
              <w:top w:val="nil"/>
              <w:left w:val="nil"/>
              <w:bottom w:val="nil"/>
              <w:right w:val="nil"/>
            </w:tcBorders>
            <w:shd w:val="clear" w:color="auto" w:fill="auto"/>
            <w:noWrap/>
            <w:vAlign w:val="bottom"/>
          </w:tcPr>
          <w:p>
            <w:pPr>
              <w:rPr>
                <w:rFonts w:cs="Times New Roman"/>
                <w:color w:val="000000"/>
                <w:szCs w:val="21"/>
              </w:rPr>
            </w:pPr>
            <w:r>
              <w:rPr>
                <w:rFonts w:cs="Times New Roman"/>
                <w:color w:val="000000"/>
                <w:szCs w:val="21"/>
              </w:rPr>
              <w:t>0.75 (0.50, 1.14)</w:t>
            </w:r>
          </w:p>
        </w:tc>
      </w:tr>
      <w:tr>
        <w:tblPrEx>
          <w:tblCellMar>
            <w:top w:w="0" w:type="dxa"/>
            <w:left w:w="108" w:type="dxa"/>
            <w:bottom w:w="0" w:type="dxa"/>
            <w:right w:w="108" w:type="dxa"/>
          </w:tblCellMar>
        </w:tblPrEx>
        <w:trPr>
          <w:trHeight w:val="288" w:hRule="atLeast"/>
        </w:trPr>
        <w:tc>
          <w:tcPr>
            <w:tcW w:w="3472" w:type="dxa"/>
            <w:tcBorders>
              <w:top w:val="nil"/>
              <w:left w:val="nil"/>
              <w:bottom w:val="single" w:color="auto" w:sz="8" w:space="0"/>
              <w:right w:val="nil"/>
            </w:tcBorders>
            <w:shd w:val="clear" w:color="auto" w:fill="auto"/>
            <w:noWrap/>
          </w:tcPr>
          <w:p>
            <w:pPr>
              <w:rPr>
                <w:rFonts w:cs="Times New Roman"/>
                <w:color w:val="000000"/>
                <w:szCs w:val="21"/>
              </w:rPr>
            </w:pPr>
          </w:p>
        </w:tc>
        <w:tc>
          <w:tcPr>
            <w:tcW w:w="1138" w:type="dxa"/>
            <w:tcBorders>
              <w:top w:val="nil"/>
              <w:left w:val="nil"/>
              <w:bottom w:val="single" w:color="auto" w:sz="8" w:space="0"/>
              <w:right w:val="nil"/>
            </w:tcBorders>
            <w:shd w:val="clear" w:color="auto" w:fill="auto"/>
            <w:noWrap/>
          </w:tcPr>
          <w:p>
            <w:pPr>
              <w:rPr>
                <w:rFonts w:cs="Times New Roman"/>
                <w:color w:val="000000"/>
                <w:szCs w:val="21"/>
              </w:rPr>
            </w:pPr>
            <w:r>
              <w:rPr>
                <w:rFonts w:cs="Times New Roman"/>
                <w:color w:val="000000"/>
                <w:szCs w:val="21"/>
              </w:rPr>
              <w:t>continuous</w:t>
            </w:r>
          </w:p>
        </w:tc>
        <w:tc>
          <w:tcPr>
            <w:tcW w:w="1911" w:type="dxa"/>
            <w:tcBorders>
              <w:top w:val="nil"/>
              <w:left w:val="nil"/>
              <w:bottom w:val="single" w:color="auto" w:sz="8" w:space="0"/>
              <w:right w:val="nil"/>
            </w:tcBorders>
            <w:shd w:val="clear" w:color="auto" w:fill="auto"/>
            <w:noWrap/>
            <w:vAlign w:val="bottom"/>
          </w:tcPr>
          <w:p>
            <w:pPr>
              <w:rPr>
                <w:rFonts w:cs="Times New Roman"/>
                <w:color w:val="000000"/>
                <w:szCs w:val="21"/>
              </w:rPr>
            </w:pPr>
            <w:r>
              <w:rPr>
                <w:rFonts w:cs="Times New Roman"/>
                <w:color w:val="000000"/>
                <w:szCs w:val="21"/>
              </w:rPr>
              <w:t>0.92 (0.85, 1.00)</w:t>
            </w:r>
          </w:p>
        </w:tc>
        <w:tc>
          <w:tcPr>
            <w:tcW w:w="1843" w:type="dxa"/>
            <w:tcBorders>
              <w:top w:val="nil"/>
              <w:left w:val="nil"/>
              <w:bottom w:val="single" w:color="auto" w:sz="8" w:space="0"/>
              <w:right w:val="nil"/>
            </w:tcBorders>
            <w:shd w:val="clear" w:color="auto" w:fill="auto"/>
            <w:noWrap/>
            <w:vAlign w:val="bottom"/>
          </w:tcPr>
          <w:p>
            <w:pPr>
              <w:rPr>
                <w:rFonts w:cs="Times New Roman"/>
                <w:color w:val="000000"/>
                <w:szCs w:val="21"/>
              </w:rPr>
            </w:pPr>
            <w:r>
              <w:rPr>
                <w:rFonts w:cs="Times New Roman"/>
                <w:color w:val="000000"/>
                <w:szCs w:val="21"/>
              </w:rPr>
              <w:t>0.90 (0.80, 1.01)</w:t>
            </w:r>
          </w:p>
        </w:tc>
        <w:tc>
          <w:tcPr>
            <w:tcW w:w="1842" w:type="dxa"/>
            <w:tcBorders>
              <w:top w:val="nil"/>
              <w:left w:val="nil"/>
              <w:bottom w:val="single" w:color="auto" w:sz="8" w:space="0"/>
              <w:right w:val="nil"/>
            </w:tcBorders>
            <w:shd w:val="clear" w:color="auto" w:fill="auto"/>
            <w:noWrap/>
            <w:vAlign w:val="bottom"/>
          </w:tcPr>
          <w:p>
            <w:pPr>
              <w:rPr>
                <w:rFonts w:cs="Times New Roman"/>
                <w:color w:val="000000"/>
                <w:szCs w:val="21"/>
              </w:rPr>
            </w:pPr>
            <w:r>
              <w:rPr>
                <w:rFonts w:cs="Times New Roman"/>
                <w:color w:val="000000"/>
                <w:szCs w:val="21"/>
              </w:rPr>
              <w:t>0.95 (0.84, 1.07)</w:t>
            </w:r>
          </w:p>
        </w:tc>
      </w:tr>
    </w:tbl>
    <w:p>
      <w:pPr>
        <w:rPr>
          <w:rFonts w:cs="Times New Roman"/>
          <w:szCs w:val="21"/>
        </w:rPr>
      </w:pPr>
      <w:r>
        <w:rPr>
          <w:rFonts w:hint="eastAsia" w:cs="Times New Roman"/>
          <w:bCs/>
          <w:szCs w:val="21"/>
        </w:rPr>
        <w:t>Those results that reached statistical significance (i.e., p-value &lt;0.05 using the false discovery rate for adjustment of multiple testing) are marked with color, with blue denoting inverse associations and red denoting positive associations. HRs and 95% CIs were derived from Cox proportional hazards models with attained age as the timescale after adjusting for sex, ethnicity, age at recruitment, Townsend deprivation index, smoking status, average weekly alcohol intake, physical activity, and comorbidities. Abbreviations: HR, hazard ratio; CI, confidence interval; PC, principal component.</w:t>
      </w:r>
      <w:r>
        <w:rPr>
          <w:rFonts w:hint="eastAsia" w:cs="Times New Roman"/>
          <w:szCs w:val="21"/>
        </w:rPr>
        <w:t xml:space="preserve"> </w:t>
      </w:r>
    </w:p>
    <w:sectPr>
      <w:pgSz w:w="11906" w:h="16838"/>
      <w:pgMar w:top="720" w:right="720" w:bottom="720" w:left="72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7583525"/>
      <w:docPartObj>
        <w:docPartGallery w:val="autotext"/>
      </w:docPartObj>
    </w:sdtPr>
    <w:sdtContent>
      <w:sdt>
        <w:sdtPr>
          <w:id w:val="1728636285"/>
          <w:docPartObj>
            <w:docPartGallery w:val="autotext"/>
          </w:docPartObj>
        </w:sdtPr>
        <w:sdtContent>
          <w:p>
            <w:pPr>
              <w:pStyle w:val="15"/>
              <w:jc w:val="center"/>
              <w:rPr>
                <w:rFonts w:hint="eastAsia"/>
              </w:rP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15"/>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U4YTM5YzE1OWU0MzIxODZmNjQ5MDZhZGExZjhiMzUifQ=="/>
    <w:docVar w:name="KSO_WPS_MARK_KEY" w:val="bc3c82ca-3726-4747-9d21-b576d6a2aa1b"/>
  </w:docVars>
  <w:rsids>
    <w:rsidRoot w:val="00E442D2"/>
    <w:rsid w:val="000111E1"/>
    <w:rsid w:val="00013A3E"/>
    <w:rsid w:val="0002091E"/>
    <w:rsid w:val="000215A4"/>
    <w:rsid w:val="000215FF"/>
    <w:rsid w:val="0002172D"/>
    <w:rsid w:val="0003064C"/>
    <w:rsid w:val="00031074"/>
    <w:rsid w:val="00050EDC"/>
    <w:rsid w:val="0005510A"/>
    <w:rsid w:val="00055FD3"/>
    <w:rsid w:val="00056CCA"/>
    <w:rsid w:val="0006435C"/>
    <w:rsid w:val="00065544"/>
    <w:rsid w:val="00071E49"/>
    <w:rsid w:val="00072A00"/>
    <w:rsid w:val="00073F2D"/>
    <w:rsid w:val="00077EA0"/>
    <w:rsid w:val="00080C9A"/>
    <w:rsid w:val="000927A4"/>
    <w:rsid w:val="000A380B"/>
    <w:rsid w:val="000A4617"/>
    <w:rsid w:val="000B09ED"/>
    <w:rsid w:val="000B374C"/>
    <w:rsid w:val="000B402E"/>
    <w:rsid w:val="000B5234"/>
    <w:rsid w:val="000B747F"/>
    <w:rsid w:val="000D081A"/>
    <w:rsid w:val="000D25F0"/>
    <w:rsid w:val="000D3249"/>
    <w:rsid w:val="000D43A3"/>
    <w:rsid w:val="000D448B"/>
    <w:rsid w:val="000D5806"/>
    <w:rsid w:val="000D5EA8"/>
    <w:rsid w:val="000D6290"/>
    <w:rsid w:val="000D6CFD"/>
    <w:rsid w:val="000E2634"/>
    <w:rsid w:val="000E2B0D"/>
    <w:rsid w:val="000E64B5"/>
    <w:rsid w:val="000F3E48"/>
    <w:rsid w:val="000F4B75"/>
    <w:rsid w:val="000F56CD"/>
    <w:rsid w:val="000F56E4"/>
    <w:rsid w:val="000F6226"/>
    <w:rsid w:val="00100084"/>
    <w:rsid w:val="00104E71"/>
    <w:rsid w:val="0010547D"/>
    <w:rsid w:val="00113CFF"/>
    <w:rsid w:val="00113DFB"/>
    <w:rsid w:val="00114BA7"/>
    <w:rsid w:val="00116953"/>
    <w:rsid w:val="001222DD"/>
    <w:rsid w:val="001228C9"/>
    <w:rsid w:val="00127B73"/>
    <w:rsid w:val="001347E5"/>
    <w:rsid w:val="0015448C"/>
    <w:rsid w:val="00155F6E"/>
    <w:rsid w:val="0016307E"/>
    <w:rsid w:val="00164707"/>
    <w:rsid w:val="001759D7"/>
    <w:rsid w:val="00184990"/>
    <w:rsid w:val="00186274"/>
    <w:rsid w:val="00195AEC"/>
    <w:rsid w:val="00197E1D"/>
    <w:rsid w:val="001A44F9"/>
    <w:rsid w:val="001A6548"/>
    <w:rsid w:val="001B0C83"/>
    <w:rsid w:val="001B12A5"/>
    <w:rsid w:val="001B253F"/>
    <w:rsid w:val="001B49D5"/>
    <w:rsid w:val="001B5A55"/>
    <w:rsid w:val="001C4C38"/>
    <w:rsid w:val="001D480D"/>
    <w:rsid w:val="001D5956"/>
    <w:rsid w:val="001D7590"/>
    <w:rsid w:val="001E56E8"/>
    <w:rsid w:val="001F08AA"/>
    <w:rsid w:val="001F119B"/>
    <w:rsid w:val="001F2AE6"/>
    <w:rsid w:val="00202B66"/>
    <w:rsid w:val="00205BDB"/>
    <w:rsid w:val="00212146"/>
    <w:rsid w:val="002150FF"/>
    <w:rsid w:val="00215C1F"/>
    <w:rsid w:val="00217CE9"/>
    <w:rsid w:val="00220A75"/>
    <w:rsid w:val="00225CAE"/>
    <w:rsid w:val="00230798"/>
    <w:rsid w:val="002313F0"/>
    <w:rsid w:val="00233B47"/>
    <w:rsid w:val="0024018C"/>
    <w:rsid w:val="00242688"/>
    <w:rsid w:val="0024480A"/>
    <w:rsid w:val="002528E5"/>
    <w:rsid w:val="00252C7D"/>
    <w:rsid w:val="002625DB"/>
    <w:rsid w:val="00264B1A"/>
    <w:rsid w:val="00264E3A"/>
    <w:rsid w:val="002700DD"/>
    <w:rsid w:val="00274952"/>
    <w:rsid w:val="00282CED"/>
    <w:rsid w:val="0028396B"/>
    <w:rsid w:val="002847BC"/>
    <w:rsid w:val="002856D3"/>
    <w:rsid w:val="00287FC9"/>
    <w:rsid w:val="00290357"/>
    <w:rsid w:val="0029101A"/>
    <w:rsid w:val="00293085"/>
    <w:rsid w:val="002A05A7"/>
    <w:rsid w:val="002A1930"/>
    <w:rsid w:val="002A41BF"/>
    <w:rsid w:val="002A529B"/>
    <w:rsid w:val="002B2133"/>
    <w:rsid w:val="002B6F4C"/>
    <w:rsid w:val="002B735D"/>
    <w:rsid w:val="002C762C"/>
    <w:rsid w:val="002D01A1"/>
    <w:rsid w:val="002D5F58"/>
    <w:rsid w:val="002D6F81"/>
    <w:rsid w:val="002E34A5"/>
    <w:rsid w:val="002E4F40"/>
    <w:rsid w:val="002E78C5"/>
    <w:rsid w:val="002F7D11"/>
    <w:rsid w:val="003063FC"/>
    <w:rsid w:val="00313264"/>
    <w:rsid w:val="003146C7"/>
    <w:rsid w:val="00323815"/>
    <w:rsid w:val="00327661"/>
    <w:rsid w:val="00335AF6"/>
    <w:rsid w:val="0035558C"/>
    <w:rsid w:val="003627B7"/>
    <w:rsid w:val="0036543E"/>
    <w:rsid w:val="00372DFD"/>
    <w:rsid w:val="00376AE2"/>
    <w:rsid w:val="003A03AE"/>
    <w:rsid w:val="003A4703"/>
    <w:rsid w:val="003A6F67"/>
    <w:rsid w:val="003A7343"/>
    <w:rsid w:val="003A7E9A"/>
    <w:rsid w:val="003B1057"/>
    <w:rsid w:val="003B3EEB"/>
    <w:rsid w:val="003C05BC"/>
    <w:rsid w:val="003C1EE3"/>
    <w:rsid w:val="003C306C"/>
    <w:rsid w:val="003C3DAF"/>
    <w:rsid w:val="003C4C22"/>
    <w:rsid w:val="003C6A90"/>
    <w:rsid w:val="003D1ECE"/>
    <w:rsid w:val="003D2DD6"/>
    <w:rsid w:val="003D314A"/>
    <w:rsid w:val="003D6D92"/>
    <w:rsid w:val="003D7872"/>
    <w:rsid w:val="003F4477"/>
    <w:rsid w:val="004116DD"/>
    <w:rsid w:val="00412933"/>
    <w:rsid w:val="00413B6B"/>
    <w:rsid w:val="004148D1"/>
    <w:rsid w:val="0042533B"/>
    <w:rsid w:val="00434EA4"/>
    <w:rsid w:val="00436BFB"/>
    <w:rsid w:val="00440A0F"/>
    <w:rsid w:val="00441450"/>
    <w:rsid w:val="00460374"/>
    <w:rsid w:val="0046097B"/>
    <w:rsid w:val="00461917"/>
    <w:rsid w:val="00464E80"/>
    <w:rsid w:val="004715E2"/>
    <w:rsid w:val="00475835"/>
    <w:rsid w:val="004771DF"/>
    <w:rsid w:val="00484557"/>
    <w:rsid w:val="0048636F"/>
    <w:rsid w:val="0048781A"/>
    <w:rsid w:val="00491F81"/>
    <w:rsid w:val="0049264A"/>
    <w:rsid w:val="00492E19"/>
    <w:rsid w:val="00494BD6"/>
    <w:rsid w:val="00497D8C"/>
    <w:rsid w:val="004A473B"/>
    <w:rsid w:val="004A4BB3"/>
    <w:rsid w:val="004A7C60"/>
    <w:rsid w:val="004C1C15"/>
    <w:rsid w:val="004C3DCA"/>
    <w:rsid w:val="004C421B"/>
    <w:rsid w:val="004C6CF5"/>
    <w:rsid w:val="004C6D4C"/>
    <w:rsid w:val="004D1053"/>
    <w:rsid w:val="004D23A9"/>
    <w:rsid w:val="004D5480"/>
    <w:rsid w:val="004D78E5"/>
    <w:rsid w:val="004E15E6"/>
    <w:rsid w:val="004E3342"/>
    <w:rsid w:val="004F6F65"/>
    <w:rsid w:val="004F754F"/>
    <w:rsid w:val="00510067"/>
    <w:rsid w:val="0051230B"/>
    <w:rsid w:val="00520FE2"/>
    <w:rsid w:val="00525A8D"/>
    <w:rsid w:val="005425A4"/>
    <w:rsid w:val="00551BA1"/>
    <w:rsid w:val="00551ECC"/>
    <w:rsid w:val="00554C1B"/>
    <w:rsid w:val="00555094"/>
    <w:rsid w:val="00556861"/>
    <w:rsid w:val="00565123"/>
    <w:rsid w:val="0056539F"/>
    <w:rsid w:val="00565688"/>
    <w:rsid w:val="00570A95"/>
    <w:rsid w:val="0057466A"/>
    <w:rsid w:val="00580AAA"/>
    <w:rsid w:val="00584C42"/>
    <w:rsid w:val="00586960"/>
    <w:rsid w:val="00586CFA"/>
    <w:rsid w:val="00591C0F"/>
    <w:rsid w:val="005942AE"/>
    <w:rsid w:val="005A02B3"/>
    <w:rsid w:val="005A47DD"/>
    <w:rsid w:val="005A5B2C"/>
    <w:rsid w:val="005B00E8"/>
    <w:rsid w:val="005C004D"/>
    <w:rsid w:val="005C0590"/>
    <w:rsid w:val="005C413E"/>
    <w:rsid w:val="005D0F23"/>
    <w:rsid w:val="005E13E0"/>
    <w:rsid w:val="005E39DB"/>
    <w:rsid w:val="005F4C0D"/>
    <w:rsid w:val="005F7382"/>
    <w:rsid w:val="00603203"/>
    <w:rsid w:val="0060508A"/>
    <w:rsid w:val="00627FA2"/>
    <w:rsid w:val="00635C7A"/>
    <w:rsid w:val="00650272"/>
    <w:rsid w:val="0065286B"/>
    <w:rsid w:val="00660ADB"/>
    <w:rsid w:val="006616A3"/>
    <w:rsid w:val="00683991"/>
    <w:rsid w:val="0068508D"/>
    <w:rsid w:val="0069081B"/>
    <w:rsid w:val="006916A4"/>
    <w:rsid w:val="006A0FE2"/>
    <w:rsid w:val="006A43F6"/>
    <w:rsid w:val="006B44F8"/>
    <w:rsid w:val="006B703C"/>
    <w:rsid w:val="006C10D1"/>
    <w:rsid w:val="006C10EB"/>
    <w:rsid w:val="006C10F2"/>
    <w:rsid w:val="006C186A"/>
    <w:rsid w:val="006C6F23"/>
    <w:rsid w:val="006D0DC6"/>
    <w:rsid w:val="006D50E1"/>
    <w:rsid w:val="006D7EDC"/>
    <w:rsid w:val="006E2DEA"/>
    <w:rsid w:val="006E3ED2"/>
    <w:rsid w:val="006E4C00"/>
    <w:rsid w:val="006E68A5"/>
    <w:rsid w:val="006F1B61"/>
    <w:rsid w:val="006F20D4"/>
    <w:rsid w:val="006F4B6C"/>
    <w:rsid w:val="006F517A"/>
    <w:rsid w:val="006F6410"/>
    <w:rsid w:val="006F76B5"/>
    <w:rsid w:val="00700878"/>
    <w:rsid w:val="00701928"/>
    <w:rsid w:val="007020ED"/>
    <w:rsid w:val="00705377"/>
    <w:rsid w:val="007079C1"/>
    <w:rsid w:val="00711DEB"/>
    <w:rsid w:val="00721758"/>
    <w:rsid w:val="00726FAC"/>
    <w:rsid w:val="0072781D"/>
    <w:rsid w:val="007323D8"/>
    <w:rsid w:val="00737480"/>
    <w:rsid w:val="007451FF"/>
    <w:rsid w:val="0074697C"/>
    <w:rsid w:val="00751194"/>
    <w:rsid w:val="00754E24"/>
    <w:rsid w:val="007568C1"/>
    <w:rsid w:val="00756C0F"/>
    <w:rsid w:val="007626DB"/>
    <w:rsid w:val="00762AA6"/>
    <w:rsid w:val="00776BE7"/>
    <w:rsid w:val="007A3169"/>
    <w:rsid w:val="007B2238"/>
    <w:rsid w:val="007C1310"/>
    <w:rsid w:val="007C4162"/>
    <w:rsid w:val="007D06B1"/>
    <w:rsid w:val="007D3E95"/>
    <w:rsid w:val="007D4D4D"/>
    <w:rsid w:val="007D6B8F"/>
    <w:rsid w:val="007D70F0"/>
    <w:rsid w:val="007D754F"/>
    <w:rsid w:val="007E0D93"/>
    <w:rsid w:val="007E386A"/>
    <w:rsid w:val="007E3AAC"/>
    <w:rsid w:val="007E50E0"/>
    <w:rsid w:val="007E537B"/>
    <w:rsid w:val="007F0F6D"/>
    <w:rsid w:val="007F2112"/>
    <w:rsid w:val="007F2F6C"/>
    <w:rsid w:val="007F3661"/>
    <w:rsid w:val="007F5AC8"/>
    <w:rsid w:val="00805C55"/>
    <w:rsid w:val="008111E4"/>
    <w:rsid w:val="008142F2"/>
    <w:rsid w:val="008227F7"/>
    <w:rsid w:val="00827858"/>
    <w:rsid w:val="0083402A"/>
    <w:rsid w:val="00837CF7"/>
    <w:rsid w:val="008420E2"/>
    <w:rsid w:val="0084509A"/>
    <w:rsid w:val="00854B28"/>
    <w:rsid w:val="0086463B"/>
    <w:rsid w:val="00874A0F"/>
    <w:rsid w:val="008756AC"/>
    <w:rsid w:val="0088138E"/>
    <w:rsid w:val="00884973"/>
    <w:rsid w:val="008907F9"/>
    <w:rsid w:val="008945C9"/>
    <w:rsid w:val="00894DDA"/>
    <w:rsid w:val="008A287B"/>
    <w:rsid w:val="008B0683"/>
    <w:rsid w:val="008B1511"/>
    <w:rsid w:val="008B160C"/>
    <w:rsid w:val="008C0EAB"/>
    <w:rsid w:val="008C30B7"/>
    <w:rsid w:val="008D1026"/>
    <w:rsid w:val="008D115F"/>
    <w:rsid w:val="008D1EA6"/>
    <w:rsid w:val="008D2A1E"/>
    <w:rsid w:val="008D6563"/>
    <w:rsid w:val="008E26BC"/>
    <w:rsid w:val="008F47C5"/>
    <w:rsid w:val="008F6FB5"/>
    <w:rsid w:val="009001C2"/>
    <w:rsid w:val="009223EF"/>
    <w:rsid w:val="00926081"/>
    <w:rsid w:val="009307D5"/>
    <w:rsid w:val="00931AEA"/>
    <w:rsid w:val="00931B4A"/>
    <w:rsid w:val="00932434"/>
    <w:rsid w:val="0094019C"/>
    <w:rsid w:val="00940878"/>
    <w:rsid w:val="009443B8"/>
    <w:rsid w:val="00945C98"/>
    <w:rsid w:val="00947368"/>
    <w:rsid w:val="00955742"/>
    <w:rsid w:val="00960C35"/>
    <w:rsid w:val="0096230D"/>
    <w:rsid w:val="00965DB4"/>
    <w:rsid w:val="00977AF6"/>
    <w:rsid w:val="00981058"/>
    <w:rsid w:val="0098388E"/>
    <w:rsid w:val="0099298A"/>
    <w:rsid w:val="00992D68"/>
    <w:rsid w:val="00995E37"/>
    <w:rsid w:val="00997158"/>
    <w:rsid w:val="009A0320"/>
    <w:rsid w:val="009A2B9C"/>
    <w:rsid w:val="009A7C67"/>
    <w:rsid w:val="009B1245"/>
    <w:rsid w:val="009B1512"/>
    <w:rsid w:val="009B6956"/>
    <w:rsid w:val="009B74FD"/>
    <w:rsid w:val="009C7E03"/>
    <w:rsid w:val="009D3038"/>
    <w:rsid w:val="009E143C"/>
    <w:rsid w:val="009E3649"/>
    <w:rsid w:val="009E5D52"/>
    <w:rsid w:val="009E73F7"/>
    <w:rsid w:val="00A0007A"/>
    <w:rsid w:val="00A011E7"/>
    <w:rsid w:val="00A01585"/>
    <w:rsid w:val="00A06C35"/>
    <w:rsid w:val="00A1485D"/>
    <w:rsid w:val="00A16A49"/>
    <w:rsid w:val="00A16F83"/>
    <w:rsid w:val="00A20912"/>
    <w:rsid w:val="00A2416C"/>
    <w:rsid w:val="00A254ED"/>
    <w:rsid w:val="00A26092"/>
    <w:rsid w:val="00A27125"/>
    <w:rsid w:val="00A342C2"/>
    <w:rsid w:val="00A34723"/>
    <w:rsid w:val="00A35287"/>
    <w:rsid w:val="00A35403"/>
    <w:rsid w:val="00A368C7"/>
    <w:rsid w:val="00A44FA7"/>
    <w:rsid w:val="00A452E3"/>
    <w:rsid w:val="00A537B3"/>
    <w:rsid w:val="00A54421"/>
    <w:rsid w:val="00A55DEF"/>
    <w:rsid w:val="00A56CAA"/>
    <w:rsid w:val="00A60DF9"/>
    <w:rsid w:val="00A647A7"/>
    <w:rsid w:val="00A66334"/>
    <w:rsid w:val="00A66491"/>
    <w:rsid w:val="00A71FA7"/>
    <w:rsid w:val="00A82924"/>
    <w:rsid w:val="00A90090"/>
    <w:rsid w:val="00A94D7C"/>
    <w:rsid w:val="00AA6AB6"/>
    <w:rsid w:val="00AA7716"/>
    <w:rsid w:val="00AB7A17"/>
    <w:rsid w:val="00AC4898"/>
    <w:rsid w:val="00AC52E7"/>
    <w:rsid w:val="00AC5755"/>
    <w:rsid w:val="00AC73D1"/>
    <w:rsid w:val="00AD4393"/>
    <w:rsid w:val="00AD588C"/>
    <w:rsid w:val="00AD6839"/>
    <w:rsid w:val="00AE297E"/>
    <w:rsid w:val="00AE5992"/>
    <w:rsid w:val="00AF3F18"/>
    <w:rsid w:val="00AF7530"/>
    <w:rsid w:val="00B016DD"/>
    <w:rsid w:val="00B01C1D"/>
    <w:rsid w:val="00B0210A"/>
    <w:rsid w:val="00B040C4"/>
    <w:rsid w:val="00B056B2"/>
    <w:rsid w:val="00B24760"/>
    <w:rsid w:val="00B33DAE"/>
    <w:rsid w:val="00B34B75"/>
    <w:rsid w:val="00B40624"/>
    <w:rsid w:val="00B42401"/>
    <w:rsid w:val="00B4566C"/>
    <w:rsid w:val="00B5079E"/>
    <w:rsid w:val="00B53D5B"/>
    <w:rsid w:val="00B56CBD"/>
    <w:rsid w:val="00B65656"/>
    <w:rsid w:val="00B722A5"/>
    <w:rsid w:val="00B903BE"/>
    <w:rsid w:val="00B90F1C"/>
    <w:rsid w:val="00B93767"/>
    <w:rsid w:val="00B951CF"/>
    <w:rsid w:val="00B959CB"/>
    <w:rsid w:val="00B9748B"/>
    <w:rsid w:val="00BA1A02"/>
    <w:rsid w:val="00BA2722"/>
    <w:rsid w:val="00BA58A8"/>
    <w:rsid w:val="00BA6814"/>
    <w:rsid w:val="00BB36D4"/>
    <w:rsid w:val="00BB4AB6"/>
    <w:rsid w:val="00BC04BC"/>
    <w:rsid w:val="00BC0A97"/>
    <w:rsid w:val="00BC7B3D"/>
    <w:rsid w:val="00BC7C73"/>
    <w:rsid w:val="00BD1A36"/>
    <w:rsid w:val="00BD3ABB"/>
    <w:rsid w:val="00BD44BC"/>
    <w:rsid w:val="00BD7024"/>
    <w:rsid w:val="00BE2CC7"/>
    <w:rsid w:val="00BE747F"/>
    <w:rsid w:val="00BE77B4"/>
    <w:rsid w:val="00BE7A08"/>
    <w:rsid w:val="00BF481B"/>
    <w:rsid w:val="00BF641D"/>
    <w:rsid w:val="00C06FE8"/>
    <w:rsid w:val="00C07802"/>
    <w:rsid w:val="00C1256C"/>
    <w:rsid w:val="00C137C0"/>
    <w:rsid w:val="00C13A4C"/>
    <w:rsid w:val="00C31695"/>
    <w:rsid w:val="00C3197F"/>
    <w:rsid w:val="00C3653D"/>
    <w:rsid w:val="00C36862"/>
    <w:rsid w:val="00C5158E"/>
    <w:rsid w:val="00C60FC1"/>
    <w:rsid w:val="00C632FD"/>
    <w:rsid w:val="00C63A25"/>
    <w:rsid w:val="00C720E5"/>
    <w:rsid w:val="00C7423B"/>
    <w:rsid w:val="00C748C9"/>
    <w:rsid w:val="00C847A9"/>
    <w:rsid w:val="00C90721"/>
    <w:rsid w:val="00C91A65"/>
    <w:rsid w:val="00C931EC"/>
    <w:rsid w:val="00C97EE3"/>
    <w:rsid w:val="00CA0C58"/>
    <w:rsid w:val="00CA1253"/>
    <w:rsid w:val="00CA2819"/>
    <w:rsid w:val="00CA6CB3"/>
    <w:rsid w:val="00CB23B0"/>
    <w:rsid w:val="00CB6548"/>
    <w:rsid w:val="00CC7006"/>
    <w:rsid w:val="00CD0161"/>
    <w:rsid w:val="00CD5DF9"/>
    <w:rsid w:val="00CD63F2"/>
    <w:rsid w:val="00CD73F8"/>
    <w:rsid w:val="00CD78D8"/>
    <w:rsid w:val="00CE02F5"/>
    <w:rsid w:val="00CE107F"/>
    <w:rsid w:val="00CE66A9"/>
    <w:rsid w:val="00CE6EC8"/>
    <w:rsid w:val="00CF6D24"/>
    <w:rsid w:val="00CF70FC"/>
    <w:rsid w:val="00CF7641"/>
    <w:rsid w:val="00D0707C"/>
    <w:rsid w:val="00D113FB"/>
    <w:rsid w:val="00D304D1"/>
    <w:rsid w:val="00D45949"/>
    <w:rsid w:val="00D50506"/>
    <w:rsid w:val="00D53641"/>
    <w:rsid w:val="00D62098"/>
    <w:rsid w:val="00D72570"/>
    <w:rsid w:val="00D7479C"/>
    <w:rsid w:val="00D76A0F"/>
    <w:rsid w:val="00D8035B"/>
    <w:rsid w:val="00D86427"/>
    <w:rsid w:val="00D94247"/>
    <w:rsid w:val="00D94483"/>
    <w:rsid w:val="00DA4D62"/>
    <w:rsid w:val="00DA5244"/>
    <w:rsid w:val="00DB2507"/>
    <w:rsid w:val="00DB2CD0"/>
    <w:rsid w:val="00DB69F6"/>
    <w:rsid w:val="00DB6FCA"/>
    <w:rsid w:val="00DB7C16"/>
    <w:rsid w:val="00DD361F"/>
    <w:rsid w:val="00DD4A9B"/>
    <w:rsid w:val="00DE0495"/>
    <w:rsid w:val="00DE7D62"/>
    <w:rsid w:val="00DF39A5"/>
    <w:rsid w:val="00DF58F3"/>
    <w:rsid w:val="00E04C76"/>
    <w:rsid w:val="00E06697"/>
    <w:rsid w:val="00E074CC"/>
    <w:rsid w:val="00E07955"/>
    <w:rsid w:val="00E147C7"/>
    <w:rsid w:val="00E20550"/>
    <w:rsid w:val="00E20F92"/>
    <w:rsid w:val="00E241CA"/>
    <w:rsid w:val="00E25F9C"/>
    <w:rsid w:val="00E26410"/>
    <w:rsid w:val="00E26BE9"/>
    <w:rsid w:val="00E4019C"/>
    <w:rsid w:val="00E442D2"/>
    <w:rsid w:val="00E52D63"/>
    <w:rsid w:val="00E57FBA"/>
    <w:rsid w:val="00E621C7"/>
    <w:rsid w:val="00E66863"/>
    <w:rsid w:val="00E7616D"/>
    <w:rsid w:val="00E91A54"/>
    <w:rsid w:val="00E95332"/>
    <w:rsid w:val="00E95FB0"/>
    <w:rsid w:val="00EA1A7B"/>
    <w:rsid w:val="00EA3942"/>
    <w:rsid w:val="00EB2054"/>
    <w:rsid w:val="00EB3E63"/>
    <w:rsid w:val="00EB5073"/>
    <w:rsid w:val="00EB68EA"/>
    <w:rsid w:val="00EC34AC"/>
    <w:rsid w:val="00EC7EA2"/>
    <w:rsid w:val="00EF086F"/>
    <w:rsid w:val="00EF333D"/>
    <w:rsid w:val="00EF7F00"/>
    <w:rsid w:val="00F024EB"/>
    <w:rsid w:val="00F02D3C"/>
    <w:rsid w:val="00F14DDE"/>
    <w:rsid w:val="00F17DC5"/>
    <w:rsid w:val="00F2099D"/>
    <w:rsid w:val="00F20C8F"/>
    <w:rsid w:val="00F21927"/>
    <w:rsid w:val="00F31995"/>
    <w:rsid w:val="00F42221"/>
    <w:rsid w:val="00F45EC8"/>
    <w:rsid w:val="00F52F55"/>
    <w:rsid w:val="00F54D4D"/>
    <w:rsid w:val="00F5684C"/>
    <w:rsid w:val="00F65665"/>
    <w:rsid w:val="00F71823"/>
    <w:rsid w:val="00F7254F"/>
    <w:rsid w:val="00F72E13"/>
    <w:rsid w:val="00F76C9C"/>
    <w:rsid w:val="00F90D6B"/>
    <w:rsid w:val="00F915E4"/>
    <w:rsid w:val="00FA111E"/>
    <w:rsid w:val="00FA2F8D"/>
    <w:rsid w:val="00FA5FCA"/>
    <w:rsid w:val="00FC0F55"/>
    <w:rsid w:val="00FC2479"/>
    <w:rsid w:val="00FD433C"/>
    <w:rsid w:val="00FD6AA1"/>
    <w:rsid w:val="00FF020A"/>
    <w:rsid w:val="00FF044A"/>
    <w:rsid w:val="00FF095B"/>
    <w:rsid w:val="00FF1720"/>
    <w:rsid w:val="00FF564F"/>
    <w:rsid w:val="00FF5AD2"/>
    <w:rsid w:val="00FF5F1F"/>
    <w:rsid w:val="00FF7810"/>
    <w:rsid w:val="012F4AEF"/>
    <w:rsid w:val="095843A1"/>
    <w:rsid w:val="1982194E"/>
    <w:rsid w:val="30DF2E7C"/>
    <w:rsid w:val="708C132E"/>
    <w:rsid w:val="70DC36A4"/>
    <w:rsid w:val="75923E2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heme="minorEastAsia" w:cstheme="minorBidi"/>
      <w:color w:val="000000" w:themeColor="text1"/>
      <w:sz w:val="21"/>
      <w:lang w:val="en-US" w:eastAsia="zh-CN" w:bidi="ar-SA"/>
      <w14:textFill>
        <w14:solidFill>
          <w14:schemeClr w14:val="tx1"/>
        </w14:solidFill>
      </w14:textFill>
    </w:rPr>
  </w:style>
  <w:style w:type="paragraph" w:styleId="2">
    <w:name w:val="heading 1"/>
    <w:basedOn w:val="1"/>
    <w:next w:val="1"/>
    <w:link w:val="28"/>
    <w:qFormat/>
    <w:uiPriority w:val="9"/>
    <w:pPr>
      <w:keepNext/>
      <w:keepLines/>
      <w:widowControl w:val="0"/>
      <w:spacing w:before="480" w:after="80"/>
      <w:jc w:val="both"/>
      <w:outlineLvl w:val="0"/>
    </w:pPr>
    <w:rPr>
      <w:rFonts w:asciiTheme="majorHAnsi" w:hAnsiTheme="majorHAnsi" w:eastAsiaTheme="majorEastAsia" w:cstheme="majorBidi"/>
      <w:color w:val="2F5597" w:themeColor="accent1" w:themeShade="BF"/>
      <w:kern w:val="2"/>
      <w:sz w:val="48"/>
      <w:szCs w:val="48"/>
      <w14:ligatures w14:val="standardContextual"/>
    </w:rPr>
  </w:style>
  <w:style w:type="paragraph" w:styleId="3">
    <w:name w:val="heading 2"/>
    <w:basedOn w:val="1"/>
    <w:next w:val="1"/>
    <w:link w:val="29"/>
    <w:semiHidden/>
    <w:unhideWhenUsed/>
    <w:qFormat/>
    <w:uiPriority w:val="9"/>
    <w:pPr>
      <w:keepNext/>
      <w:keepLines/>
      <w:widowControl w:val="0"/>
      <w:spacing w:before="160" w:after="80"/>
      <w:jc w:val="both"/>
      <w:outlineLvl w:val="1"/>
    </w:pPr>
    <w:rPr>
      <w:rFonts w:asciiTheme="majorHAnsi" w:hAnsiTheme="majorHAnsi" w:eastAsiaTheme="majorEastAsia" w:cstheme="majorBidi"/>
      <w:color w:val="2F5597" w:themeColor="accent1" w:themeShade="BF"/>
      <w:kern w:val="2"/>
      <w:sz w:val="40"/>
      <w:szCs w:val="40"/>
      <w14:ligatures w14:val="standardContextual"/>
    </w:rPr>
  </w:style>
  <w:style w:type="paragraph" w:styleId="4">
    <w:name w:val="heading 3"/>
    <w:basedOn w:val="1"/>
    <w:next w:val="1"/>
    <w:link w:val="30"/>
    <w:semiHidden/>
    <w:unhideWhenUsed/>
    <w:qFormat/>
    <w:uiPriority w:val="9"/>
    <w:pPr>
      <w:keepNext/>
      <w:keepLines/>
      <w:widowControl w:val="0"/>
      <w:spacing w:before="160" w:after="80"/>
      <w:jc w:val="both"/>
      <w:outlineLvl w:val="2"/>
    </w:pPr>
    <w:rPr>
      <w:rFonts w:asciiTheme="majorHAnsi" w:hAnsiTheme="majorHAnsi" w:eastAsiaTheme="majorEastAsia" w:cstheme="majorBidi"/>
      <w:color w:val="2F5597" w:themeColor="accent1" w:themeShade="BF"/>
      <w:kern w:val="2"/>
      <w:sz w:val="32"/>
      <w:szCs w:val="32"/>
      <w14:ligatures w14:val="standardContextual"/>
    </w:rPr>
  </w:style>
  <w:style w:type="paragraph" w:styleId="5">
    <w:name w:val="heading 4"/>
    <w:basedOn w:val="1"/>
    <w:next w:val="1"/>
    <w:link w:val="31"/>
    <w:semiHidden/>
    <w:unhideWhenUsed/>
    <w:qFormat/>
    <w:uiPriority w:val="9"/>
    <w:pPr>
      <w:keepNext/>
      <w:keepLines/>
      <w:widowControl w:val="0"/>
      <w:spacing w:before="80" w:after="40"/>
      <w:jc w:val="both"/>
      <w:outlineLvl w:val="3"/>
    </w:pPr>
    <w:rPr>
      <w:rFonts w:asciiTheme="minorHAnsi" w:hAnsiTheme="minorHAnsi" w:cstheme="majorBidi"/>
      <w:color w:val="2F5597" w:themeColor="accent1" w:themeShade="BF"/>
      <w:kern w:val="2"/>
      <w:sz w:val="28"/>
      <w:szCs w:val="28"/>
      <w14:ligatures w14:val="standardContextual"/>
    </w:rPr>
  </w:style>
  <w:style w:type="paragraph" w:styleId="6">
    <w:name w:val="heading 5"/>
    <w:basedOn w:val="1"/>
    <w:next w:val="1"/>
    <w:link w:val="32"/>
    <w:semiHidden/>
    <w:unhideWhenUsed/>
    <w:qFormat/>
    <w:uiPriority w:val="9"/>
    <w:pPr>
      <w:keepNext/>
      <w:keepLines/>
      <w:widowControl w:val="0"/>
      <w:spacing w:before="80" w:after="40"/>
      <w:jc w:val="both"/>
      <w:outlineLvl w:val="4"/>
    </w:pPr>
    <w:rPr>
      <w:rFonts w:asciiTheme="minorHAnsi" w:hAnsiTheme="minorHAnsi" w:cstheme="majorBidi"/>
      <w:color w:val="2F5597" w:themeColor="accent1" w:themeShade="BF"/>
      <w:kern w:val="2"/>
      <w14:ligatures w14:val="standardContextual"/>
    </w:rPr>
  </w:style>
  <w:style w:type="paragraph" w:styleId="7">
    <w:name w:val="heading 6"/>
    <w:basedOn w:val="1"/>
    <w:next w:val="1"/>
    <w:link w:val="33"/>
    <w:semiHidden/>
    <w:unhideWhenUsed/>
    <w:qFormat/>
    <w:uiPriority w:val="9"/>
    <w:pPr>
      <w:keepNext/>
      <w:keepLines/>
      <w:widowControl w:val="0"/>
      <w:spacing w:before="40"/>
      <w:jc w:val="both"/>
      <w:outlineLvl w:val="5"/>
    </w:pPr>
    <w:rPr>
      <w:rFonts w:asciiTheme="minorHAnsi" w:hAnsiTheme="minorHAnsi" w:cstheme="majorBidi"/>
      <w:b/>
      <w:bCs/>
      <w:color w:val="2F5597" w:themeColor="accent1" w:themeShade="BF"/>
      <w:kern w:val="2"/>
      <w:szCs w:val="22"/>
      <w14:ligatures w14:val="standardContextual"/>
    </w:rPr>
  </w:style>
  <w:style w:type="paragraph" w:styleId="8">
    <w:name w:val="heading 7"/>
    <w:basedOn w:val="1"/>
    <w:next w:val="1"/>
    <w:link w:val="34"/>
    <w:semiHidden/>
    <w:unhideWhenUsed/>
    <w:qFormat/>
    <w:uiPriority w:val="9"/>
    <w:pPr>
      <w:keepNext/>
      <w:keepLines/>
      <w:widowControl w:val="0"/>
      <w:spacing w:before="40"/>
      <w:jc w:val="both"/>
      <w:outlineLvl w:val="6"/>
    </w:pPr>
    <w:rPr>
      <w:rFonts w:asciiTheme="minorHAnsi" w:hAnsiTheme="minorHAnsi" w:cstheme="majorBidi"/>
      <w:b/>
      <w:bCs/>
      <w:color w:val="595959" w:themeColor="text1" w:themeTint="A6"/>
      <w:kern w:val="2"/>
      <w:szCs w:val="22"/>
      <w14:textFill>
        <w14:solidFill>
          <w14:schemeClr w14:val="tx1">
            <w14:lumMod w14:val="65000"/>
            <w14:lumOff w14:val="35000"/>
          </w14:schemeClr>
        </w14:solidFill>
      </w14:textFill>
      <w14:ligatures w14:val="standardContextual"/>
    </w:rPr>
  </w:style>
  <w:style w:type="paragraph" w:styleId="9">
    <w:name w:val="heading 8"/>
    <w:basedOn w:val="1"/>
    <w:next w:val="1"/>
    <w:link w:val="35"/>
    <w:semiHidden/>
    <w:unhideWhenUsed/>
    <w:qFormat/>
    <w:uiPriority w:val="9"/>
    <w:pPr>
      <w:keepNext/>
      <w:keepLines/>
      <w:widowControl w:val="0"/>
      <w:jc w:val="both"/>
      <w:outlineLvl w:val="7"/>
    </w:pPr>
    <w:rPr>
      <w:rFonts w:asciiTheme="minorHAnsi" w:hAnsiTheme="minorHAnsi" w:cstheme="majorBidi"/>
      <w:color w:val="595959" w:themeColor="text1" w:themeTint="A6"/>
      <w:kern w:val="2"/>
      <w:szCs w:val="22"/>
      <w14:textFill>
        <w14:solidFill>
          <w14:schemeClr w14:val="tx1">
            <w14:lumMod w14:val="65000"/>
            <w14:lumOff w14:val="35000"/>
          </w14:schemeClr>
        </w14:solidFill>
      </w14:textFill>
      <w14:ligatures w14:val="standardContextual"/>
    </w:rPr>
  </w:style>
  <w:style w:type="paragraph" w:styleId="10">
    <w:name w:val="heading 9"/>
    <w:basedOn w:val="1"/>
    <w:next w:val="1"/>
    <w:link w:val="36"/>
    <w:semiHidden/>
    <w:unhideWhenUsed/>
    <w:qFormat/>
    <w:uiPriority w:val="9"/>
    <w:pPr>
      <w:keepNext/>
      <w:keepLines/>
      <w:widowControl w:val="0"/>
      <w:jc w:val="both"/>
      <w:outlineLvl w:val="8"/>
    </w:pPr>
    <w:rPr>
      <w:rFonts w:asciiTheme="minorHAnsi" w:hAnsiTheme="minorHAnsi" w:eastAsiaTheme="majorEastAsia" w:cstheme="majorBidi"/>
      <w:color w:val="595959" w:themeColor="text1" w:themeTint="A6"/>
      <w:kern w:val="2"/>
      <w:szCs w:val="22"/>
      <w14:textFill>
        <w14:solidFill>
          <w14:schemeClr w14:val="tx1">
            <w14:lumMod w14:val="65000"/>
            <w14:lumOff w14:val="35000"/>
          </w14:schemeClr>
        </w14:solidFill>
      </w14:textFill>
      <w14:ligatures w14:val="standardContextual"/>
    </w:rPr>
  </w:style>
  <w:style w:type="character" w:default="1" w:styleId="26">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rPr>
      <w:rFonts w:asciiTheme="minorHAnsi" w:eastAsiaTheme="minorHAnsi"/>
      <w:sz w:val="22"/>
      <w:szCs w:val="22"/>
    </w:rPr>
  </w:style>
  <w:style w:type="paragraph" w:styleId="12">
    <w:name w:val="toc 5"/>
    <w:basedOn w:val="1"/>
    <w:next w:val="1"/>
    <w:unhideWhenUsed/>
    <w:qFormat/>
    <w:uiPriority w:val="39"/>
    <w:rPr>
      <w:rFonts w:asciiTheme="minorHAnsi" w:eastAsiaTheme="minorHAnsi"/>
      <w:sz w:val="22"/>
      <w:szCs w:val="22"/>
    </w:rPr>
  </w:style>
  <w:style w:type="paragraph" w:styleId="13">
    <w:name w:val="toc 3"/>
    <w:basedOn w:val="1"/>
    <w:next w:val="1"/>
    <w:unhideWhenUsed/>
    <w:qFormat/>
    <w:uiPriority w:val="39"/>
    <w:pPr>
      <w:tabs>
        <w:tab w:val="right" w:leader="dot" w:pos="8630"/>
      </w:tabs>
    </w:pPr>
    <w:rPr>
      <w:rFonts w:cs="Times New Roman" w:eastAsiaTheme="minorHAnsi"/>
      <w:smallCaps/>
      <w:szCs w:val="21"/>
    </w:rPr>
  </w:style>
  <w:style w:type="paragraph" w:styleId="14">
    <w:name w:val="toc 8"/>
    <w:basedOn w:val="1"/>
    <w:next w:val="1"/>
    <w:unhideWhenUsed/>
    <w:qFormat/>
    <w:uiPriority w:val="39"/>
    <w:rPr>
      <w:rFonts w:asciiTheme="minorHAnsi" w:eastAsiaTheme="minorHAnsi"/>
      <w:sz w:val="22"/>
      <w:szCs w:val="22"/>
    </w:rPr>
  </w:style>
  <w:style w:type="paragraph" w:styleId="15">
    <w:name w:val="footer"/>
    <w:basedOn w:val="1"/>
    <w:link w:val="47"/>
    <w:unhideWhenUsed/>
    <w:qFormat/>
    <w:uiPriority w:val="99"/>
    <w:pPr>
      <w:tabs>
        <w:tab w:val="center" w:pos="4153"/>
        <w:tab w:val="right" w:pos="8306"/>
      </w:tabs>
      <w:snapToGrid w:val="0"/>
    </w:pPr>
    <w:rPr>
      <w:sz w:val="18"/>
      <w:szCs w:val="18"/>
    </w:rPr>
  </w:style>
  <w:style w:type="paragraph" w:styleId="16">
    <w:name w:val="header"/>
    <w:basedOn w:val="1"/>
    <w:link w:val="46"/>
    <w:unhideWhenUsed/>
    <w:qFormat/>
    <w:uiPriority w:val="99"/>
    <w:pPr>
      <w:tabs>
        <w:tab w:val="center" w:pos="4153"/>
        <w:tab w:val="right" w:pos="8306"/>
      </w:tabs>
      <w:snapToGrid w:val="0"/>
      <w:jc w:val="center"/>
    </w:pPr>
    <w:rPr>
      <w:sz w:val="18"/>
      <w:szCs w:val="18"/>
    </w:rPr>
  </w:style>
  <w:style w:type="paragraph" w:styleId="17">
    <w:name w:val="toc 1"/>
    <w:basedOn w:val="1"/>
    <w:next w:val="1"/>
    <w:unhideWhenUsed/>
    <w:qFormat/>
    <w:uiPriority w:val="39"/>
    <w:pPr>
      <w:spacing w:before="360" w:after="360"/>
    </w:pPr>
    <w:rPr>
      <w:rFonts w:asciiTheme="minorHAnsi" w:eastAsiaTheme="minorHAnsi"/>
      <w:b/>
      <w:bCs/>
      <w:caps/>
      <w:sz w:val="22"/>
      <w:szCs w:val="22"/>
      <w:u w:val="single"/>
    </w:rPr>
  </w:style>
  <w:style w:type="paragraph" w:styleId="18">
    <w:name w:val="toc 4"/>
    <w:basedOn w:val="1"/>
    <w:next w:val="1"/>
    <w:unhideWhenUsed/>
    <w:qFormat/>
    <w:uiPriority w:val="39"/>
    <w:rPr>
      <w:rFonts w:asciiTheme="minorHAnsi" w:eastAsiaTheme="minorHAnsi"/>
      <w:sz w:val="22"/>
      <w:szCs w:val="22"/>
    </w:rPr>
  </w:style>
  <w:style w:type="paragraph" w:styleId="19">
    <w:name w:val="Subtitle"/>
    <w:basedOn w:val="1"/>
    <w:next w:val="1"/>
    <w:link w:val="38"/>
    <w:qFormat/>
    <w:uiPriority w:val="11"/>
    <w:pPr>
      <w:widowControl w:val="0"/>
      <w:spacing w:after="160"/>
      <w:jc w:val="center"/>
    </w:pPr>
    <w:rPr>
      <w:rFonts w:asciiTheme="majorHAnsi" w:hAnsiTheme="majorHAnsi" w:eastAsiaTheme="majorEastAsia" w:cstheme="majorBidi"/>
      <w:color w:val="595959" w:themeColor="text1" w:themeTint="A6"/>
      <w:spacing w:val="15"/>
      <w:kern w:val="2"/>
      <w:sz w:val="28"/>
      <w:szCs w:val="28"/>
      <w14:textFill>
        <w14:solidFill>
          <w14:schemeClr w14:val="tx1">
            <w14:lumMod w14:val="65000"/>
            <w14:lumOff w14:val="35000"/>
          </w14:schemeClr>
        </w14:solidFill>
      </w14:textFill>
      <w14:ligatures w14:val="standardContextual"/>
    </w:rPr>
  </w:style>
  <w:style w:type="paragraph" w:styleId="20">
    <w:name w:val="toc 6"/>
    <w:basedOn w:val="1"/>
    <w:next w:val="1"/>
    <w:unhideWhenUsed/>
    <w:qFormat/>
    <w:uiPriority w:val="39"/>
    <w:rPr>
      <w:rFonts w:asciiTheme="minorHAnsi" w:eastAsiaTheme="minorHAnsi"/>
      <w:sz w:val="22"/>
      <w:szCs w:val="22"/>
    </w:rPr>
  </w:style>
  <w:style w:type="paragraph" w:styleId="21">
    <w:name w:val="table of figures"/>
    <w:basedOn w:val="1"/>
    <w:next w:val="1"/>
    <w:unhideWhenUsed/>
    <w:qFormat/>
    <w:uiPriority w:val="99"/>
    <w:pPr>
      <w:ind w:left="480" w:hanging="480"/>
    </w:pPr>
    <w:rPr>
      <w:rFonts w:asciiTheme="minorHAnsi" w:eastAsiaTheme="minorHAnsi"/>
      <w:smallCaps/>
      <w:sz w:val="20"/>
    </w:rPr>
  </w:style>
  <w:style w:type="paragraph" w:styleId="22">
    <w:name w:val="toc 2"/>
    <w:basedOn w:val="1"/>
    <w:next w:val="1"/>
    <w:unhideWhenUsed/>
    <w:qFormat/>
    <w:uiPriority w:val="39"/>
    <w:rPr>
      <w:rFonts w:asciiTheme="minorHAnsi" w:eastAsiaTheme="minorHAnsi"/>
      <w:b/>
      <w:bCs/>
      <w:smallCaps/>
      <w:sz w:val="22"/>
      <w:szCs w:val="22"/>
    </w:rPr>
  </w:style>
  <w:style w:type="paragraph" w:styleId="23">
    <w:name w:val="toc 9"/>
    <w:basedOn w:val="1"/>
    <w:next w:val="1"/>
    <w:unhideWhenUsed/>
    <w:qFormat/>
    <w:uiPriority w:val="39"/>
    <w:rPr>
      <w:rFonts w:asciiTheme="minorHAnsi" w:eastAsiaTheme="minorHAnsi"/>
      <w:sz w:val="22"/>
      <w:szCs w:val="22"/>
    </w:rPr>
  </w:style>
  <w:style w:type="paragraph" w:styleId="24">
    <w:name w:val="Title"/>
    <w:basedOn w:val="1"/>
    <w:next w:val="1"/>
    <w:link w:val="37"/>
    <w:qFormat/>
    <w:uiPriority w:val="10"/>
    <w:pPr>
      <w:widowControl w:val="0"/>
      <w:spacing w:after="80"/>
      <w:contextualSpacing/>
      <w:jc w:val="center"/>
    </w:pPr>
    <w:rPr>
      <w:rFonts w:asciiTheme="majorHAnsi" w:hAnsiTheme="majorHAnsi" w:eastAsiaTheme="majorEastAsia" w:cstheme="majorBidi"/>
      <w:spacing w:val="-10"/>
      <w:kern w:val="28"/>
      <w:sz w:val="56"/>
      <w:szCs w:val="56"/>
      <w14:ligatures w14:val="standardContextual"/>
    </w:rPr>
  </w:style>
  <w:style w:type="character" w:styleId="27">
    <w:name w:val="Hyperlink"/>
    <w:basedOn w:val="26"/>
    <w:unhideWhenUsed/>
    <w:qFormat/>
    <w:uiPriority w:val="99"/>
    <w:rPr>
      <w:color w:val="0563C1" w:themeColor="hyperlink"/>
      <w:u w:val="single"/>
      <w14:textFill>
        <w14:solidFill>
          <w14:schemeClr w14:val="hlink"/>
        </w14:solidFill>
      </w14:textFill>
    </w:rPr>
  </w:style>
  <w:style w:type="character" w:customStyle="1" w:styleId="28">
    <w:name w:val="标题 1 字符"/>
    <w:basedOn w:val="26"/>
    <w:link w:val="2"/>
    <w:qFormat/>
    <w:uiPriority w:val="9"/>
    <w:rPr>
      <w:rFonts w:asciiTheme="majorHAnsi" w:hAnsiTheme="majorHAnsi" w:eastAsiaTheme="majorEastAsia" w:cstheme="majorBidi"/>
      <w:color w:val="2F5597" w:themeColor="accent1" w:themeShade="BF"/>
      <w:sz w:val="48"/>
      <w:szCs w:val="48"/>
    </w:rPr>
  </w:style>
  <w:style w:type="character" w:customStyle="1" w:styleId="29">
    <w:name w:val="标题 2 字符"/>
    <w:basedOn w:val="26"/>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30">
    <w:name w:val="标题 3 字符"/>
    <w:basedOn w:val="26"/>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31">
    <w:name w:val="标题 4 字符"/>
    <w:basedOn w:val="26"/>
    <w:link w:val="5"/>
    <w:semiHidden/>
    <w:qFormat/>
    <w:uiPriority w:val="9"/>
    <w:rPr>
      <w:rFonts w:cstheme="majorBidi"/>
      <w:color w:val="2F5597" w:themeColor="accent1" w:themeShade="BF"/>
      <w:sz w:val="28"/>
      <w:szCs w:val="28"/>
    </w:rPr>
  </w:style>
  <w:style w:type="character" w:customStyle="1" w:styleId="32">
    <w:name w:val="标题 5 字符"/>
    <w:basedOn w:val="26"/>
    <w:link w:val="6"/>
    <w:semiHidden/>
    <w:qFormat/>
    <w:uiPriority w:val="9"/>
    <w:rPr>
      <w:rFonts w:cstheme="majorBidi"/>
      <w:color w:val="2F5597" w:themeColor="accent1" w:themeShade="BF"/>
      <w:sz w:val="24"/>
      <w:szCs w:val="24"/>
    </w:rPr>
  </w:style>
  <w:style w:type="character" w:customStyle="1" w:styleId="33">
    <w:name w:val="标题 6 字符"/>
    <w:basedOn w:val="26"/>
    <w:link w:val="7"/>
    <w:semiHidden/>
    <w:qFormat/>
    <w:uiPriority w:val="9"/>
    <w:rPr>
      <w:rFonts w:cstheme="majorBidi"/>
      <w:b/>
      <w:bCs/>
      <w:color w:val="2F5597" w:themeColor="accent1" w:themeShade="BF"/>
    </w:rPr>
  </w:style>
  <w:style w:type="character" w:customStyle="1" w:styleId="34">
    <w:name w:val="标题 7 字符"/>
    <w:basedOn w:val="2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5">
    <w:name w:val="标题 8 字符"/>
    <w:basedOn w:val="2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6">
    <w:name w:val="标题 9 字符"/>
    <w:basedOn w:val="2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7">
    <w:name w:val="标题 字符"/>
    <w:basedOn w:val="26"/>
    <w:link w:val="24"/>
    <w:qFormat/>
    <w:uiPriority w:val="10"/>
    <w:rPr>
      <w:rFonts w:asciiTheme="majorHAnsi" w:hAnsiTheme="majorHAnsi" w:eastAsiaTheme="majorEastAsia" w:cstheme="majorBidi"/>
      <w:spacing w:val="-10"/>
      <w:kern w:val="28"/>
      <w:sz w:val="56"/>
      <w:szCs w:val="56"/>
    </w:rPr>
  </w:style>
  <w:style w:type="character" w:customStyle="1" w:styleId="38">
    <w:name w:val="副标题 字符"/>
    <w:basedOn w:val="26"/>
    <w:link w:val="19"/>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9">
    <w:name w:val="Quote"/>
    <w:basedOn w:val="1"/>
    <w:next w:val="1"/>
    <w:link w:val="40"/>
    <w:qFormat/>
    <w:uiPriority w:val="29"/>
    <w:pPr>
      <w:widowControl w:val="0"/>
      <w:spacing w:before="160" w:after="160"/>
      <w:jc w:val="center"/>
    </w:pPr>
    <w:rPr>
      <w:rFonts w:asciiTheme="minorHAnsi" w:hAnsiTheme="minorHAnsi"/>
      <w:i/>
      <w:iCs/>
      <w:color w:val="404040" w:themeColor="text1" w:themeTint="BF"/>
      <w:kern w:val="2"/>
      <w:szCs w:val="22"/>
      <w14:textFill>
        <w14:solidFill>
          <w14:schemeClr w14:val="tx1">
            <w14:lumMod w14:val="75000"/>
            <w14:lumOff w14:val="25000"/>
          </w14:schemeClr>
        </w14:solidFill>
      </w14:textFill>
      <w14:ligatures w14:val="standardContextual"/>
    </w:rPr>
  </w:style>
  <w:style w:type="character" w:customStyle="1" w:styleId="40">
    <w:name w:val="引用 字符"/>
    <w:basedOn w:val="26"/>
    <w:link w:val="39"/>
    <w:qFormat/>
    <w:uiPriority w:val="29"/>
    <w:rPr>
      <w:i/>
      <w:iCs/>
      <w:color w:val="404040" w:themeColor="text1" w:themeTint="BF"/>
      <w14:textFill>
        <w14:solidFill>
          <w14:schemeClr w14:val="tx1">
            <w14:lumMod w14:val="75000"/>
            <w14:lumOff w14:val="25000"/>
          </w14:schemeClr>
        </w14:solidFill>
      </w14:textFill>
    </w:rPr>
  </w:style>
  <w:style w:type="paragraph" w:styleId="41">
    <w:name w:val="List Paragraph"/>
    <w:basedOn w:val="1"/>
    <w:qFormat/>
    <w:uiPriority w:val="34"/>
    <w:pPr>
      <w:widowControl w:val="0"/>
      <w:ind w:left="720"/>
      <w:contextualSpacing/>
      <w:jc w:val="both"/>
    </w:pPr>
    <w:rPr>
      <w:rFonts w:asciiTheme="minorHAnsi" w:hAnsiTheme="minorHAnsi"/>
      <w:kern w:val="2"/>
      <w:szCs w:val="22"/>
      <w14:ligatures w14:val="standardContextual"/>
    </w:rPr>
  </w:style>
  <w:style w:type="character" w:customStyle="1" w:styleId="42">
    <w:name w:val="明显强调1"/>
    <w:basedOn w:val="26"/>
    <w:qFormat/>
    <w:uiPriority w:val="21"/>
    <w:rPr>
      <w:i/>
      <w:iCs/>
      <w:color w:val="2F5597" w:themeColor="accent1" w:themeShade="BF"/>
    </w:rPr>
  </w:style>
  <w:style w:type="paragraph" w:styleId="43">
    <w:name w:val="Intense Quote"/>
    <w:basedOn w:val="1"/>
    <w:next w:val="1"/>
    <w:link w:val="44"/>
    <w:qFormat/>
    <w:uiPriority w:val="30"/>
    <w:pPr>
      <w:widowControl w:val="0"/>
      <w:pBdr>
        <w:top w:val="single" w:color="2F5496" w:themeColor="accent1" w:themeShade="BF" w:sz="4" w:space="10"/>
        <w:bottom w:val="single" w:color="2F5496" w:themeColor="accent1" w:themeShade="BF" w:sz="4" w:space="10"/>
      </w:pBdr>
      <w:spacing w:before="360" w:after="360"/>
      <w:ind w:left="864" w:right="864"/>
      <w:jc w:val="center"/>
    </w:pPr>
    <w:rPr>
      <w:rFonts w:asciiTheme="minorHAnsi" w:hAnsiTheme="minorHAnsi"/>
      <w:i/>
      <w:iCs/>
      <w:color w:val="2F5597" w:themeColor="accent1" w:themeShade="BF"/>
      <w:kern w:val="2"/>
      <w:szCs w:val="22"/>
      <w14:ligatures w14:val="standardContextual"/>
    </w:rPr>
  </w:style>
  <w:style w:type="character" w:customStyle="1" w:styleId="44">
    <w:name w:val="明显引用 字符"/>
    <w:basedOn w:val="26"/>
    <w:link w:val="43"/>
    <w:qFormat/>
    <w:uiPriority w:val="30"/>
    <w:rPr>
      <w:i/>
      <w:iCs/>
      <w:color w:val="2F5597" w:themeColor="accent1" w:themeShade="BF"/>
    </w:rPr>
  </w:style>
  <w:style w:type="character" w:customStyle="1" w:styleId="45">
    <w:name w:val="明显参考1"/>
    <w:basedOn w:val="26"/>
    <w:qFormat/>
    <w:uiPriority w:val="32"/>
    <w:rPr>
      <w:b/>
      <w:bCs/>
      <w:smallCaps/>
      <w:color w:val="2F5597" w:themeColor="accent1" w:themeShade="BF"/>
      <w:spacing w:val="5"/>
    </w:rPr>
  </w:style>
  <w:style w:type="character" w:customStyle="1" w:styleId="46">
    <w:name w:val="页眉 字符"/>
    <w:basedOn w:val="26"/>
    <w:link w:val="16"/>
    <w:qFormat/>
    <w:uiPriority w:val="99"/>
    <w:rPr>
      <w:rFonts w:ascii="宋体" w:hAnsi="宋体" w:eastAsia="宋体" w:cs="宋体"/>
      <w:kern w:val="0"/>
      <w:sz w:val="18"/>
      <w:szCs w:val="18"/>
      <w14:ligatures w14:val="none"/>
    </w:rPr>
  </w:style>
  <w:style w:type="character" w:customStyle="1" w:styleId="47">
    <w:name w:val="页脚 字符"/>
    <w:basedOn w:val="26"/>
    <w:link w:val="15"/>
    <w:qFormat/>
    <w:uiPriority w:val="99"/>
    <w:rPr>
      <w:rFonts w:ascii="宋体" w:hAnsi="宋体" w:eastAsia="宋体" w:cs="宋体"/>
      <w:kern w:val="0"/>
      <w:sz w:val="18"/>
      <w:szCs w:val="18"/>
      <w14:ligatures w14:val="none"/>
    </w:rPr>
  </w:style>
  <w:style w:type="paragraph" w:customStyle="1" w:styleId="48">
    <w:name w:val="WPSOffice手动目录 1"/>
    <w:qFormat/>
    <w:uiPriority w:val="0"/>
    <w:rPr>
      <w:rFonts w:ascii="Calibri" w:hAnsi="Calibri" w:eastAsia="宋体" w:cs="Times New Roman"/>
      <w:color w:val="000000" w:themeColor="text1"/>
      <w:sz w:val="21"/>
      <w:lang w:val="en-US" w:eastAsia="zh-CN" w:bidi="ar-SA"/>
      <w14:textFill>
        <w14:solidFill>
          <w14:schemeClr w14:val="tx1"/>
        </w14:solidFill>
      </w14:textFill>
    </w:rPr>
  </w:style>
  <w:style w:type="paragraph" w:customStyle="1" w:styleId="49">
    <w:name w:val="表格"/>
    <w:basedOn w:val="1"/>
    <w:link w:val="50"/>
    <w:qFormat/>
    <w:uiPriority w:val="0"/>
    <w:rPr>
      <w:rFonts w:cs="Times New Roman"/>
      <w:b/>
      <w:szCs w:val="21"/>
    </w:rPr>
  </w:style>
  <w:style w:type="character" w:customStyle="1" w:styleId="50">
    <w:name w:val="表格 字符"/>
    <w:basedOn w:val="26"/>
    <w:link w:val="49"/>
    <w:qFormat/>
    <w:uiPriority w:val="0"/>
    <w:rPr>
      <w:rFonts w:ascii="Times New Roman" w:hAnsi="Times New Roman" w:eastAsia="宋体" w:cs="Times New Roman"/>
      <w:b/>
      <w:sz w:val="21"/>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5.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文档" ma:contentTypeID="0x0101001CDFA65AE937B54293AA54270B195CF0" ma:contentTypeVersion="5" ma:contentTypeDescription="新建文档。" ma:contentTypeScope="" ma:versionID="7ab37aef1a6f832cfdbf010b483bf615">
  <xsd:schema xmlns:xsd="http://www.w3.org/2001/XMLSchema" xmlns:xs="http://www.w3.org/2001/XMLSchema" xmlns:p="http://schemas.microsoft.com/office/2006/metadata/properties" xmlns:ns3="b5a4432c-6e88-4809-938e-bb31b73793ee" targetNamespace="http://schemas.microsoft.com/office/2006/metadata/properties" ma:root="true" ma:fieldsID="ddb6e3f60225e93974d39d706cbe0f95" ns3:_="">
    <xsd:import namespace="b5a4432c-6e88-4809-938e-bb31b73793ee"/>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a4432c-6e88-4809-938e-bb31b73793ee"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3C02C2-39DC-41D2-8572-DF5BCA9CE144}">
  <ds:schemaRefs/>
</ds:datastoreItem>
</file>

<file path=customXml/itemProps3.xml><?xml version="1.0" encoding="utf-8"?>
<ds:datastoreItem xmlns:ds="http://schemas.openxmlformats.org/officeDocument/2006/customXml" ds:itemID="{DAFFE137-7C5E-4BB0-8794-B8DC2C5DEABF}">
  <ds:schemaRefs/>
</ds:datastoreItem>
</file>

<file path=customXml/itemProps4.xml><?xml version="1.0" encoding="utf-8"?>
<ds:datastoreItem xmlns:ds="http://schemas.openxmlformats.org/officeDocument/2006/customXml" ds:itemID="{803C6B32-35C6-4649-879E-3D596310AA00}">
  <ds:schemaRefs/>
</ds:datastoreItem>
</file>

<file path=customXml/itemProps5.xml><?xml version="1.0" encoding="utf-8"?>
<ds:datastoreItem xmlns:ds="http://schemas.openxmlformats.org/officeDocument/2006/customXml" ds:itemID="{5CD34903-FFF6-4515-9C2E-B018BA933C71}">
  <ds:schemaRefs/>
</ds:datastoreItem>
</file>

<file path=docProps/app.xml><?xml version="1.0" encoding="utf-8"?>
<Properties xmlns="http://schemas.openxmlformats.org/officeDocument/2006/extended-properties" xmlns:vt="http://schemas.openxmlformats.org/officeDocument/2006/docPropsVTypes">
  <Template>Normal</Template>
  <Pages>24</Pages>
  <Words>6048</Words>
  <Characters>34604</Characters>
  <Lines>3134</Lines>
  <Paragraphs>2705</Paragraphs>
  <TotalTime>1</TotalTime>
  <ScaleCrop>false</ScaleCrop>
  <LinksUpToDate>false</LinksUpToDate>
  <CharactersWithSpaces>38425</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2025-04-21T01:55:00Z</dcterms:created>
  <dc:creator>M11371</dc:creator>
  <cp:lastModifiedBy>Qingya</cp:lastModifiedBy>
  <dcterms:modified xsi:type="dcterms:W3CDTF">2025-09-21T11:30:29Z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374ce03c-33ac-42df-88b7-89d721606051</vt:lpwstr>
  </property>
  <property fmtid="{D5CDD505-2E9C-101B-9397-08002B2CF9AE}" pid="3" name="ContentTypeId">
    <vt:lpwstr>0x0101001CDFA65AE937B54293AA54270B195CF0</vt:lpwstr>
  </property>
  <property fmtid="{D5CDD505-2E9C-101B-9397-08002B2CF9AE}" pid="4" name="KSOProductBuildVer">
    <vt:lpwstr>2052-11.1.0.12165</vt:lpwstr>
  </property>
  <property fmtid="{D5CDD505-2E9C-101B-9397-08002B2CF9AE}" pid="5" name="ICV">
    <vt:lpwstr>32D6183B3332496198199EC2AD53D0EC</vt:lpwstr>
  </property>
</Properties>
</file>