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4"/>
        <w:gridCol w:w="1141"/>
        <w:gridCol w:w="1253"/>
        <w:gridCol w:w="1259"/>
        <w:gridCol w:w="1259"/>
        <w:gridCol w:w="157"/>
        <w:gridCol w:w="1104"/>
        <w:gridCol w:w="1259"/>
      </w:tblGrid>
      <w:tr w:rsidR="008226E3" w:rsidRPr="00B82A45" w14:paraId="0086A4DB" w14:textId="77777777" w:rsidTr="006833A3">
        <w:trPr>
          <w:trHeight w:val="291"/>
        </w:trPr>
        <w:tc>
          <w:tcPr>
            <w:tcW w:w="1594" w:type="dxa"/>
            <w:tcBorders>
              <w:top w:val="double" w:sz="18" w:space="0" w:color="auto"/>
              <w:bottom w:val="single" w:sz="12" w:space="0" w:color="auto"/>
            </w:tcBorders>
          </w:tcPr>
          <w:p w14:paraId="179AF90F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41" w:type="dxa"/>
            <w:tcBorders>
              <w:top w:val="double" w:sz="18" w:space="0" w:color="auto"/>
              <w:bottom w:val="single" w:sz="12" w:space="0" w:color="auto"/>
            </w:tcBorders>
          </w:tcPr>
          <w:p w14:paraId="2F517A95" w14:textId="22772EB9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82A45">
              <w:rPr>
                <w:rFonts w:ascii="Times New Roman" w:eastAsia="Times New Roman" w:hAnsi="Times New Roman" w:cs="Times New Roman"/>
                <w:b/>
                <w:bCs/>
              </w:rPr>
              <w:t>Pelvis</w:t>
            </w:r>
          </w:p>
        </w:tc>
        <w:tc>
          <w:tcPr>
            <w:tcW w:w="1253" w:type="dxa"/>
            <w:tcBorders>
              <w:top w:val="double" w:sz="18" w:space="0" w:color="auto"/>
              <w:bottom w:val="single" w:sz="12" w:space="0" w:color="auto"/>
            </w:tcBorders>
          </w:tcPr>
          <w:p w14:paraId="63D88091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82A45">
              <w:rPr>
                <w:rFonts w:ascii="Times New Roman" w:eastAsia="Times New Roman" w:hAnsi="Times New Roman" w:cs="Times New Roman"/>
                <w:b/>
                <w:bCs/>
              </w:rPr>
              <w:t>HN</w:t>
            </w:r>
          </w:p>
        </w:tc>
        <w:tc>
          <w:tcPr>
            <w:tcW w:w="1259" w:type="dxa"/>
            <w:tcBorders>
              <w:top w:val="double" w:sz="18" w:space="0" w:color="auto"/>
              <w:bottom w:val="single" w:sz="12" w:space="0" w:color="auto"/>
            </w:tcBorders>
          </w:tcPr>
          <w:p w14:paraId="03C91DBC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82A45">
              <w:rPr>
                <w:rFonts w:ascii="Times New Roman" w:eastAsia="Times New Roman" w:hAnsi="Times New Roman" w:cs="Times New Roman"/>
                <w:b/>
                <w:bCs/>
              </w:rPr>
              <w:t>Lung</w:t>
            </w:r>
          </w:p>
        </w:tc>
        <w:tc>
          <w:tcPr>
            <w:tcW w:w="1416" w:type="dxa"/>
            <w:gridSpan w:val="2"/>
            <w:tcBorders>
              <w:top w:val="double" w:sz="18" w:space="0" w:color="auto"/>
              <w:bottom w:val="single" w:sz="12" w:space="0" w:color="auto"/>
            </w:tcBorders>
          </w:tcPr>
          <w:p w14:paraId="55866DB8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82A45">
              <w:rPr>
                <w:rFonts w:ascii="Times New Roman" w:eastAsia="Times New Roman" w:hAnsi="Times New Roman" w:cs="Times New Roman"/>
                <w:b/>
                <w:bCs/>
              </w:rPr>
              <w:t>Lung SBRT</w:t>
            </w:r>
          </w:p>
        </w:tc>
        <w:tc>
          <w:tcPr>
            <w:tcW w:w="1104" w:type="dxa"/>
            <w:tcBorders>
              <w:top w:val="double" w:sz="18" w:space="0" w:color="auto"/>
              <w:bottom w:val="single" w:sz="12" w:space="0" w:color="auto"/>
            </w:tcBorders>
          </w:tcPr>
          <w:p w14:paraId="212BFD11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82A45">
              <w:rPr>
                <w:rFonts w:ascii="Times New Roman" w:eastAsia="Times New Roman" w:hAnsi="Times New Roman" w:cs="Times New Roman"/>
                <w:b/>
                <w:bCs/>
              </w:rPr>
              <w:t>Breast</w:t>
            </w:r>
          </w:p>
        </w:tc>
        <w:tc>
          <w:tcPr>
            <w:tcW w:w="1259" w:type="dxa"/>
            <w:tcBorders>
              <w:top w:val="double" w:sz="18" w:space="0" w:color="auto"/>
              <w:bottom w:val="single" w:sz="12" w:space="0" w:color="auto"/>
            </w:tcBorders>
          </w:tcPr>
          <w:p w14:paraId="2F984B1F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82A45">
              <w:rPr>
                <w:rFonts w:ascii="Times New Roman" w:eastAsia="Times New Roman" w:hAnsi="Times New Roman" w:cs="Times New Roman"/>
                <w:b/>
                <w:bCs/>
              </w:rPr>
              <w:t>Total</w:t>
            </w:r>
          </w:p>
        </w:tc>
      </w:tr>
      <w:tr w:rsidR="008226E3" w:rsidRPr="00B82A45" w14:paraId="630BBD97" w14:textId="77777777" w:rsidTr="006833A3">
        <w:tc>
          <w:tcPr>
            <w:tcW w:w="1594" w:type="dxa"/>
            <w:tcBorders>
              <w:top w:val="single" w:sz="12" w:space="0" w:color="auto"/>
            </w:tcBorders>
          </w:tcPr>
          <w:p w14:paraId="486F08B3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hAnsi="Times New Roman" w:cs="Times New Roman"/>
              </w:rPr>
              <w:t>AXB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m,m</m:t>
                  </m:r>
                </m:sub>
              </m:sSub>
              <m:r>
                <w:rPr>
                  <w:rFonts w:ascii="Cambria Math" w:hAnsi="Cambria Math" w:cs="Times New Roman"/>
                </w:rPr>
                <m:t>)</m:t>
              </m:r>
            </m:oMath>
          </w:p>
        </w:tc>
        <w:tc>
          <w:tcPr>
            <w:tcW w:w="1141" w:type="dxa"/>
            <w:tcBorders>
              <w:top w:val="single" w:sz="12" w:space="0" w:color="auto"/>
            </w:tcBorders>
          </w:tcPr>
          <w:p w14:paraId="66AD9C22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-19%</w:t>
            </w:r>
          </w:p>
        </w:tc>
        <w:tc>
          <w:tcPr>
            <w:tcW w:w="1253" w:type="dxa"/>
            <w:tcBorders>
              <w:top w:val="single" w:sz="12" w:space="0" w:color="auto"/>
            </w:tcBorders>
          </w:tcPr>
          <w:p w14:paraId="2D4BB93E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-10%</w:t>
            </w:r>
          </w:p>
        </w:tc>
        <w:tc>
          <w:tcPr>
            <w:tcW w:w="1259" w:type="dxa"/>
            <w:tcBorders>
              <w:top w:val="single" w:sz="12" w:space="0" w:color="auto"/>
            </w:tcBorders>
          </w:tcPr>
          <w:p w14:paraId="4D0E40C9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-12.7%</w:t>
            </w:r>
          </w:p>
        </w:tc>
        <w:tc>
          <w:tcPr>
            <w:tcW w:w="1259" w:type="dxa"/>
            <w:tcBorders>
              <w:top w:val="single" w:sz="12" w:space="0" w:color="auto"/>
            </w:tcBorders>
          </w:tcPr>
          <w:p w14:paraId="36D840E0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-11.4%</w:t>
            </w:r>
          </w:p>
        </w:tc>
        <w:tc>
          <w:tcPr>
            <w:tcW w:w="1261" w:type="dxa"/>
            <w:gridSpan w:val="2"/>
            <w:tcBorders>
              <w:top w:val="single" w:sz="12" w:space="0" w:color="auto"/>
            </w:tcBorders>
          </w:tcPr>
          <w:p w14:paraId="213DB3C2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-23.5%</w:t>
            </w:r>
          </w:p>
        </w:tc>
        <w:tc>
          <w:tcPr>
            <w:tcW w:w="1259" w:type="dxa"/>
            <w:tcBorders>
              <w:top w:val="single" w:sz="12" w:space="0" w:color="auto"/>
            </w:tcBorders>
          </w:tcPr>
          <w:p w14:paraId="5725DFE8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-16.1%</w:t>
            </w:r>
          </w:p>
        </w:tc>
      </w:tr>
      <w:tr w:rsidR="008226E3" w:rsidRPr="00B82A45" w14:paraId="16362A1F" w14:textId="77777777" w:rsidTr="006833A3">
        <w:tc>
          <w:tcPr>
            <w:tcW w:w="1594" w:type="dxa"/>
          </w:tcPr>
          <w:p w14:paraId="547542CA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Passed (&gt;95%)</w:t>
            </w:r>
          </w:p>
        </w:tc>
        <w:tc>
          <w:tcPr>
            <w:tcW w:w="1141" w:type="dxa"/>
          </w:tcPr>
          <w:p w14:paraId="31901FAB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0/10</w:t>
            </w:r>
          </w:p>
        </w:tc>
        <w:tc>
          <w:tcPr>
            <w:tcW w:w="1253" w:type="dxa"/>
          </w:tcPr>
          <w:p w14:paraId="011BA643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1/10</w:t>
            </w:r>
          </w:p>
        </w:tc>
        <w:tc>
          <w:tcPr>
            <w:tcW w:w="1259" w:type="dxa"/>
          </w:tcPr>
          <w:p w14:paraId="1CC6023A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0/5</w:t>
            </w:r>
          </w:p>
        </w:tc>
        <w:tc>
          <w:tcPr>
            <w:tcW w:w="1259" w:type="dxa"/>
          </w:tcPr>
          <w:p w14:paraId="73503326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0/5</w:t>
            </w:r>
          </w:p>
        </w:tc>
        <w:tc>
          <w:tcPr>
            <w:tcW w:w="1261" w:type="dxa"/>
            <w:gridSpan w:val="2"/>
          </w:tcPr>
          <w:p w14:paraId="66C73A77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0/5</w:t>
            </w:r>
          </w:p>
        </w:tc>
        <w:tc>
          <w:tcPr>
            <w:tcW w:w="1259" w:type="dxa"/>
          </w:tcPr>
          <w:p w14:paraId="041AE0FE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1/40</w:t>
            </w:r>
          </w:p>
        </w:tc>
      </w:tr>
      <w:tr w:rsidR="008226E3" w:rsidRPr="00B82A45" w14:paraId="58D98CFD" w14:textId="77777777" w:rsidTr="006833A3">
        <w:tc>
          <w:tcPr>
            <w:tcW w:w="1594" w:type="dxa"/>
          </w:tcPr>
          <w:p w14:paraId="36FAA36E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</w:rPr>
                  <m:t xml:space="preserve">AXB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(D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m,m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</w:rPr>
                      <m:t>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cal</m:t>
                    </m:r>
                  </m:sup>
                </m:sSup>
              </m:oMath>
            </m:oMathPara>
          </w:p>
        </w:tc>
        <w:tc>
          <w:tcPr>
            <w:tcW w:w="1141" w:type="dxa"/>
          </w:tcPr>
          <w:p w14:paraId="485C8754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-1.9%</w:t>
            </w:r>
          </w:p>
        </w:tc>
        <w:tc>
          <w:tcPr>
            <w:tcW w:w="1253" w:type="dxa"/>
          </w:tcPr>
          <w:p w14:paraId="20C08F96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-1.4%</w:t>
            </w:r>
          </w:p>
        </w:tc>
        <w:tc>
          <w:tcPr>
            <w:tcW w:w="1259" w:type="dxa"/>
          </w:tcPr>
          <w:p w14:paraId="165140D1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-1.3%</w:t>
            </w:r>
          </w:p>
        </w:tc>
        <w:tc>
          <w:tcPr>
            <w:tcW w:w="1259" w:type="dxa"/>
          </w:tcPr>
          <w:p w14:paraId="463044CD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-8.9%</w:t>
            </w:r>
          </w:p>
        </w:tc>
        <w:tc>
          <w:tcPr>
            <w:tcW w:w="1261" w:type="dxa"/>
            <w:gridSpan w:val="2"/>
          </w:tcPr>
          <w:p w14:paraId="44CC5320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-3.2%</w:t>
            </w:r>
          </w:p>
        </w:tc>
        <w:tc>
          <w:tcPr>
            <w:tcW w:w="1259" w:type="dxa"/>
          </w:tcPr>
          <w:p w14:paraId="6D9DC69E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-2.9%</w:t>
            </w:r>
          </w:p>
        </w:tc>
      </w:tr>
      <w:tr w:rsidR="008226E3" w:rsidRPr="00B82A45" w14:paraId="19F685C7" w14:textId="77777777" w:rsidTr="006833A3">
        <w:tc>
          <w:tcPr>
            <w:tcW w:w="1594" w:type="dxa"/>
            <w:tcBorders>
              <w:bottom w:val="single" w:sz="12" w:space="0" w:color="auto"/>
            </w:tcBorders>
          </w:tcPr>
          <w:p w14:paraId="2D02ADD6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Passed (&gt;95%)</w:t>
            </w:r>
          </w:p>
        </w:tc>
        <w:tc>
          <w:tcPr>
            <w:tcW w:w="1141" w:type="dxa"/>
            <w:tcBorders>
              <w:bottom w:val="single" w:sz="12" w:space="0" w:color="auto"/>
            </w:tcBorders>
          </w:tcPr>
          <w:p w14:paraId="5AD3C21B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10/10</w:t>
            </w:r>
          </w:p>
        </w:tc>
        <w:tc>
          <w:tcPr>
            <w:tcW w:w="1253" w:type="dxa"/>
            <w:tcBorders>
              <w:bottom w:val="single" w:sz="12" w:space="0" w:color="auto"/>
            </w:tcBorders>
          </w:tcPr>
          <w:p w14:paraId="08CA7E12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9/10</w:t>
            </w:r>
          </w:p>
        </w:tc>
        <w:tc>
          <w:tcPr>
            <w:tcW w:w="1259" w:type="dxa"/>
            <w:tcBorders>
              <w:bottom w:val="single" w:sz="12" w:space="0" w:color="auto"/>
            </w:tcBorders>
          </w:tcPr>
          <w:p w14:paraId="5B534078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4/5</w:t>
            </w:r>
          </w:p>
        </w:tc>
        <w:tc>
          <w:tcPr>
            <w:tcW w:w="1259" w:type="dxa"/>
            <w:tcBorders>
              <w:bottom w:val="single" w:sz="12" w:space="0" w:color="auto"/>
            </w:tcBorders>
          </w:tcPr>
          <w:p w14:paraId="23DD23D2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0/5</w:t>
            </w:r>
          </w:p>
        </w:tc>
        <w:tc>
          <w:tcPr>
            <w:tcW w:w="1261" w:type="dxa"/>
            <w:gridSpan w:val="2"/>
            <w:tcBorders>
              <w:bottom w:val="single" w:sz="12" w:space="0" w:color="auto"/>
            </w:tcBorders>
          </w:tcPr>
          <w:p w14:paraId="75B3FC2A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7/10</w:t>
            </w:r>
          </w:p>
        </w:tc>
        <w:tc>
          <w:tcPr>
            <w:tcW w:w="1259" w:type="dxa"/>
            <w:tcBorders>
              <w:bottom w:val="single" w:sz="12" w:space="0" w:color="auto"/>
            </w:tcBorders>
          </w:tcPr>
          <w:p w14:paraId="14DDBF09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30/40</w:t>
            </w:r>
          </w:p>
        </w:tc>
      </w:tr>
      <w:tr w:rsidR="008226E3" w:rsidRPr="00B82A45" w14:paraId="2569FBFB" w14:textId="77777777" w:rsidTr="006833A3">
        <w:tc>
          <w:tcPr>
            <w:tcW w:w="1594" w:type="dxa"/>
            <w:tcBorders>
              <w:top w:val="single" w:sz="12" w:space="0" w:color="auto"/>
              <w:bottom w:val="double" w:sz="18" w:space="0" w:color="auto"/>
            </w:tcBorders>
          </w:tcPr>
          <w:p w14:paraId="2176DE0A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Improvement</w:t>
            </w:r>
          </w:p>
        </w:tc>
        <w:tc>
          <w:tcPr>
            <w:tcW w:w="1141" w:type="dxa"/>
            <w:tcBorders>
              <w:top w:val="single" w:sz="12" w:space="0" w:color="auto"/>
              <w:bottom w:val="double" w:sz="18" w:space="0" w:color="auto"/>
            </w:tcBorders>
          </w:tcPr>
          <w:p w14:paraId="6830E8B1" w14:textId="30BB3063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17.1%</w:t>
            </w:r>
          </w:p>
        </w:tc>
        <w:tc>
          <w:tcPr>
            <w:tcW w:w="1253" w:type="dxa"/>
            <w:tcBorders>
              <w:top w:val="single" w:sz="12" w:space="0" w:color="auto"/>
              <w:bottom w:val="double" w:sz="18" w:space="0" w:color="auto"/>
            </w:tcBorders>
          </w:tcPr>
          <w:p w14:paraId="375BBDF2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8.7%</w:t>
            </w:r>
          </w:p>
        </w:tc>
        <w:tc>
          <w:tcPr>
            <w:tcW w:w="1259" w:type="dxa"/>
            <w:tcBorders>
              <w:top w:val="single" w:sz="12" w:space="0" w:color="auto"/>
              <w:bottom w:val="double" w:sz="18" w:space="0" w:color="auto"/>
            </w:tcBorders>
          </w:tcPr>
          <w:p w14:paraId="5592B91D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11.4%</w:t>
            </w:r>
          </w:p>
        </w:tc>
        <w:tc>
          <w:tcPr>
            <w:tcW w:w="1259" w:type="dxa"/>
            <w:tcBorders>
              <w:top w:val="single" w:sz="12" w:space="0" w:color="auto"/>
              <w:bottom w:val="double" w:sz="18" w:space="0" w:color="auto"/>
            </w:tcBorders>
          </w:tcPr>
          <w:p w14:paraId="78D48352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2.5%</w:t>
            </w:r>
          </w:p>
        </w:tc>
        <w:tc>
          <w:tcPr>
            <w:tcW w:w="1261" w:type="dxa"/>
            <w:gridSpan w:val="2"/>
            <w:tcBorders>
              <w:top w:val="single" w:sz="12" w:space="0" w:color="auto"/>
              <w:bottom w:val="double" w:sz="18" w:space="0" w:color="auto"/>
            </w:tcBorders>
          </w:tcPr>
          <w:p w14:paraId="0BBECF50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20.3%</w:t>
            </w:r>
          </w:p>
        </w:tc>
        <w:tc>
          <w:tcPr>
            <w:tcW w:w="1259" w:type="dxa"/>
            <w:tcBorders>
              <w:top w:val="single" w:sz="12" w:space="0" w:color="auto"/>
              <w:bottom w:val="double" w:sz="18" w:space="0" w:color="auto"/>
            </w:tcBorders>
          </w:tcPr>
          <w:p w14:paraId="3223E08B" w14:textId="77777777" w:rsidR="008226E3" w:rsidRPr="00B82A45" w:rsidRDefault="008226E3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13.2%</w:t>
            </w:r>
          </w:p>
        </w:tc>
      </w:tr>
    </w:tbl>
    <w:p w14:paraId="271D1918" w14:textId="0680D66B" w:rsidR="00F03AD7" w:rsidRDefault="00381C25" w:rsidP="00F03AD7">
      <w:pPr>
        <w:spacing w:after="0" w:line="48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</w:pPr>
      <w:r w:rsidRPr="00B82A45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E2B06D9" wp14:editId="5D9C79C6">
                <wp:simplePos x="0" y="0"/>
                <wp:positionH relativeFrom="page">
                  <wp:posOffset>857250</wp:posOffset>
                </wp:positionH>
                <wp:positionV relativeFrom="paragraph">
                  <wp:posOffset>-2182677</wp:posOffset>
                </wp:positionV>
                <wp:extent cx="5731510" cy="495300"/>
                <wp:effectExtent l="0" t="0" r="2540" b="0"/>
                <wp:wrapSquare wrapText="bothSides"/>
                <wp:docPr id="20399615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1784A" w14:textId="77777777" w:rsidR="006D3283" w:rsidRPr="001E5DF5" w:rsidRDefault="006D3283" w:rsidP="006D328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E5DF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</w:t>
                            </w:r>
                            <w:r w:rsidRPr="001E5DF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. </w:t>
                            </w:r>
                            <w:r w:rsidRPr="001E5DF5">
                              <w:rPr>
                                <w:rFonts w:ascii="Times New Roman" w:hAnsi="Times New Roman" w:cs="Times New Roman"/>
                              </w:rPr>
                              <w:t xml:space="preserve">Average percentage differences between AAA (reference) and AXB </w:t>
                            </w:r>
                            <w:r w:rsidRPr="001E5DF5"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en-AU"/>
                                <w14:ligatures w14:val="none"/>
                              </w:rPr>
                              <w:t>(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m,m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="Times New Roman"/>
                                </w:rPr>
                                <m:t>)</m:t>
                              </m:r>
                            </m:oMath>
                            <w:r w:rsidRPr="001E5DF5"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comparisons with measurements in the ArcCHECK phantom.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2B06D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7.5pt;margin-top:-171.85pt;width:451.3pt;height:3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" stroked="f">
                <v:textbox>
                  <w:txbxContent>
                    <w:p w14:paraId="6381784A" w14:textId="77777777" w:rsidR="006D3283" w:rsidRPr="001E5DF5" w:rsidRDefault="006D3283" w:rsidP="006D328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E5DF5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Table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1</w:t>
                      </w:r>
                      <w:r w:rsidRPr="001E5DF5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. </w:t>
                      </w:r>
                      <w:r w:rsidRPr="001E5DF5">
                        <w:rPr>
                          <w:rFonts w:ascii="Times New Roman" w:hAnsi="Times New Roman" w:cs="Times New Roman"/>
                        </w:rPr>
                        <w:t xml:space="preserve">Average percentage differences between AAA (reference) and AXB </w:t>
                      </w:r>
                      <w:r w:rsidRPr="001E5DF5">
                        <w:rPr>
                          <w:rFonts w:ascii="Times New Roman" w:eastAsia="Times New Roman" w:hAnsi="Times New Roman" w:cs="Times New Roman"/>
                          <w:kern w:val="0"/>
                          <w:lang w:eastAsia="en-AU"/>
                          <w14:ligatures w14:val="none"/>
                        </w:rPr>
                        <w:t>(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m,m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</w:rPr>
                          <m:t>)</m:t>
                        </m:r>
                      </m:oMath>
                      <w:r w:rsidRPr="001E5DF5">
                        <w:rPr>
                          <w:rFonts w:ascii="Times New Roman" w:eastAsia="Times New Roman" w:hAnsi="Times New Roman" w:cs="Times New Roman"/>
                        </w:rPr>
                        <w:t xml:space="preserve"> comparisons with measurements in the ArcCHECK phantom.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551B2B"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  <w:t xml:space="preserve">Note: </w:t>
      </w:r>
      <w:r w:rsidRPr="00551B2B">
        <w:rPr>
          <w:rFonts w:ascii="Times New Roman" w:eastAsia="Times New Roman" w:hAnsi="Times New Roman" w:cs="Times New Roman"/>
          <w:sz w:val="20"/>
          <w:szCs w:val="20"/>
        </w:rPr>
        <w:t>The passing rates, grouped by treatment site, are shown for both the standard dose-to-water calibration (</w:t>
      </w:r>
      <w:r w:rsidRPr="00551B2B">
        <w:rPr>
          <w:rFonts w:ascii="Times New Roman" w:hAnsi="Times New Roman" w:cs="Times New Roman"/>
          <w:sz w:val="20"/>
          <w:szCs w:val="20"/>
        </w:rPr>
        <w:t xml:space="preserve">AXB </w:t>
      </w:r>
      <w:r w:rsidRPr="00551B2B"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  <w:t>(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m,m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)</m:t>
        </m:r>
      </m:oMath>
      <w:r w:rsidRPr="00551B2B">
        <w:rPr>
          <w:rFonts w:ascii="Times New Roman" w:eastAsia="Times New Roman" w:hAnsi="Times New Roman" w:cs="Times New Roman"/>
          <w:sz w:val="20"/>
          <w:szCs w:val="20"/>
        </w:rPr>
        <w:t>) and the dose-to-medium calibration (</w:t>
      </w:r>
      <m:oMath>
        <m:r>
          <w:rPr>
            <w:rFonts w:ascii="Cambria Math" w:eastAsia="Times New Roman" w:hAnsi="Cambria Math" w:cs="Times New Roman"/>
            <w:sz w:val="20"/>
            <w:szCs w:val="20"/>
          </w:rPr>
          <m:t xml:space="preserve">AXB </m:t>
        </m:r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(D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m,m</m:t>
                </m:r>
              </m:sub>
            </m:sSub>
            <m:r>
              <w:rPr>
                <w:rFonts w:ascii="Cambria Math" w:hAnsi="Cambria Math" w:cs="Times New Roman"/>
                <w:sz w:val="20"/>
                <w:szCs w:val="20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cal</m:t>
            </m:r>
          </m:sup>
        </m:sSup>
        <m:r>
          <w:rPr>
            <w:rFonts w:ascii="Cambria Math" w:hAnsi="Cambria Math" w:cs="Times New Roman"/>
            <w:sz w:val="20"/>
            <w:szCs w:val="20"/>
          </w:rPr>
          <m:t>)</m:t>
        </m:r>
      </m:oMath>
      <w:r w:rsidRPr="00551B2B">
        <w:rPr>
          <w:rFonts w:ascii="Times New Roman" w:eastAsia="Times New Roman" w:hAnsi="Times New Roman" w:cs="Times New Roman"/>
          <w:sz w:val="20"/>
          <w:szCs w:val="20"/>
        </w:rPr>
        <w:t xml:space="preserve">.  The absolute difference (improvement) between </w:t>
      </w:r>
      <w:r w:rsidRPr="00551B2B">
        <w:rPr>
          <w:rFonts w:ascii="Times New Roman" w:hAnsi="Times New Roman" w:cs="Times New Roman"/>
          <w:sz w:val="20"/>
          <w:szCs w:val="20"/>
        </w:rPr>
        <w:t xml:space="preserve">AXB </w:t>
      </w:r>
      <w:r w:rsidRPr="00551B2B"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  <w:t>(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m,m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)</m:t>
        </m:r>
      </m:oMath>
      <w:r w:rsidRPr="00551B2B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m:oMath>
        <m:r>
          <w:rPr>
            <w:rFonts w:ascii="Cambria Math" w:eastAsia="Times New Roman" w:hAnsi="Cambria Math" w:cs="Times New Roman"/>
            <w:sz w:val="20"/>
            <w:szCs w:val="20"/>
          </w:rPr>
          <m:t xml:space="preserve">AXB </m:t>
        </m:r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(D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m,m</m:t>
                </m:r>
              </m:sub>
            </m:sSub>
            <m:r>
              <w:rPr>
                <w:rFonts w:ascii="Cambria Math" w:hAnsi="Cambria Math" w:cs="Times New Roman"/>
                <w:sz w:val="20"/>
                <w:szCs w:val="20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cal</m:t>
            </m:r>
          </m:sup>
        </m:sSup>
      </m:oMath>
      <w:r w:rsidRPr="00551B2B">
        <w:rPr>
          <w:rFonts w:ascii="Times New Roman" w:eastAsia="Times New Roman" w:hAnsi="Times New Roman" w:cs="Times New Roman"/>
          <w:sz w:val="20"/>
          <w:szCs w:val="20"/>
        </w:rPr>
        <w:t xml:space="preserve"> is presented. </w:t>
      </w:r>
      <w:r w:rsidRPr="00551B2B"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  <w:t>HN: head and neck, Pelvis: 5 cervix and 5 prostate plans.</w:t>
      </w:r>
    </w:p>
    <w:p w14:paraId="17AE7242" w14:textId="77777777" w:rsidR="00F03AD7" w:rsidRDefault="00F03AD7">
      <w:pPr>
        <w:spacing w:line="278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  <w:br w:type="page"/>
      </w:r>
    </w:p>
    <w:p w14:paraId="7A14AEBF" w14:textId="3B545171" w:rsidR="00233D8C" w:rsidRDefault="00F03AD7" w:rsidP="00F03AD7">
      <w:pPr>
        <w:spacing w:after="0" w:line="480" w:lineRule="auto"/>
      </w:pPr>
      <w:r w:rsidRPr="00B82A45">
        <w:rPr>
          <w:rFonts w:ascii="Times New Roman" w:eastAsia="Times New Roman" w:hAnsi="Times New Roman" w:cs="Times New Roman"/>
          <w:b/>
          <w:b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CC52482" wp14:editId="22165B81">
                <wp:simplePos x="0" y="0"/>
                <wp:positionH relativeFrom="margin">
                  <wp:posOffset>0</wp:posOffset>
                </wp:positionH>
                <wp:positionV relativeFrom="paragraph">
                  <wp:posOffset>388620</wp:posOffset>
                </wp:positionV>
                <wp:extent cx="5014595" cy="3810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459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6207F9" w14:textId="77777777" w:rsidR="00F03AD7" w:rsidRDefault="00F03AD7" w:rsidP="00F03AD7">
                            <w:pPr>
                              <w:jc w:val="both"/>
                            </w:pPr>
                            <w:r w:rsidRPr="009F07E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Pr="009F07E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9F07EE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 Absolute doses (</w:t>
                            </w:r>
                            <w:proofErr w:type="spellStart"/>
                            <w:r w:rsidRPr="009F07EE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cGy</w:t>
                            </w:r>
                            <w:proofErr w:type="spellEnd"/>
                            <w:r w:rsidRPr="009F07EE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/100 MU) measured during the ArcCHECK dose-to-medium calibration outline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d</w:t>
                            </w:r>
                            <w:r w:rsidRPr="009F07EE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 in Section 2B.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52482" id="_x0000_s1027" type="#_x0000_t202" style="position:absolute;margin-left:0;margin-top:30.6pt;width:394.85pt;height:30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" stroked="f">
                <v:textbox>
                  <w:txbxContent>
                    <w:p w14:paraId="1A6207F9" w14:textId="77777777" w:rsidR="00F03AD7" w:rsidRDefault="00F03AD7" w:rsidP="00F03AD7">
                      <w:pPr>
                        <w:jc w:val="both"/>
                      </w:pPr>
                      <w:r w:rsidRPr="009F07EE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Table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Pr="009F07EE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 w:rsidRPr="009F07EE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 xml:space="preserve"> Absolute doses (</w:t>
                      </w:r>
                      <w:proofErr w:type="spellStart"/>
                      <w:r w:rsidRPr="009F07EE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cGy</w:t>
                      </w:r>
                      <w:proofErr w:type="spellEnd"/>
                      <w:r w:rsidRPr="009F07EE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/100 MU) measured during the ArcCHECK dose-to-medium calibration outline</w:t>
                      </w:r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d</w:t>
                      </w:r>
                      <w:r w:rsidRPr="009F07EE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 xml:space="preserve"> in Section 2B.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56A17C2" w14:textId="77777777" w:rsidR="00233D8C" w:rsidRDefault="00233D8C"/>
    <w:tbl>
      <w:tblPr>
        <w:tblStyle w:val="GridTable1Light"/>
        <w:tblpPr w:leftFromText="180" w:rightFromText="180" w:vertAnchor="text" w:horzAnchor="margin" w:tblpY="378"/>
        <w:tblW w:w="79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701"/>
        <w:gridCol w:w="1701"/>
        <w:gridCol w:w="1701"/>
        <w:gridCol w:w="1701"/>
      </w:tblGrid>
      <w:tr w:rsidR="00DD43B5" w:rsidRPr="00B82A45" w14:paraId="45ED7E33" w14:textId="77777777" w:rsidTr="00DD43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double" w:sz="18" w:space="0" w:color="auto"/>
              <w:bottom w:val="single" w:sz="12" w:space="0" w:color="auto"/>
            </w:tcBorders>
          </w:tcPr>
          <w:p w14:paraId="76584696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double" w:sz="18" w:space="0" w:color="auto"/>
              <w:bottom w:val="single" w:sz="12" w:space="0" w:color="auto"/>
            </w:tcBorders>
          </w:tcPr>
          <w:p w14:paraId="3398E6D3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6 MV</w:t>
            </w:r>
          </w:p>
        </w:tc>
        <w:tc>
          <w:tcPr>
            <w:tcW w:w="1701" w:type="dxa"/>
            <w:tcBorders>
              <w:top w:val="double" w:sz="18" w:space="0" w:color="auto"/>
              <w:bottom w:val="single" w:sz="12" w:space="0" w:color="auto"/>
            </w:tcBorders>
          </w:tcPr>
          <w:p w14:paraId="0BDBE9B9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6 FFF</w:t>
            </w:r>
          </w:p>
        </w:tc>
        <w:tc>
          <w:tcPr>
            <w:tcW w:w="1701" w:type="dxa"/>
            <w:tcBorders>
              <w:top w:val="double" w:sz="18" w:space="0" w:color="auto"/>
              <w:bottom w:val="single" w:sz="12" w:space="0" w:color="auto"/>
            </w:tcBorders>
          </w:tcPr>
          <w:p w14:paraId="0EA2131C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10 MV</w:t>
            </w:r>
          </w:p>
        </w:tc>
        <w:tc>
          <w:tcPr>
            <w:tcW w:w="1701" w:type="dxa"/>
            <w:tcBorders>
              <w:top w:val="double" w:sz="18" w:space="0" w:color="auto"/>
              <w:bottom w:val="single" w:sz="12" w:space="0" w:color="auto"/>
            </w:tcBorders>
          </w:tcPr>
          <w:p w14:paraId="7AC3D5C9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10 FFF</w:t>
            </w:r>
          </w:p>
        </w:tc>
      </w:tr>
      <w:tr w:rsidR="00DD43B5" w:rsidRPr="00B82A45" w14:paraId="069F99A5" w14:textId="77777777" w:rsidTr="00DD43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12" w:space="0" w:color="auto"/>
            </w:tcBorders>
          </w:tcPr>
          <w:p w14:paraId="430F3FDF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 w:val="0"/>
                        <w:bCs w:val="0"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w,w</m:t>
                    </m:r>
                  </m:sub>
                </m:sSub>
              </m:oMath>
            </m:oMathPara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3B122395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120.1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41EBCF3D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118.8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0E7A3546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123.7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015A774E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123.0</w:t>
            </w:r>
          </w:p>
        </w:tc>
      </w:tr>
      <w:tr w:rsidR="00DD43B5" w:rsidRPr="00B82A45" w14:paraId="5F7C7B3A" w14:textId="77777777" w:rsidTr="00DD43B5">
        <w:trPr>
          <w:trHeight w:val="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3D60C29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w,p</m:t>
                    </m:r>
                  </m:sub>
                </m:sSub>
              </m:oMath>
            </m:oMathPara>
          </w:p>
        </w:tc>
        <w:tc>
          <w:tcPr>
            <w:tcW w:w="1701" w:type="dxa"/>
          </w:tcPr>
          <w:p w14:paraId="359D4F3A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120.0</w:t>
            </w:r>
          </w:p>
        </w:tc>
        <w:tc>
          <w:tcPr>
            <w:tcW w:w="1701" w:type="dxa"/>
          </w:tcPr>
          <w:p w14:paraId="6EF545D0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118.0</w:t>
            </w:r>
          </w:p>
        </w:tc>
        <w:tc>
          <w:tcPr>
            <w:tcW w:w="1701" w:type="dxa"/>
          </w:tcPr>
          <w:p w14:paraId="528427B6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123.0</w:t>
            </w:r>
          </w:p>
        </w:tc>
        <w:tc>
          <w:tcPr>
            <w:tcW w:w="1701" w:type="dxa"/>
          </w:tcPr>
          <w:p w14:paraId="32F4415E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120.7</w:t>
            </w:r>
          </w:p>
        </w:tc>
      </w:tr>
      <w:tr w:rsidR="00DD43B5" w:rsidRPr="00B82A45" w14:paraId="1AC57859" w14:textId="77777777" w:rsidTr="00DD43B5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12" w:space="0" w:color="auto"/>
              <w:bottom w:val="double" w:sz="18" w:space="0" w:color="auto"/>
            </w:tcBorders>
          </w:tcPr>
          <w:p w14:paraId="4590563B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p,p</m:t>
                    </m:r>
                  </m:sub>
                </m:sSub>
              </m:oMath>
            </m:oMathPara>
          </w:p>
        </w:tc>
        <w:tc>
          <w:tcPr>
            <w:tcW w:w="1701" w:type="dxa"/>
            <w:tcBorders>
              <w:top w:val="single" w:sz="12" w:space="0" w:color="auto"/>
              <w:bottom w:val="double" w:sz="18" w:space="0" w:color="auto"/>
            </w:tcBorders>
          </w:tcPr>
          <w:p w14:paraId="4D49006E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116.4</w:t>
            </w:r>
          </w:p>
        </w:tc>
        <w:tc>
          <w:tcPr>
            <w:tcW w:w="1701" w:type="dxa"/>
            <w:tcBorders>
              <w:top w:val="single" w:sz="12" w:space="0" w:color="auto"/>
              <w:bottom w:val="double" w:sz="18" w:space="0" w:color="auto"/>
            </w:tcBorders>
          </w:tcPr>
          <w:p w14:paraId="04A2647D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114.6</w:t>
            </w:r>
          </w:p>
        </w:tc>
        <w:tc>
          <w:tcPr>
            <w:tcW w:w="1701" w:type="dxa"/>
            <w:tcBorders>
              <w:top w:val="single" w:sz="12" w:space="0" w:color="auto"/>
              <w:bottom w:val="double" w:sz="18" w:space="0" w:color="auto"/>
            </w:tcBorders>
          </w:tcPr>
          <w:p w14:paraId="64F5D1CB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119.5</w:t>
            </w:r>
          </w:p>
        </w:tc>
        <w:tc>
          <w:tcPr>
            <w:tcW w:w="1701" w:type="dxa"/>
            <w:tcBorders>
              <w:top w:val="single" w:sz="12" w:space="0" w:color="auto"/>
              <w:bottom w:val="double" w:sz="18" w:space="0" w:color="auto"/>
            </w:tcBorders>
          </w:tcPr>
          <w:p w14:paraId="457E5667" w14:textId="77777777" w:rsidR="00DD43B5" w:rsidRPr="00B82A45" w:rsidRDefault="00DD43B5" w:rsidP="00DD43B5">
            <w:pPr>
              <w:spacing w:before="100" w:beforeAutospacing="1" w:after="100" w:afterAutospacing="1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>117.2</w:t>
            </w:r>
          </w:p>
        </w:tc>
      </w:tr>
    </w:tbl>
    <w:p w14:paraId="1BA342A1" w14:textId="77777777" w:rsidR="00233D8C" w:rsidRDefault="00233D8C"/>
    <w:p w14:paraId="6BA7420B" w14:textId="77777777" w:rsidR="00233D8C" w:rsidRDefault="00233D8C"/>
    <w:p w14:paraId="5729AEF9" w14:textId="77777777" w:rsidR="00233D8C" w:rsidRDefault="00233D8C"/>
    <w:p w14:paraId="7694AB94" w14:textId="77777777" w:rsidR="00233D8C" w:rsidRDefault="00233D8C"/>
    <w:p w14:paraId="213EDC3D" w14:textId="77777777" w:rsidR="00233D8C" w:rsidRDefault="00233D8C"/>
    <w:p w14:paraId="5B7F3F70" w14:textId="77777777" w:rsidR="00233D8C" w:rsidRDefault="00233D8C"/>
    <w:p w14:paraId="28C04B26" w14:textId="77777777" w:rsidR="00233D8C" w:rsidRDefault="00233D8C"/>
    <w:p w14:paraId="1CC9CE85" w14:textId="009F0502" w:rsidR="00233D8C" w:rsidRDefault="00904158">
      <w:r w:rsidRPr="00551B2B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eastAsia="en-AU"/>
          <w14:ligatures w14:val="non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F8FC789" wp14:editId="1A6E1489">
                <wp:simplePos x="0" y="0"/>
                <wp:positionH relativeFrom="margin">
                  <wp:align>left</wp:align>
                </wp:positionH>
                <wp:positionV relativeFrom="paragraph">
                  <wp:posOffset>12428</wp:posOffset>
                </wp:positionV>
                <wp:extent cx="5219700" cy="904875"/>
                <wp:effectExtent l="0" t="0" r="19050" b="28575"/>
                <wp:wrapSquare wrapText="bothSides"/>
                <wp:docPr id="7408506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929CBD" w14:textId="77777777" w:rsidR="00904158" w:rsidRDefault="00904158" w:rsidP="00904158">
                            <w:pPr>
                              <w:spacing w:before="100" w:beforeAutospacing="1" w:after="100" w:afterAutospacing="1" w:line="48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en-AU"/>
                                <w14:ligatures w14:val="none"/>
                              </w:rPr>
                            </w:pPr>
                            <w:r w:rsidRPr="00551B2B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  <w:lang w:eastAsia="en-AU"/>
                                <w14:ligatures w14:val="none"/>
                              </w:rPr>
                              <w:t>Note:</w:t>
                            </w:r>
                            <w:r w:rsidRPr="00551B2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en-AU"/>
                                <w14:ligatures w14:val="none"/>
                              </w:rPr>
                              <w:t xml:space="preserve">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 w:cs="Times New Roman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 w:cs="Times New Roman"/>
                                      <w:sz w:val="20"/>
                                      <w:szCs w:val="20"/>
                                    </w:rPr>
                                    <m:t>w,p</m:t>
                                  </m:r>
                                </m:sub>
                              </m:sSub>
                            </m:oMath>
                            <w:r w:rsidRPr="009F07EE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 is the measured dose using a Farmer chamber, in Perspex.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 w:cs="Times New Roman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 w:cs="Times New Roman"/>
                                      <w:sz w:val="20"/>
                                      <w:szCs w:val="20"/>
                                    </w:rPr>
                                    <m:t>p,p</m:t>
                                  </m:r>
                                </m:sub>
                              </m:sSub>
                            </m:oMath>
                            <w:r w:rsidRPr="009F07EE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 is the Spencer-Attix corrected dose in Perspex, calculated using Equation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7, i.e.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>p,p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>w,p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>p,w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9F07EE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 w:cs="Times New Roman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 w:cs="Times New Roman"/>
                                      <w:sz w:val="20"/>
                                      <w:szCs w:val="20"/>
                                    </w:rPr>
                                    <m:t>w,w</m:t>
                                  </m:r>
                                </m:sub>
                              </m:sSub>
                            </m:oMath>
                            <w:r w:rsidRPr="009F07EE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 values from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a previous</w:t>
                            </w:r>
                            <w:r w:rsidRPr="009F07EE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 dose-to-water calibration of the ArcCHECK (Section 2A)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E93AFBC" w14:textId="77777777" w:rsidR="00904158" w:rsidRDefault="00904158" w:rsidP="0090415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FC789" id="_x0000_s1028" type="#_x0000_t202" style="position:absolute;margin-left:0;margin-top:1pt;width:411pt;height:71.2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" strokecolor="white [3212]">
                <v:textbox>
                  <w:txbxContent>
                    <w:p w14:paraId="17929CBD" w14:textId="77777777" w:rsidR="00904158" w:rsidRDefault="00904158" w:rsidP="00904158">
                      <w:pPr>
                        <w:spacing w:before="100" w:beforeAutospacing="1" w:after="100" w:afterAutospacing="1" w:line="48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lang w:eastAsia="en-AU"/>
                          <w14:ligatures w14:val="none"/>
                        </w:rPr>
                      </w:pPr>
                      <w:r w:rsidRPr="00551B2B">
                        <w:rPr>
                          <w:rFonts w:ascii="Times New Roman" w:eastAsia="Times New Roman" w:hAnsi="Times New Roman" w:cs="Times New Roman"/>
                          <w:kern w:val="0"/>
                          <w:sz w:val="20"/>
                          <w:szCs w:val="20"/>
                          <w:lang w:eastAsia="en-AU"/>
                          <w14:ligatures w14:val="none"/>
                        </w:rPr>
                        <w:t>Note:</w:t>
                      </w:r>
                      <w:r w:rsidRPr="00551B2B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0"/>
                          <w:szCs w:val="20"/>
                          <w:lang w:eastAsia="en-AU"/>
                          <w14:ligatures w14:val="none"/>
                        </w:rPr>
                        <w:t xml:space="preserve">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w,p</m:t>
                            </m:r>
                          </m:sub>
                        </m:sSub>
                      </m:oMath>
                      <w:r w:rsidRPr="009F07EE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 xml:space="preserve"> is the measured dose using a Farmer chamber, in Perspex.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p,p</m:t>
                            </m:r>
                          </m:sub>
                        </m:sSub>
                      </m:oMath>
                      <w:r w:rsidRPr="009F07EE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 xml:space="preserve"> is the Spencer-Attix corrected dose in Perspex, calculated using Equation </w:t>
                      </w:r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 xml:space="preserve">7, i.e.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vertAlign w:val="subscript"/>
                        </w:rPr>
                        <w:t>p,p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vertAlign w:val="subscript"/>
                        </w:rPr>
                        <w:t>w,p</w:t>
                      </w:r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k</w:t>
                      </w:r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vertAlign w:val="subscript"/>
                        </w:rPr>
                        <w:t>p,w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  <w:r w:rsidRPr="009F07EE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w,w</m:t>
                            </m:r>
                          </m:sub>
                        </m:sSub>
                      </m:oMath>
                      <w:r w:rsidRPr="009F07EE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 xml:space="preserve"> values from </w:t>
                      </w:r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a previous</w:t>
                      </w:r>
                      <w:r w:rsidRPr="009F07EE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 xml:space="preserve"> dose-to-water calibration of the ArcCHECK (Section 2A)</w:t>
                      </w:r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</w:p>
                    <w:p w14:paraId="6E93AFBC" w14:textId="77777777" w:rsidR="00904158" w:rsidRDefault="00904158" w:rsidP="00904158"/>
                  </w:txbxContent>
                </v:textbox>
                <w10:wrap type="square" anchorx="margin"/>
              </v:shape>
            </w:pict>
          </mc:Fallback>
        </mc:AlternateContent>
      </w:r>
    </w:p>
    <w:p w14:paraId="1272379F" w14:textId="57179FE3" w:rsidR="00D65910" w:rsidRDefault="00D65910">
      <w:pPr>
        <w:spacing w:line="278" w:lineRule="auto"/>
      </w:pPr>
      <w:r>
        <w:br w:type="page"/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275"/>
        <w:gridCol w:w="1276"/>
        <w:gridCol w:w="992"/>
        <w:gridCol w:w="1843"/>
        <w:gridCol w:w="1134"/>
      </w:tblGrid>
      <w:tr w:rsidR="0023488D" w:rsidRPr="00B82A45" w14:paraId="02B2A973" w14:textId="77777777" w:rsidTr="006833A3">
        <w:trPr>
          <w:trHeight w:val="291"/>
        </w:trPr>
        <w:tc>
          <w:tcPr>
            <w:tcW w:w="2694" w:type="dxa"/>
            <w:tcBorders>
              <w:top w:val="double" w:sz="18" w:space="0" w:color="auto"/>
              <w:bottom w:val="single" w:sz="12" w:space="0" w:color="auto"/>
            </w:tcBorders>
          </w:tcPr>
          <w:p w14:paraId="39E02E87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Comparison with CC04</w:t>
            </w:r>
          </w:p>
        </w:tc>
        <w:tc>
          <w:tcPr>
            <w:tcW w:w="1275" w:type="dxa"/>
            <w:tcBorders>
              <w:top w:val="double" w:sz="18" w:space="0" w:color="auto"/>
              <w:bottom w:val="single" w:sz="12" w:space="0" w:color="auto"/>
            </w:tcBorders>
          </w:tcPr>
          <w:p w14:paraId="6865BD18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82A45">
              <w:rPr>
                <w:rFonts w:ascii="Times New Roman" w:eastAsia="Times New Roman" w:hAnsi="Times New Roman" w:cs="Times New Roman"/>
                <w:b/>
                <w:bCs/>
              </w:rPr>
              <w:t>Pelvis</w:t>
            </w:r>
          </w:p>
        </w:tc>
        <w:tc>
          <w:tcPr>
            <w:tcW w:w="1276" w:type="dxa"/>
            <w:tcBorders>
              <w:top w:val="double" w:sz="18" w:space="0" w:color="auto"/>
              <w:bottom w:val="single" w:sz="12" w:space="0" w:color="auto"/>
            </w:tcBorders>
          </w:tcPr>
          <w:p w14:paraId="22142992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82A45">
              <w:rPr>
                <w:rFonts w:ascii="Times New Roman" w:eastAsia="Times New Roman" w:hAnsi="Times New Roman" w:cs="Times New Roman"/>
                <w:b/>
                <w:bCs/>
              </w:rPr>
              <w:t>HN</w:t>
            </w:r>
          </w:p>
        </w:tc>
        <w:tc>
          <w:tcPr>
            <w:tcW w:w="992" w:type="dxa"/>
            <w:tcBorders>
              <w:top w:val="double" w:sz="18" w:space="0" w:color="auto"/>
              <w:bottom w:val="single" w:sz="12" w:space="0" w:color="auto"/>
            </w:tcBorders>
          </w:tcPr>
          <w:p w14:paraId="7A8B966F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82A45">
              <w:rPr>
                <w:rFonts w:ascii="Times New Roman" w:eastAsia="Times New Roman" w:hAnsi="Times New Roman" w:cs="Times New Roman"/>
                <w:b/>
                <w:bCs/>
              </w:rPr>
              <w:t>Lung</w:t>
            </w:r>
          </w:p>
        </w:tc>
        <w:tc>
          <w:tcPr>
            <w:tcW w:w="1843" w:type="dxa"/>
            <w:tcBorders>
              <w:top w:val="double" w:sz="18" w:space="0" w:color="auto"/>
              <w:bottom w:val="single" w:sz="12" w:space="0" w:color="auto"/>
            </w:tcBorders>
          </w:tcPr>
          <w:p w14:paraId="58171CB4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</w:t>
            </w:r>
            <w:r w:rsidRPr="00B82A45">
              <w:rPr>
                <w:rFonts w:ascii="Times New Roman" w:eastAsia="Times New Roman" w:hAnsi="Times New Roman" w:cs="Times New Roman"/>
                <w:b/>
                <w:bCs/>
              </w:rPr>
              <w:t>Lung SBRT</w:t>
            </w:r>
          </w:p>
        </w:tc>
        <w:tc>
          <w:tcPr>
            <w:tcW w:w="1134" w:type="dxa"/>
            <w:tcBorders>
              <w:top w:val="double" w:sz="18" w:space="0" w:color="auto"/>
              <w:bottom w:val="single" w:sz="12" w:space="0" w:color="auto"/>
            </w:tcBorders>
          </w:tcPr>
          <w:p w14:paraId="09B51350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82A45">
              <w:rPr>
                <w:rFonts w:ascii="Times New Roman" w:eastAsia="Times New Roman" w:hAnsi="Times New Roman" w:cs="Times New Roman"/>
                <w:b/>
                <w:bCs/>
              </w:rPr>
              <w:t>Breast</w:t>
            </w:r>
          </w:p>
        </w:tc>
      </w:tr>
      <w:tr w:rsidR="0023488D" w:rsidRPr="00B82A45" w14:paraId="14DEE8A2" w14:textId="77777777" w:rsidTr="006833A3">
        <w:trPr>
          <w:trHeight w:val="395"/>
        </w:trPr>
        <w:tc>
          <w:tcPr>
            <w:tcW w:w="2694" w:type="dxa"/>
            <w:tcBorders>
              <w:top w:val="single" w:sz="12" w:space="0" w:color="auto"/>
            </w:tcBorders>
          </w:tcPr>
          <w:p w14:paraId="1B1B5BE6" w14:textId="77777777" w:rsidR="0023488D" w:rsidRPr="00B82A45" w:rsidRDefault="0023488D" w:rsidP="006833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B82A45">
              <w:rPr>
                <w:rFonts w:ascii="Times New Roman" w:eastAsia="Times New Roman" w:hAnsi="Times New Roman" w:cs="Times New Roman"/>
              </w:rPr>
              <w:t xml:space="preserve">AXB </w:t>
            </w:r>
            <w:r w:rsidRPr="00B82A45">
              <w:rPr>
                <w:rFonts w:ascii="Times New Roman" w:eastAsia="Times New Roman" w:hAnsi="Times New Roman" w:cs="Times New Roman"/>
                <w:kern w:val="0"/>
                <w:lang w:eastAsia="en-AU"/>
                <w14:ligatures w14:val="none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m,m</m:t>
                  </m:r>
                </m:sub>
              </m:sSub>
              <m:r>
                <w:rPr>
                  <w:rFonts w:ascii="Cambria Math" w:hAnsi="Cambria Math" w:cs="Times New Roman"/>
                </w:rPr>
                <m:t>)</m:t>
              </m:r>
            </m:oMath>
            <w:r w:rsidRPr="00B82A45"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</w:rPr>
              <w:t xml:space="preserve"> (AXB Ref)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14:paraId="03A1461A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-0.1%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5D0AF8C2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0.3%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08F615DA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-1.0%</w:t>
            </w:r>
          </w:p>
        </w:tc>
        <w:tc>
          <w:tcPr>
            <w:tcW w:w="1843" w:type="dxa"/>
            <w:tcBorders>
              <w:top w:val="single" w:sz="12" w:space="0" w:color="auto"/>
            </w:tcBorders>
          </w:tcPr>
          <w:p w14:paraId="63B10AD5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-0.8%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19F987E4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-0.7%</w:t>
            </w:r>
          </w:p>
        </w:tc>
      </w:tr>
      <w:tr w:rsidR="0023488D" w:rsidRPr="00B82A45" w14:paraId="1A1C4AEF" w14:textId="77777777" w:rsidTr="006833A3">
        <w:trPr>
          <w:trHeight w:val="319"/>
        </w:trPr>
        <w:tc>
          <w:tcPr>
            <w:tcW w:w="2694" w:type="dxa"/>
          </w:tcPr>
          <w:p w14:paraId="468F482C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AXB </w:t>
            </w:r>
            <w:r w:rsidRPr="00B82A45">
              <w:rPr>
                <w:rFonts w:ascii="Times New Roman" w:eastAsia="Times New Roman" w:hAnsi="Times New Roman" w:cs="Times New Roman"/>
                <w:kern w:val="0"/>
                <w:lang w:eastAsia="en-AU"/>
                <w14:ligatures w14:val="none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m,m</m:t>
                  </m:r>
                </m:sub>
              </m:sSub>
              <m:r>
                <w:rPr>
                  <w:rFonts w:ascii="Cambria Math" w:hAnsi="Cambria Math" w:cs="Times New Roman"/>
                </w:rPr>
                <m:t>)</m:t>
              </m:r>
            </m:oMath>
            <w:r>
              <w:rPr>
                <w:rFonts w:ascii="Times New Roman" w:eastAsia="Times New Roman" w:hAnsi="Times New Roman" w:cs="Times New Roman"/>
              </w:rPr>
              <w:t xml:space="preserve">    (AAA Ref)</w:t>
            </w:r>
          </w:p>
        </w:tc>
        <w:tc>
          <w:tcPr>
            <w:tcW w:w="1275" w:type="dxa"/>
          </w:tcPr>
          <w:p w14:paraId="01D0981B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4.2%</w:t>
            </w:r>
          </w:p>
        </w:tc>
        <w:tc>
          <w:tcPr>
            <w:tcW w:w="1276" w:type="dxa"/>
          </w:tcPr>
          <w:p w14:paraId="3A67E84D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5.0%</w:t>
            </w:r>
          </w:p>
        </w:tc>
        <w:tc>
          <w:tcPr>
            <w:tcW w:w="992" w:type="dxa"/>
          </w:tcPr>
          <w:p w14:paraId="3F47970F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4.9%</w:t>
            </w:r>
          </w:p>
        </w:tc>
        <w:tc>
          <w:tcPr>
            <w:tcW w:w="1843" w:type="dxa"/>
          </w:tcPr>
          <w:p w14:paraId="387AF710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3.0%</w:t>
            </w:r>
          </w:p>
        </w:tc>
        <w:tc>
          <w:tcPr>
            <w:tcW w:w="1134" w:type="dxa"/>
          </w:tcPr>
          <w:p w14:paraId="6064E7C5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4.3%</w:t>
            </w:r>
          </w:p>
        </w:tc>
      </w:tr>
      <w:tr w:rsidR="0023488D" w:rsidRPr="00B82A45" w14:paraId="22A61A67" w14:textId="77777777" w:rsidTr="006833A3">
        <w:trPr>
          <w:trHeight w:val="56"/>
        </w:trPr>
        <w:tc>
          <w:tcPr>
            <w:tcW w:w="2694" w:type="dxa"/>
            <w:tcBorders>
              <w:bottom w:val="double" w:sz="18" w:space="0" w:color="auto"/>
            </w:tcBorders>
          </w:tcPr>
          <w:p w14:paraId="4A73688C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AAA (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lang w:eastAsia="en-A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lang w:eastAsia="en-AU"/>
                      <w14:ligatures w14:val="none"/>
                    </w:rPr>
                    <m:t>D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kern w:val="0"/>
                      <w:lang w:eastAsia="en-AU"/>
                      <w14:ligatures w14:val="none"/>
                    </w:rPr>
                    <m:t>w,w</m:t>
                  </m:r>
                </m:sub>
              </m:sSub>
            </m:oMath>
            <w:r w:rsidRPr="00B82A45">
              <w:rPr>
                <w:rFonts w:ascii="Times New Roman" w:eastAsia="Times New Roman" w:hAnsi="Times New Roman" w:cs="Times New Roman"/>
                <w:kern w:val="0"/>
                <w:lang w:eastAsia="en-AU"/>
                <w14:ligatures w14:val="none"/>
              </w:rPr>
              <w:t>)</w:t>
            </w:r>
            <w:r>
              <w:rPr>
                <w:rFonts w:ascii="Times New Roman" w:eastAsia="Times New Roman" w:hAnsi="Times New Roman" w:cs="Times New Roman"/>
                <w:kern w:val="0"/>
                <w:lang w:eastAsia="en-AU"/>
                <w14:ligatures w14:val="none"/>
              </w:rPr>
              <w:t xml:space="preserve">     (AAA Ref)</w:t>
            </w:r>
          </w:p>
        </w:tc>
        <w:tc>
          <w:tcPr>
            <w:tcW w:w="1275" w:type="dxa"/>
            <w:tcBorders>
              <w:bottom w:val="double" w:sz="18" w:space="0" w:color="auto"/>
            </w:tcBorders>
          </w:tcPr>
          <w:p w14:paraId="487EA5C4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0.1%</w:t>
            </w:r>
          </w:p>
        </w:tc>
        <w:tc>
          <w:tcPr>
            <w:tcW w:w="1276" w:type="dxa"/>
            <w:tcBorders>
              <w:bottom w:val="double" w:sz="18" w:space="0" w:color="auto"/>
            </w:tcBorders>
          </w:tcPr>
          <w:p w14:paraId="3DAA210D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-0.4%</w:t>
            </w:r>
          </w:p>
        </w:tc>
        <w:tc>
          <w:tcPr>
            <w:tcW w:w="992" w:type="dxa"/>
            <w:tcBorders>
              <w:bottom w:val="double" w:sz="18" w:space="0" w:color="auto"/>
            </w:tcBorders>
          </w:tcPr>
          <w:p w14:paraId="42C2C930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0.5%</w:t>
            </w:r>
          </w:p>
        </w:tc>
        <w:tc>
          <w:tcPr>
            <w:tcW w:w="1843" w:type="dxa"/>
            <w:tcBorders>
              <w:bottom w:val="double" w:sz="18" w:space="0" w:color="auto"/>
            </w:tcBorders>
          </w:tcPr>
          <w:p w14:paraId="45AD0BA2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0.8%</w:t>
            </w:r>
          </w:p>
        </w:tc>
        <w:tc>
          <w:tcPr>
            <w:tcW w:w="1134" w:type="dxa"/>
            <w:tcBorders>
              <w:bottom w:val="double" w:sz="18" w:space="0" w:color="auto"/>
            </w:tcBorders>
          </w:tcPr>
          <w:p w14:paraId="1AA40D7C" w14:textId="77777777" w:rsidR="0023488D" w:rsidRPr="00B82A45" w:rsidRDefault="0023488D" w:rsidP="006833A3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-0.4%</w:t>
            </w:r>
          </w:p>
        </w:tc>
      </w:tr>
    </w:tbl>
    <w:p w14:paraId="47FAB0E4" w14:textId="5D1E1FEE" w:rsidR="0023488D" w:rsidRDefault="0023488D" w:rsidP="0023488D">
      <w:pPr>
        <w:spacing w:line="480" w:lineRule="auto"/>
      </w:pPr>
      <w:r w:rsidRPr="00B82A45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FD8EF37" wp14:editId="67BBC4D3">
                <wp:simplePos x="0" y="0"/>
                <wp:positionH relativeFrom="margin">
                  <wp:align>left</wp:align>
                </wp:positionH>
                <wp:positionV relativeFrom="paragraph">
                  <wp:posOffset>-1510211</wp:posOffset>
                </wp:positionV>
                <wp:extent cx="5910580" cy="581025"/>
                <wp:effectExtent l="0" t="0" r="13970" b="28575"/>
                <wp:wrapSquare wrapText="bothSides"/>
                <wp:docPr id="15873623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058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84BAE" w14:textId="77777777" w:rsidR="00D65910" w:rsidRPr="008F0A42" w:rsidRDefault="00D65910" w:rsidP="00D65910">
                            <w:pPr>
                              <w:spacing w:line="480" w:lineRule="auto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82A4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Table 3.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Average percentage differences between measured CC04 and </w:t>
                            </w:r>
                            <w:r w:rsidRPr="00B82A45"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AXB </w:t>
                            </w:r>
                            <w:r w:rsidRPr="00B82A45"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en-AU"/>
                                <w14:ligatures w14:val="none"/>
                              </w:rPr>
                              <w:t xml:space="preserve"> (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m,m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="Times New Roman"/>
                                </w:rPr>
                                <m:t>)</m:t>
                              </m:r>
                            </m:oMath>
                            <w:r w:rsidRPr="00B82A45"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calculated point doses in the ArcCHECK phantom,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8EF37" id="_x0000_s1029" type="#_x0000_t202" style="position:absolute;margin-left:0;margin-top:-118.9pt;width:465.4pt;height:45.75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" strokecolor="white [3212]">
                <v:textbox>
                  <w:txbxContent>
                    <w:p w14:paraId="61E84BAE" w14:textId="77777777" w:rsidR="00D65910" w:rsidRPr="008F0A42" w:rsidRDefault="00D65910" w:rsidP="00D65910">
                      <w:pPr>
                        <w:spacing w:line="480" w:lineRule="auto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B82A45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Table 3.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Average percentage differences between measured CC04 and </w:t>
                      </w:r>
                      <w:r w:rsidRPr="00B82A45">
                        <w:rPr>
                          <w:rFonts w:ascii="Times New Roman" w:eastAsia="Times New Roman" w:hAnsi="Times New Roman" w:cs="Times New Roman"/>
                        </w:rPr>
                        <w:t xml:space="preserve">AXB </w:t>
                      </w:r>
                      <w:r w:rsidRPr="00B82A45">
                        <w:rPr>
                          <w:rFonts w:ascii="Times New Roman" w:eastAsia="Times New Roman" w:hAnsi="Times New Roman" w:cs="Times New Roman"/>
                          <w:kern w:val="0"/>
                          <w:lang w:eastAsia="en-AU"/>
                          <w14:ligatures w14:val="none"/>
                        </w:rPr>
                        <w:t xml:space="preserve"> (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m,m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</w:rPr>
                          <m:t>)</m:t>
                        </m:r>
                      </m:oMath>
                      <w:r w:rsidRPr="00B82A45"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calculated point doses in the ArcCHECK phantom,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A22"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  <w:t xml:space="preserve">Note: The measurements are shown </w:t>
      </w:r>
      <w:r w:rsidRPr="003E0A22">
        <w:rPr>
          <w:rFonts w:ascii="Times New Roman" w:eastAsia="Times New Roman" w:hAnsi="Times New Roman" w:cs="Times New Roman"/>
          <w:sz w:val="20"/>
          <w:szCs w:val="20"/>
        </w:rPr>
        <w:t xml:space="preserve">over the various retrospective patient plans: 10 Pelvis (5 prostate, 5 cervix), 10 head and neck (HN), 5 VMAT lung, 5 SBRT lung, and 10 breast plans. AXB </w:t>
      </w:r>
      <w:r w:rsidRPr="003E0A22"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m,m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)</m:t>
        </m:r>
      </m:oMath>
      <w:r w:rsidRPr="003E0A22">
        <w:rPr>
          <w:rFonts w:ascii="Times New Roman" w:eastAsia="Times New Roman" w:hAnsi="Times New Roman" w:cs="Times New Roman"/>
          <w:sz w:val="20"/>
          <w:szCs w:val="20"/>
        </w:rPr>
        <w:t xml:space="preserve"> calculated reference doses in the ArcCHECK phantom were used for relative calibration of the CC04 measurements. AAA and AXB </w:t>
      </w:r>
      <w:r w:rsidRPr="003E0A22"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m,m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)</m:t>
        </m:r>
      </m:oMath>
      <w:r w:rsidRPr="003E0A22">
        <w:rPr>
          <w:rFonts w:ascii="Times New Roman" w:eastAsia="Times New Roman" w:hAnsi="Times New Roman" w:cs="Times New Roman"/>
          <w:sz w:val="20"/>
          <w:szCs w:val="20"/>
        </w:rPr>
        <w:t xml:space="preserve">  comparisons with CC04 measurements, using AAA reference doses for CC04 relative calibration are shown as reference.</w:t>
      </w:r>
      <w:r w:rsidRPr="003E0A22"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  <w:t xml:space="preserve"> AXB and AAA Ref: CC04 relative doses were calibrated using AXB (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m,m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)</m:t>
        </m:r>
      </m:oMath>
      <w:r w:rsidRPr="003E0A22">
        <w:rPr>
          <w:rFonts w:ascii="Times New Roman" w:eastAsia="Times New Roman" w:hAnsi="Times New Roman" w:cs="Times New Roman"/>
          <w:sz w:val="20"/>
          <w:szCs w:val="20"/>
        </w:rPr>
        <w:t xml:space="preserve">  reference and AAA 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0"/>
                <w:szCs w:val="20"/>
                <w:lang w:eastAsia="en-A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0"/>
                <w:szCs w:val="20"/>
                <w:lang w:eastAsia="en-AU"/>
                <w14:ligatures w14:val="none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0"/>
                <w:szCs w:val="20"/>
                <w:lang w:eastAsia="en-AU"/>
                <w14:ligatures w14:val="none"/>
              </w:rPr>
              <m:t>w,w</m:t>
            </m:r>
          </m:sub>
        </m:sSub>
      </m:oMath>
      <w:r w:rsidRPr="003E0A22"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  <w:t xml:space="preserve">) </w:t>
      </w:r>
      <w:r w:rsidRPr="003E0A22">
        <w:rPr>
          <w:rFonts w:ascii="Times New Roman" w:eastAsia="Times New Roman" w:hAnsi="Times New Roman" w:cs="Times New Roman"/>
          <w:sz w:val="20"/>
          <w:szCs w:val="20"/>
        </w:rPr>
        <w:t xml:space="preserve"> TPS calculations in the ArcCHECK phantom, respectively.</w:t>
      </w:r>
      <w:r>
        <w:rPr>
          <w:rFonts w:ascii="Times New Roman" w:eastAsia="Times New Roman" w:hAnsi="Times New Roman" w:cs="Times New Roman"/>
        </w:rPr>
        <w:t xml:space="preserve"> </w:t>
      </w:r>
    </w:p>
    <w:p w14:paraId="405D99F6" w14:textId="2C415E70" w:rsidR="00233D8C" w:rsidRDefault="00233D8C"/>
    <w:sectPr w:rsidR="00233D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E07"/>
    <w:rsid w:val="00233D8C"/>
    <w:rsid w:val="0023488D"/>
    <w:rsid w:val="00381C25"/>
    <w:rsid w:val="005258AC"/>
    <w:rsid w:val="006D3283"/>
    <w:rsid w:val="00745E07"/>
    <w:rsid w:val="008226E3"/>
    <w:rsid w:val="00904158"/>
    <w:rsid w:val="00D65910"/>
    <w:rsid w:val="00DD43B5"/>
    <w:rsid w:val="00F03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CB680"/>
  <w15:chartTrackingRefBased/>
  <w15:docId w15:val="{505AEE01-9921-494F-BBB6-9EAD6D40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6E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5E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5E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5E0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5E0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5E0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5E0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5E0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5E0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5E0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5E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5E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5E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5E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5E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5E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5E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5E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5E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5E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5E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5E0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5E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5E0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45E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5E07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45E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5E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5E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5E0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226E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DD43B5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Noon (Western Sydney LHD)</dc:creator>
  <cp:keywords/>
  <dc:description/>
  <cp:lastModifiedBy>Ali Noon (Western Sydney LHD)</cp:lastModifiedBy>
  <cp:revision>10</cp:revision>
  <dcterms:created xsi:type="dcterms:W3CDTF">2025-04-30T02:55:00Z</dcterms:created>
  <dcterms:modified xsi:type="dcterms:W3CDTF">2025-04-30T02:58:00Z</dcterms:modified>
</cp:coreProperties>
</file>