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1E" w:rsidRPr="007714ED" w:rsidRDefault="007714ED" w:rsidP="007714ED">
      <w:pPr>
        <w:rPr>
          <w:b/>
        </w:rPr>
      </w:pPr>
      <w:r w:rsidRPr="007714ED">
        <w:rPr>
          <w:b/>
        </w:rPr>
        <w:t xml:space="preserve">Table 2. Complaints, Clinical Findings, and Responses after </w:t>
      </w:r>
      <w:proofErr w:type="spellStart"/>
      <w:r w:rsidRPr="007714ED">
        <w:rPr>
          <w:b/>
        </w:rPr>
        <w:t>Orthosis</w:t>
      </w:r>
      <w:bookmarkStart w:id="0" w:name="_GoBack"/>
      <w:bookmarkEnd w:id="0"/>
      <w:proofErr w:type="spellEnd"/>
    </w:p>
    <w:tbl>
      <w:tblPr>
        <w:tblStyle w:val="TabloKlavuzu"/>
        <w:tblpPr w:leftFromText="141" w:rightFromText="141" w:vertAnchor="text" w:horzAnchor="margin" w:tblpXSpec="center" w:tblpY="180"/>
        <w:tblW w:w="9471" w:type="dxa"/>
        <w:tblLook w:val="04A0" w:firstRow="1" w:lastRow="0" w:firstColumn="1" w:lastColumn="0" w:noHBand="0" w:noVBand="1"/>
      </w:tblPr>
      <w:tblGrid>
        <w:gridCol w:w="4503"/>
        <w:gridCol w:w="2409"/>
        <w:gridCol w:w="2559"/>
      </w:tblGrid>
      <w:tr w:rsidR="007714ED" w:rsidTr="007714ED">
        <w:trPr>
          <w:trHeight w:val="255"/>
        </w:trPr>
        <w:tc>
          <w:tcPr>
            <w:tcW w:w="4503" w:type="dxa"/>
          </w:tcPr>
          <w:p w:rsidR="007714ED" w:rsidRDefault="007714ED" w:rsidP="007714ED">
            <w:pPr>
              <w:spacing w:line="480" w:lineRule="auto"/>
            </w:pPr>
            <w:r>
              <w:t>Symptom/Response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Present n (%)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Absent n (%)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Cosmetic concern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52 (100.0%)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0 (0%)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Pain complaint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6 (11.5%)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46 (88.5%)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Dyspnea complaint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 (9.6%)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47 (90.4%)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Family history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15 (28.8%)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37 (71.2%)</w:t>
            </w:r>
          </w:p>
        </w:tc>
      </w:tr>
      <w:tr w:rsidR="007714ED" w:rsidTr="007714ED">
        <w:trPr>
          <w:trHeight w:val="240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Postural disorder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19 (36.5%)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33 (63.5%)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Chest pain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 (9.6%)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47 (90.4%)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Back pain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 (9.6%)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47 (90.4%)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Dyspnea at rest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1 (1.9%)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51 (98.1%)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Dyspnea on exertion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6 (11.5%)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46 (88.5%)</w:t>
            </w:r>
          </w:p>
        </w:tc>
      </w:tr>
      <w:tr w:rsidR="007714ED" w:rsidTr="007714ED">
        <w:trPr>
          <w:trHeight w:val="25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>Dizziness on exertion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 (7.7%)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48 (92.3%)</w:t>
            </w:r>
          </w:p>
        </w:tc>
      </w:tr>
      <w:tr w:rsidR="007714ED" w:rsidTr="007714ED">
        <w:trPr>
          <w:trHeight w:val="510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 xml:space="preserve">Symptoms prior to </w:t>
            </w:r>
            <w:proofErr w:type="spellStart"/>
            <w:r w:rsidRPr="007714ED">
              <w:rPr>
                <w:b/>
              </w:rPr>
              <w:t>orthosis</w:t>
            </w:r>
            <w:proofErr w:type="spellEnd"/>
            <w:r w:rsidRPr="007714ED">
              <w:rPr>
                <w:b/>
              </w:rPr>
              <w:t xml:space="preserve"> in PC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10 (19.2%)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42 (80.8%)</w:t>
            </w:r>
          </w:p>
        </w:tc>
      </w:tr>
      <w:tr w:rsidR="007714ED" w:rsidTr="007714ED">
        <w:trPr>
          <w:trHeight w:val="510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 xml:space="preserve">Somatic response to </w:t>
            </w:r>
            <w:proofErr w:type="spellStart"/>
            <w:r w:rsidRPr="007714ED">
              <w:rPr>
                <w:b/>
              </w:rPr>
              <w:t>orthosis</w:t>
            </w:r>
            <w:proofErr w:type="spellEnd"/>
            <w:r w:rsidRPr="007714ED">
              <w:rPr>
                <w:b/>
              </w:rPr>
              <w:t xml:space="preserve"> 1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 (9.6%)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47 (90.4%)</w:t>
            </w:r>
          </w:p>
        </w:tc>
      </w:tr>
      <w:tr w:rsidR="007714ED" w:rsidTr="007714ED">
        <w:trPr>
          <w:trHeight w:val="510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 xml:space="preserve">Psychosocial response to </w:t>
            </w:r>
            <w:proofErr w:type="spellStart"/>
            <w:r w:rsidRPr="007714ED">
              <w:rPr>
                <w:b/>
              </w:rPr>
              <w:t>orthosis</w:t>
            </w:r>
            <w:proofErr w:type="spellEnd"/>
            <w:r w:rsidRPr="007714ED">
              <w:rPr>
                <w:b/>
              </w:rPr>
              <w:t xml:space="preserve"> 1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3 (5.8%)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49 (94.2%)</w:t>
            </w:r>
          </w:p>
        </w:tc>
      </w:tr>
      <w:tr w:rsidR="007714ED" w:rsidTr="007714ED">
        <w:trPr>
          <w:trHeight w:val="510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 xml:space="preserve">Somatic response to </w:t>
            </w:r>
            <w:proofErr w:type="spellStart"/>
            <w:r w:rsidRPr="007714ED">
              <w:rPr>
                <w:b/>
              </w:rPr>
              <w:t>orthosis</w:t>
            </w:r>
            <w:proofErr w:type="spellEnd"/>
            <w:r w:rsidRPr="007714ED">
              <w:rPr>
                <w:b/>
              </w:rPr>
              <w:t xml:space="preserve"> 2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0 (0%)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52 (100.0%)</w:t>
            </w:r>
          </w:p>
        </w:tc>
      </w:tr>
      <w:tr w:rsidR="007714ED" w:rsidTr="007714ED">
        <w:trPr>
          <w:trHeight w:val="525"/>
        </w:trPr>
        <w:tc>
          <w:tcPr>
            <w:tcW w:w="4503" w:type="dxa"/>
          </w:tcPr>
          <w:p w:rsidR="007714ED" w:rsidRPr="007714ED" w:rsidRDefault="007714ED" w:rsidP="007714ED">
            <w:pPr>
              <w:spacing w:line="480" w:lineRule="auto"/>
              <w:rPr>
                <w:b/>
              </w:rPr>
            </w:pPr>
            <w:r w:rsidRPr="007714ED">
              <w:rPr>
                <w:b/>
              </w:rPr>
              <w:t xml:space="preserve">Psychosocial response to </w:t>
            </w:r>
            <w:proofErr w:type="spellStart"/>
            <w:r w:rsidRPr="007714ED">
              <w:rPr>
                <w:b/>
              </w:rPr>
              <w:t>orthosis</w:t>
            </w:r>
            <w:proofErr w:type="spellEnd"/>
            <w:r w:rsidRPr="007714ED">
              <w:rPr>
                <w:b/>
              </w:rPr>
              <w:t xml:space="preserve"> 2</w:t>
            </w:r>
          </w:p>
        </w:tc>
        <w:tc>
          <w:tcPr>
            <w:tcW w:w="240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0 (0%)</w:t>
            </w:r>
          </w:p>
        </w:tc>
        <w:tc>
          <w:tcPr>
            <w:tcW w:w="2559" w:type="dxa"/>
          </w:tcPr>
          <w:p w:rsidR="007714ED" w:rsidRDefault="007714ED" w:rsidP="007714ED">
            <w:pPr>
              <w:spacing w:line="480" w:lineRule="auto"/>
              <w:jc w:val="center"/>
            </w:pPr>
            <w:r>
              <w:t>52 (100.0%)</w:t>
            </w:r>
          </w:p>
        </w:tc>
      </w:tr>
    </w:tbl>
    <w:p w:rsidR="007714ED" w:rsidRDefault="007714ED" w:rsidP="007714ED">
      <w:r>
        <w:t>n = Number of patients; % = Percentage.</w:t>
      </w:r>
    </w:p>
    <w:p w:rsidR="007714ED" w:rsidRDefault="007714ED"/>
    <w:sectPr w:rsidR="007714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14ED"/>
    <w:rsid w:val="00AA1D8D"/>
    <w:rsid w:val="00B47730"/>
    <w:rsid w:val="00CB0664"/>
    <w:rsid w:val="00CB5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437CB16-AD77-475A-8739-8581AEAC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AC8C1-6037-4978-981C-E105A9E8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Esen</cp:lastModifiedBy>
  <cp:revision>2</cp:revision>
  <dcterms:created xsi:type="dcterms:W3CDTF">2013-12-23T23:15:00Z</dcterms:created>
  <dcterms:modified xsi:type="dcterms:W3CDTF">2025-10-03T06:59:00Z</dcterms:modified>
  <cp:category/>
</cp:coreProperties>
</file>