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CC692" w14:textId="77777777" w:rsidR="002B0F1B" w:rsidRPr="007B09D8" w:rsidRDefault="002B0F1B" w:rsidP="002B0F1B">
      <w:pPr>
        <w:pStyle w:val="Heading2a"/>
      </w:pPr>
      <w:bookmarkStart w:id="0" w:name="_Ref144625214"/>
      <w:r w:rsidRPr="007B09D8">
        <w:t>Table 1a: Schedule of Enrollment, Interventions, and Assessments: 28-day Acute Transfusion Support and 28-day +6-Month Extension Period Assessments for Patients Receiving Repeated Simple Transfusions</w:t>
      </w:r>
    </w:p>
    <w:p w14:paraId="07CA8D29" w14:textId="77777777" w:rsidR="002B0F1B" w:rsidRPr="007B09D8" w:rsidRDefault="002B0F1B" w:rsidP="002B0F1B">
      <w:pPr>
        <w:rPr>
          <w:rFonts w:cs="Times New Roman"/>
          <w:szCs w:val="24"/>
        </w:rPr>
      </w:pPr>
      <w:r w:rsidRPr="007B09D8">
        <w:rPr>
          <w:rFonts w:cs="Times New Roman"/>
          <w:szCs w:val="24"/>
        </w:rPr>
        <w:t xml:space="preserve">Patient populations: 28-day: </w:t>
      </w:r>
      <w:r w:rsidRPr="007B09D8">
        <w:rPr>
          <w:szCs w:val="24"/>
        </w:rPr>
        <w:t>Bleeding and non-bleeding patients, all indications</w:t>
      </w:r>
      <w:r w:rsidRPr="007B09D8">
        <w:rPr>
          <w:rFonts w:cs="Times New Roman"/>
          <w:szCs w:val="24"/>
        </w:rPr>
        <w:t>; 28-day+6-Months: Non-bleeding Patients with Thalassemia, SCD, MDS, AA, Chemotherapy or other bone marrow failure syndromes</w:t>
      </w:r>
    </w:p>
    <w:tbl>
      <w:tblPr>
        <w:tblW w:w="51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861"/>
        <w:gridCol w:w="1186"/>
        <w:gridCol w:w="1748"/>
        <w:gridCol w:w="1324"/>
        <w:gridCol w:w="1251"/>
        <w:gridCol w:w="1350"/>
      </w:tblGrid>
      <w:tr w:rsidR="002B0F1B" w:rsidRPr="007B09D8" w14:paraId="16E37A5D" w14:textId="77777777" w:rsidTr="00C36CC6">
        <w:trPr>
          <w:trHeight w:val="678"/>
          <w:tblHeader/>
          <w:jc w:val="center"/>
        </w:trPr>
        <w:tc>
          <w:tcPr>
            <w:tcW w:w="2861" w:type="dxa"/>
            <w:vAlign w:val="center"/>
          </w:tcPr>
          <w:p w14:paraId="00960144" w14:textId="77777777" w:rsidR="002B0F1B" w:rsidRPr="007B09D8" w:rsidRDefault="002B0F1B" w:rsidP="00C36CC6">
            <w:pPr>
              <w:pStyle w:val="TableHeading"/>
              <w:spacing w:before="0"/>
              <w:rPr>
                <w:rFonts w:eastAsiaTheme="minorHAnsi"/>
              </w:rPr>
            </w:pPr>
          </w:p>
        </w:tc>
        <w:tc>
          <w:tcPr>
            <w:tcW w:w="1186" w:type="dxa"/>
            <w:vAlign w:val="center"/>
          </w:tcPr>
          <w:p w14:paraId="15BB36FE" w14:textId="77777777" w:rsidR="002B0F1B" w:rsidRPr="007B09D8" w:rsidRDefault="002B0F1B" w:rsidP="00C36CC6">
            <w:pPr>
              <w:pStyle w:val="TableHeading"/>
              <w:spacing w:before="0"/>
              <w:rPr>
                <w:rFonts w:eastAsiaTheme="minorHAnsi"/>
              </w:rPr>
            </w:pPr>
            <w:r w:rsidRPr="007B09D8">
              <w:rPr>
                <w:rFonts w:eastAsiaTheme="minorHAnsi"/>
              </w:rPr>
              <w:t>Enrollment &amp; Allocation‡</w:t>
            </w:r>
          </w:p>
        </w:tc>
        <w:tc>
          <w:tcPr>
            <w:tcW w:w="5673" w:type="dxa"/>
            <w:gridSpan w:val="4"/>
            <w:vAlign w:val="center"/>
          </w:tcPr>
          <w:p w14:paraId="4A3964F9" w14:textId="77777777" w:rsidR="002B0F1B" w:rsidRPr="007B09D8" w:rsidRDefault="002B0F1B" w:rsidP="00C36CC6">
            <w:pPr>
              <w:pStyle w:val="TableHeading"/>
              <w:spacing w:before="0"/>
            </w:pPr>
            <w:r w:rsidRPr="007B09D8">
              <w:t>Post-Allocation</w:t>
            </w:r>
          </w:p>
        </w:tc>
      </w:tr>
      <w:tr w:rsidR="002B0F1B" w:rsidRPr="007B09D8" w14:paraId="4BE05880" w14:textId="77777777" w:rsidTr="00C36CC6">
        <w:trPr>
          <w:trHeight w:val="1416"/>
          <w:tblHeader/>
          <w:jc w:val="center"/>
        </w:trPr>
        <w:tc>
          <w:tcPr>
            <w:tcW w:w="2861" w:type="dxa"/>
            <w:vMerge w:val="restart"/>
            <w:vAlign w:val="center"/>
          </w:tcPr>
          <w:p w14:paraId="2FDA121C" w14:textId="77777777" w:rsidR="002B0F1B" w:rsidRPr="007B09D8" w:rsidRDefault="002B0F1B" w:rsidP="00C36CC6">
            <w:pPr>
              <w:pStyle w:val="TableHeading"/>
              <w:spacing w:before="0"/>
            </w:pPr>
            <w:r w:rsidRPr="007B09D8">
              <w:rPr>
                <w:rFonts w:eastAsiaTheme="minorHAnsi"/>
              </w:rPr>
              <w:t>Study Assessments</w:t>
            </w:r>
          </w:p>
        </w:tc>
        <w:tc>
          <w:tcPr>
            <w:tcW w:w="1186" w:type="dxa"/>
            <w:vMerge w:val="restart"/>
            <w:vAlign w:val="center"/>
          </w:tcPr>
          <w:p w14:paraId="5BF58B38" w14:textId="77777777" w:rsidR="002B0F1B" w:rsidRPr="007B09D8" w:rsidRDefault="002B0F1B" w:rsidP="00C36CC6">
            <w:pPr>
              <w:pStyle w:val="TableHeading"/>
              <w:spacing w:before="0"/>
            </w:pPr>
            <w:r w:rsidRPr="007B09D8">
              <w:rPr>
                <w:rFonts w:eastAsiaTheme="minorHAnsi"/>
              </w:rPr>
              <w:t>Screening</w:t>
            </w:r>
          </w:p>
        </w:tc>
        <w:tc>
          <w:tcPr>
            <w:tcW w:w="3072" w:type="dxa"/>
            <w:gridSpan w:val="2"/>
            <w:vAlign w:val="center"/>
          </w:tcPr>
          <w:p w14:paraId="75EAD562" w14:textId="77777777" w:rsidR="002B0F1B" w:rsidRPr="007B09D8" w:rsidRDefault="002B0F1B" w:rsidP="00C36CC6">
            <w:pPr>
              <w:pStyle w:val="TableHeading"/>
              <w:spacing w:before="0"/>
            </w:pPr>
            <w:r w:rsidRPr="007B09D8">
              <w:t>Transfusion Support Periods</w:t>
            </w:r>
          </w:p>
          <w:p w14:paraId="4D08FBF9" w14:textId="77777777" w:rsidR="002B0F1B" w:rsidRPr="007B09D8" w:rsidRDefault="002B0F1B" w:rsidP="002B0F1B">
            <w:pPr>
              <w:pStyle w:val="TableHeading"/>
              <w:numPr>
                <w:ilvl w:val="0"/>
                <w:numId w:val="5"/>
              </w:numPr>
              <w:spacing w:before="0"/>
              <w:ind w:left="449"/>
              <w:jc w:val="left"/>
            </w:pPr>
            <w:r w:rsidRPr="007B09D8">
              <w:t xml:space="preserve">Day 1 through Day 28 </w:t>
            </w:r>
            <w:r w:rsidRPr="007B09D8">
              <w:rPr>
                <w:i/>
                <w:iCs/>
              </w:rPr>
              <w:t>and</w:t>
            </w:r>
          </w:p>
          <w:p w14:paraId="6CB76488" w14:textId="77777777" w:rsidR="002B0F1B" w:rsidRPr="007B09D8" w:rsidRDefault="002B0F1B" w:rsidP="002B0F1B">
            <w:pPr>
              <w:pStyle w:val="TableHeading"/>
              <w:numPr>
                <w:ilvl w:val="0"/>
                <w:numId w:val="5"/>
              </w:numPr>
              <w:spacing w:before="0"/>
              <w:ind w:left="449"/>
              <w:jc w:val="left"/>
            </w:pPr>
            <w:r w:rsidRPr="007B09D8">
              <w:t>28-Day plus 6-month extension (or death-up to 10 transfusion episodes)</w:t>
            </w:r>
          </w:p>
        </w:tc>
        <w:tc>
          <w:tcPr>
            <w:tcW w:w="1251" w:type="dxa"/>
            <w:vMerge w:val="restart"/>
            <w:vAlign w:val="center"/>
          </w:tcPr>
          <w:p w14:paraId="5298B6E2" w14:textId="77777777" w:rsidR="002B0F1B" w:rsidRPr="007B09D8" w:rsidRDefault="002B0F1B" w:rsidP="00C36CC6">
            <w:pPr>
              <w:pStyle w:val="TableHeading"/>
              <w:spacing w:before="0"/>
            </w:pPr>
            <w:r w:rsidRPr="007B09D8">
              <w:t>Follow-Up Visit Day 28* (28±7 days) after last study transfusion episode</w:t>
            </w:r>
          </w:p>
        </w:tc>
        <w:tc>
          <w:tcPr>
            <w:tcW w:w="1350" w:type="dxa"/>
            <w:vMerge w:val="restart"/>
            <w:vAlign w:val="center"/>
          </w:tcPr>
          <w:p w14:paraId="47ACD125" w14:textId="77777777" w:rsidR="002B0F1B" w:rsidRPr="007B09D8" w:rsidRDefault="002B0F1B" w:rsidP="00C36CC6">
            <w:pPr>
              <w:pStyle w:val="TableHeading"/>
              <w:spacing w:before="0"/>
            </w:pPr>
            <w:r w:rsidRPr="007B09D8">
              <w:t>End of Study-Day 75 of Follow-Up (75±15 days) after last study transfusion</w:t>
            </w:r>
          </w:p>
        </w:tc>
      </w:tr>
      <w:tr w:rsidR="002B0F1B" w:rsidRPr="007B09D8" w14:paraId="4ED035EE" w14:textId="77777777" w:rsidTr="00C36CC6">
        <w:trPr>
          <w:trHeight w:val="750"/>
          <w:tblHeader/>
          <w:jc w:val="center"/>
        </w:trPr>
        <w:tc>
          <w:tcPr>
            <w:tcW w:w="2861" w:type="dxa"/>
            <w:vMerge/>
            <w:vAlign w:val="bottom"/>
          </w:tcPr>
          <w:p w14:paraId="78AFFB17" w14:textId="77777777" w:rsidR="002B0F1B" w:rsidRPr="007B09D8" w:rsidRDefault="002B0F1B" w:rsidP="00C36CC6">
            <w:pPr>
              <w:keepNext/>
              <w:keepLines/>
              <w:spacing w:line="240" w:lineRule="auto"/>
              <w:ind w:left="72" w:right="72"/>
              <w:jc w:val="center"/>
              <w:rPr>
                <w:rFonts w:eastAsia="Times New Roman" w:cs="Times New Roman"/>
                <w:b/>
                <w:sz w:val="20"/>
                <w:szCs w:val="20"/>
              </w:rPr>
            </w:pPr>
          </w:p>
        </w:tc>
        <w:tc>
          <w:tcPr>
            <w:tcW w:w="1186" w:type="dxa"/>
            <w:vMerge/>
            <w:vAlign w:val="bottom"/>
          </w:tcPr>
          <w:p w14:paraId="1240A455" w14:textId="77777777" w:rsidR="002B0F1B" w:rsidRPr="007B09D8" w:rsidRDefault="002B0F1B" w:rsidP="00C36CC6">
            <w:pPr>
              <w:keepNext/>
              <w:keepLines/>
              <w:spacing w:line="240" w:lineRule="auto"/>
              <w:ind w:left="72" w:right="72"/>
              <w:jc w:val="center"/>
              <w:rPr>
                <w:rFonts w:eastAsia="Times New Roman" w:cs="Times New Roman"/>
                <w:b/>
                <w:sz w:val="20"/>
                <w:szCs w:val="20"/>
              </w:rPr>
            </w:pPr>
          </w:p>
        </w:tc>
        <w:tc>
          <w:tcPr>
            <w:tcW w:w="1748" w:type="dxa"/>
            <w:vAlign w:val="center"/>
          </w:tcPr>
          <w:p w14:paraId="54ED17D6" w14:textId="77777777" w:rsidR="002B0F1B" w:rsidRPr="007B09D8" w:rsidRDefault="002B0F1B" w:rsidP="00C36CC6">
            <w:pPr>
              <w:pStyle w:val="TableHeading"/>
              <w:spacing w:before="0"/>
              <w:rPr>
                <w:szCs w:val="20"/>
              </w:rPr>
            </w:pPr>
            <w:r w:rsidRPr="007B09D8">
              <w:t>Before each transfusion episode</w:t>
            </w:r>
          </w:p>
        </w:tc>
        <w:tc>
          <w:tcPr>
            <w:tcW w:w="1324" w:type="dxa"/>
            <w:vAlign w:val="center"/>
          </w:tcPr>
          <w:p w14:paraId="26B8471C" w14:textId="77777777" w:rsidR="002B0F1B" w:rsidRPr="007B09D8" w:rsidRDefault="002B0F1B" w:rsidP="00C36CC6">
            <w:pPr>
              <w:pStyle w:val="TableHeading"/>
              <w:spacing w:before="0"/>
            </w:pPr>
            <w:r w:rsidRPr="007B09D8">
              <w:t>15 min - 24 hrs. after each transfusion episode</w:t>
            </w:r>
          </w:p>
        </w:tc>
        <w:tc>
          <w:tcPr>
            <w:tcW w:w="1251" w:type="dxa"/>
            <w:vMerge/>
            <w:vAlign w:val="center"/>
          </w:tcPr>
          <w:p w14:paraId="068CB2E6" w14:textId="77777777" w:rsidR="002B0F1B" w:rsidRPr="007B09D8" w:rsidRDefault="002B0F1B" w:rsidP="00C36CC6">
            <w:pPr>
              <w:keepNext/>
              <w:keepLines/>
              <w:spacing w:line="240" w:lineRule="auto"/>
              <w:ind w:right="72"/>
              <w:rPr>
                <w:rFonts w:eastAsia="Times New Roman" w:cs="Times New Roman"/>
                <w:bCs/>
                <w:i/>
                <w:iCs/>
                <w:color w:val="404040"/>
                <w:sz w:val="20"/>
                <w:szCs w:val="24"/>
              </w:rPr>
            </w:pPr>
          </w:p>
        </w:tc>
        <w:tc>
          <w:tcPr>
            <w:tcW w:w="1350" w:type="dxa"/>
            <w:vMerge/>
          </w:tcPr>
          <w:p w14:paraId="5EB7DE18" w14:textId="77777777" w:rsidR="002B0F1B" w:rsidRPr="007B09D8" w:rsidRDefault="002B0F1B" w:rsidP="00C36CC6">
            <w:pPr>
              <w:keepNext/>
              <w:keepLines/>
              <w:spacing w:line="240" w:lineRule="auto"/>
              <w:ind w:right="72"/>
              <w:rPr>
                <w:rFonts w:eastAsia="Times New Roman" w:cs="Times New Roman"/>
                <w:bCs/>
                <w:i/>
                <w:iCs/>
                <w:color w:val="404040"/>
                <w:sz w:val="20"/>
                <w:szCs w:val="24"/>
              </w:rPr>
            </w:pPr>
          </w:p>
        </w:tc>
      </w:tr>
      <w:tr w:rsidR="002B0F1B" w:rsidRPr="007B09D8" w14:paraId="3FE62650" w14:textId="77777777" w:rsidTr="00C36CC6">
        <w:trPr>
          <w:jc w:val="center"/>
        </w:trPr>
        <w:tc>
          <w:tcPr>
            <w:tcW w:w="2861" w:type="dxa"/>
          </w:tcPr>
          <w:p w14:paraId="24B1C4ED" w14:textId="77777777" w:rsidR="002B0F1B" w:rsidRPr="007B09D8" w:rsidRDefault="002B0F1B" w:rsidP="00C36CC6">
            <w:pPr>
              <w:pStyle w:val="TableTextLeft"/>
              <w:rPr>
                <w:rFonts w:eastAsia="Calibri" w:cs="Times New Roman"/>
              </w:rPr>
            </w:pPr>
            <w:r w:rsidRPr="007B09D8">
              <w:t>Informed Consent</w:t>
            </w:r>
            <w:r w:rsidRPr="007B09D8">
              <w:rPr>
                <w:rFonts w:eastAsia="Calibri" w:cs="Times New Roman"/>
              </w:rPr>
              <w:t xml:space="preserve"> </w:t>
            </w:r>
          </w:p>
          <w:p w14:paraId="52DC8D4A" w14:textId="77777777" w:rsidR="002B0F1B" w:rsidRPr="007B09D8" w:rsidRDefault="002B0F1B" w:rsidP="00C36CC6">
            <w:pPr>
              <w:pStyle w:val="TableTextLeft"/>
            </w:pPr>
            <w:r w:rsidRPr="007B09D8">
              <w:rPr>
                <w:rFonts w:eastAsia="Calibri" w:cs="Times New Roman"/>
              </w:rPr>
              <w:t>(assent, if appropriate)</w:t>
            </w:r>
          </w:p>
        </w:tc>
        <w:tc>
          <w:tcPr>
            <w:tcW w:w="1186" w:type="dxa"/>
            <w:vAlign w:val="center"/>
          </w:tcPr>
          <w:p w14:paraId="72253DE0" w14:textId="77777777" w:rsidR="002B0F1B" w:rsidRPr="007B09D8" w:rsidRDefault="002B0F1B" w:rsidP="00C36CC6">
            <w:pPr>
              <w:pStyle w:val="TableText"/>
              <w:rPr>
                <w:rFonts w:eastAsiaTheme="minorHAnsi"/>
                <w:sz w:val="22"/>
                <w:vertAlign w:val="superscript"/>
              </w:rPr>
            </w:pPr>
            <w:r w:rsidRPr="007B09D8">
              <w:rPr>
                <w:rFonts w:eastAsia="Calibri"/>
              </w:rPr>
              <w:t>X</w:t>
            </w:r>
            <w:r w:rsidRPr="007B09D8">
              <w:rPr>
                <w:rFonts w:eastAsia="Calibri"/>
                <w:vertAlign w:val="superscript"/>
              </w:rPr>
              <w:t>1</w:t>
            </w:r>
          </w:p>
        </w:tc>
        <w:tc>
          <w:tcPr>
            <w:tcW w:w="1748" w:type="dxa"/>
            <w:vAlign w:val="center"/>
          </w:tcPr>
          <w:p w14:paraId="19C3AD18" w14:textId="77777777" w:rsidR="002B0F1B" w:rsidRPr="007B09D8" w:rsidRDefault="002B0F1B" w:rsidP="00C36CC6">
            <w:pPr>
              <w:pStyle w:val="TableText"/>
            </w:pPr>
          </w:p>
        </w:tc>
        <w:tc>
          <w:tcPr>
            <w:tcW w:w="1324" w:type="dxa"/>
            <w:vAlign w:val="center"/>
          </w:tcPr>
          <w:p w14:paraId="02D428CC" w14:textId="77777777" w:rsidR="002B0F1B" w:rsidRPr="007B09D8" w:rsidRDefault="002B0F1B" w:rsidP="00C36CC6">
            <w:pPr>
              <w:pStyle w:val="TableText"/>
            </w:pPr>
          </w:p>
        </w:tc>
        <w:tc>
          <w:tcPr>
            <w:tcW w:w="1251" w:type="dxa"/>
            <w:vAlign w:val="center"/>
          </w:tcPr>
          <w:p w14:paraId="202DBAA1" w14:textId="77777777" w:rsidR="002B0F1B" w:rsidRPr="007B09D8" w:rsidRDefault="002B0F1B" w:rsidP="00C36CC6">
            <w:pPr>
              <w:pStyle w:val="TableText"/>
            </w:pPr>
          </w:p>
        </w:tc>
        <w:tc>
          <w:tcPr>
            <w:tcW w:w="1350" w:type="dxa"/>
            <w:vAlign w:val="center"/>
          </w:tcPr>
          <w:p w14:paraId="155D85E4" w14:textId="77777777" w:rsidR="002B0F1B" w:rsidRPr="007B09D8" w:rsidRDefault="002B0F1B" w:rsidP="00C36CC6">
            <w:pPr>
              <w:pStyle w:val="TableText"/>
              <w:rPr>
                <w:rFonts w:eastAsia="Calibri"/>
              </w:rPr>
            </w:pPr>
          </w:p>
        </w:tc>
      </w:tr>
      <w:tr w:rsidR="002B0F1B" w:rsidRPr="007B09D8" w14:paraId="1CB2E967" w14:textId="77777777" w:rsidTr="00C36CC6">
        <w:trPr>
          <w:jc w:val="center"/>
        </w:trPr>
        <w:tc>
          <w:tcPr>
            <w:tcW w:w="2861" w:type="dxa"/>
          </w:tcPr>
          <w:p w14:paraId="7B58A486" w14:textId="77777777" w:rsidR="002B0F1B" w:rsidRPr="007B09D8" w:rsidRDefault="002B0F1B" w:rsidP="00C36CC6">
            <w:pPr>
              <w:pStyle w:val="TableTextLeft"/>
              <w:rPr>
                <w:rFonts w:cs="Times New Roman"/>
              </w:rPr>
            </w:pPr>
            <w:r w:rsidRPr="007B09D8">
              <w:rPr>
                <w:rFonts w:cs="Times New Roman"/>
              </w:rPr>
              <w:t xml:space="preserve">Medical, surgical, </w:t>
            </w:r>
            <w:r w:rsidRPr="007B09D8">
              <w:rPr>
                <w:rFonts w:eastAsia="Calibri" w:cs="Times New Roman"/>
              </w:rPr>
              <w:t xml:space="preserve">prior </w:t>
            </w:r>
            <w:r w:rsidRPr="007B09D8">
              <w:rPr>
                <w:rFonts w:cs="Times New Roman"/>
              </w:rPr>
              <w:t>transfusion and medication history</w:t>
            </w:r>
          </w:p>
        </w:tc>
        <w:tc>
          <w:tcPr>
            <w:tcW w:w="1186" w:type="dxa"/>
            <w:vAlign w:val="center"/>
          </w:tcPr>
          <w:p w14:paraId="12ACA43D"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w:t>
            </w:r>
          </w:p>
        </w:tc>
        <w:tc>
          <w:tcPr>
            <w:tcW w:w="1748" w:type="dxa"/>
            <w:vAlign w:val="center"/>
          </w:tcPr>
          <w:p w14:paraId="04257FDF" w14:textId="77777777" w:rsidR="002B0F1B" w:rsidRPr="007B09D8" w:rsidRDefault="002B0F1B" w:rsidP="00C36CC6">
            <w:pPr>
              <w:pStyle w:val="TableText"/>
            </w:pPr>
          </w:p>
        </w:tc>
        <w:tc>
          <w:tcPr>
            <w:tcW w:w="1324" w:type="dxa"/>
            <w:vAlign w:val="center"/>
          </w:tcPr>
          <w:p w14:paraId="2DA73AF8" w14:textId="77777777" w:rsidR="002B0F1B" w:rsidRPr="007B09D8" w:rsidRDefault="002B0F1B" w:rsidP="00C36CC6">
            <w:pPr>
              <w:pStyle w:val="TableText"/>
            </w:pPr>
          </w:p>
        </w:tc>
        <w:tc>
          <w:tcPr>
            <w:tcW w:w="1251" w:type="dxa"/>
            <w:vAlign w:val="center"/>
          </w:tcPr>
          <w:p w14:paraId="038E1556" w14:textId="77777777" w:rsidR="002B0F1B" w:rsidRPr="007B09D8" w:rsidRDefault="002B0F1B" w:rsidP="00C36CC6">
            <w:pPr>
              <w:pStyle w:val="TableText"/>
            </w:pPr>
          </w:p>
        </w:tc>
        <w:tc>
          <w:tcPr>
            <w:tcW w:w="1350" w:type="dxa"/>
            <w:vAlign w:val="center"/>
          </w:tcPr>
          <w:p w14:paraId="7CD54487" w14:textId="77777777" w:rsidR="002B0F1B" w:rsidRPr="007B09D8" w:rsidRDefault="002B0F1B" w:rsidP="00C36CC6">
            <w:pPr>
              <w:pStyle w:val="TableText"/>
            </w:pPr>
          </w:p>
        </w:tc>
      </w:tr>
      <w:tr w:rsidR="002B0F1B" w:rsidRPr="007B09D8" w14:paraId="3F432E99" w14:textId="77777777" w:rsidTr="00C36CC6">
        <w:trPr>
          <w:jc w:val="center"/>
        </w:trPr>
        <w:tc>
          <w:tcPr>
            <w:tcW w:w="2861" w:type="dxa"/>
          </w:tcPr>
          <w:p w14:paraId="16B0DFB9" w14:textId="77777777" w:rsidR="002B0F1B" w:rsidRPr="007B09D8" w:rsidRDefault="002B0F1B" w:rsidP="00C36CC6">
            <w:pPr>
              <w:pStyle w:val="TableTextLeft"/>
              <w:rPr>
                <w:rFonts w:cs="Times New Roman"/>
              </w:rPr>
            </w:pPr>
            <w:r w:rsidRPr="007B09D8">
              <w:rPr>
                <w:rFonts w:cs="Times New Roman"/>
                <w:szCs w:val="20"/>
              </w:rPr>
              <w:t>Physical</w:t>
            </w:r>
            <w:r w:rsidRPr="007B09D8">
              <w:rPr>
                <w:rFonts w:cs="Times New Roman"/>
              </w:rPr>
              <w:t xml:space="preserve"> </w:t>
            </w:r>
            <w:r w:rsidRPr="007B09D8">
              <w:rPr>
                <w:rFonts w:cs="Times New Roman"/>
                <w:szCs w:val="20"/>
              </w:rPr>
              <w:t>exam,</w:t>
            </w:r>
            <w:r w:rsidRPr="007B09D8">
              <w:rPr>
                <w:rFonts w:cs="Times New Roman"/>
              </w:rPr>
              <w:t xml:space="preserve"> including height </w:t>
            </w:r>
          </w:p>
        </w:tc>
        <w:tc>
          <w:tcPr>
            <w:tcW w:w="1186" w:type="dxa"/>
            <w:vAlign w:val="center"/>
          </w:tcPr>
          <w:p w14:paraId="1A8384BD"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w:t>
            </w:r>
          </w:p>
        </w:tc>
        <w:tc>
          <w:tcPr>
            <w:tcW w:w="1748" w:type="dxa"/>
            <w:vAlign w:val="center"/>
          </w:tcPr>
          <w:p w14:paraId="428819E8" w14:textId="77777777" w:rsidR="002B0F1B" w:rsidRPr="007B09D8" w:rsidRDefault="002B0F1B" w:rsidP="00C36CC6">
            <w:pPr>
              <w:pStyle w:val="TableText"/>
            </w:pPr>
          </w:p>
        </w:tc>
        <w:tc>
          <w:tcPr>
            <w:tcW w:w="1324" w:type="dxa"/>
            <w:vAlign w:val="center"/>
          </w:tcPr>
          <w:p w14:paraId="7A56AB8D" w14:textId="77777777" w:rsidR="002B0F1B" w:rsidRPr="007B09D8" w:rsidRDefault="002B0F1B" w:rsidP="00C36CC6">
            <w:pPr>
              <w:pStyle w:val="TableText"/>
            </w:pPr>
          </w:p>
        </w:tc>
        <w:tc>
          <w:tcPr>
            <w:tcW w:w="1251" w:type="dxa"/>
            <w:vAlign w:val="center"/>
          </w:tcPr>
          <w:p w14:paraId="6A002AFE" w14:textId="77777777" w:rsidR="002B0F1B" w:rsidRPr="007B09D8" w:rsidRDefault="002B0F1B" w:rsidP="00C36CC6">
            <w:pPr>
              <w:pStyle w:val="TableText"/>
            </w:pPr>
          </w:p>
        </w:tc>
        <w:tc>
          <w:tcPr>
            <w:tcW w:w="1350" w:type="dxa"/>
            <w:vAlign w:val="center"/>
          </w:tcPr>
          <w:p w14:paraId="237E4C55" w14:textId="77777777" w:rsidR="002B0F1B" w:rsidRPr="007B09D8" w:rsidRDefault="002B0F1B" w:rsidP="00C36CC6">
            <w:pPr>
              <w:pStyle w:val="TableText"/>
            </w:pPr>
          </w:p>
        </w:tc>
      </w:tr>
      <w:tr w:rsidR="002B0F1B" w:rsidRPr="007B09D8" w14:paraId="7ABBF7E0" w14:textId="77777777" w:rsidTr="00C36CC6">
        <w:trPr>
          <w:jc w:val="center"/>
        </w:trPr>
        <w:tc>
          <w:tcPr>
            <w:tcW w:w="2861" w:type="dxa"/>
          </w:tcPr>
          <w:p w14:paraId="0F5F75A2" w14:textId="77777777" w:rsidR="002B0F1B" w:rsidRPr="007B09D8" w:rsidRDefault="002B0F1B" w:rsidP="00C36CC6">
            <w:pPr>
              <w:pStyle w:val="TableTextLeft"/>
              <w:rPr>
                <w:rFonts w:cs="Times New Roman"/>
              </w:rPr>
            </w:pPr>
            <w:r w:rsidRPr="007B09D8">
              <w:rPr>
                <w:rFonts w:cs="Times New Roman"/>
              </w:rPr>
              <w:t xml:space="preserve">Weight </w:t>
            </w:r>
          </w:p>
        </w:tc>
        <w:tc>
          <w:tcPr>
            <w:tcW w:w="1186" w:type="dxa"/>
            <w:vAlign w:val="center"/>
          </w:tcPr>
          <w:p w14:paraId="5C30775B"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w:t>
            </w:r>
          </w:p>
        </w:tc>
        <w:tc>
          <w:tcPr>
            <w:tcW w:w="1748" w:type="dxa"/>
            <w:vAlign w:val="center"/>
          </w:tcPr>
          <w:p w14:paraId="4A5FBE0B" w14:textId="77777777" w:rsidR="002B0F1B" w:rsidRPr="007B09D8" w:rsidRDefault="002B0F1B" w:rsidP="00C36CC6">
            <w:pPr>
              <w:pStyle w:val="TableText"/>
              <w:rPr>
                <w:vertAlign w:val="superscript"/>
              </w:rPr>
            </w:pPr>
          </w:p>
        </w:tc>
        <w:tc>
          <w:tcPr>
            <w:tcW w:w="1324" w:type="dxa"/>
            <w:vAlign w:val="center"/>
          </w:tcPr>
          <w:p w14:paraId="560A799F" w14:textId="77777777" w:rsidR="002B0F1B" w:rsidRPr="007B09D8" w:rsidRDefault="002B0F1B" w:rsidP="00C36CC6">
            <w:pPr>
              <w:pStyle w:val="TableText"/>
            </w:pPr>
          </w:p>
        </w:tc>
        <w:tc>
          <w:tcPr>
            <w:tcW w:w="1251" w:type="dxa"/>
            <w:vAlign w:val="center"/>
          </w:tcPr>
          <w:p w14:paraId="6AE8A97E" w14:textId="77777777" w:rsidR="002B0F1B" w:rsidRPr="007B09D8" w:rsidRDefault="002B0F1B" w:rsidP="00C36CC6">
            <w:pPr>
              <w:pStyle w:val="TableText"/>
            </w:pPr>
          </w:p>
        </w:tc>
        <w:tc>
          <w:tcPr>
            <w:tcW w:w="1350" w:type="dxa"/>
            <w:vAlign w:val="center"/>
          </w:tcPr>
          <w:p w14:paraId="7ABB33B7" w14:textId="77777777" w:rsidR="002B0F1B" w:rsidRPr="007B09D8" w:rsidRDefault="002B0F1B" w:rsidP="00C36CC6">
            <w:pPr>
              <w:pStyle w:val="TableText"/>
            </w:pPr>
          </w:p>
        </w:tc>
      </w:tr>
      <w:tr w:rsidR="002B0F1B" w:rsidRPr="007B09D8" w14:paraId="78F70296" w14:textId="77777777" w:rsidTr="00C36CC6">
        <w:trPr>
          <w:jc w:val="center"/>
        </w:trPr>
        <w:tc>
          <w:tcPr>
            <w:tcW w:w="2861" w:type="dxa"/>
          </w:tcPr>
          <w:p w14:paraId="18214B15" w14:textId="77777777" w:rsidR="002B0F1B" w:rsidRPr="007B09D8" w:rsidRDefault="002B0F1B" w:rsidP="00C36CC6">
            <w:pPr>
              <w:pStyle w:val="TableTextLeft"/>
            </w:pPr>
            <w:r w:rsidRPr="007B09D8">
              <w:rPr>
                <w:rFonts w:eastAsiaTheme="minorHAnsi"/>
                <w:szCs w:val="22"/>
              </w:rPr>
              <w:t>Demographics</w:t>
            </w:r>
          </w:p>
        </w:tc>
        <w:tc>
          <w:tcPr>
            <w:tcW w:w="1186" w:type="dxa"/>
            <w:vAlign w:val="center"/>
          </w:tcPr>
          <w:p w14:paraId="504A1E19" w14:textId="77777777" w:rsidR="002B0F1B" w:rsidRPr="007B09D8" w:rsidRDefault="002B0F1B" w:rsidP="00C36CC6">
            <w:pPr>
              <w:pStyle w:val="TableText"/>
              <w:rPr>
                <w:rFonts w:eastAsiaTheme="minorHAnsi"/>
                <w:sz w:val="22"/>
                <w:vertAlign w:val="superscript"/>
              </w:rPr>
            </w:pPr>
            <w:r w:rsidRPr="007B09D8">
              <w:rPr>
                <w:rFonts w:eastAsia="Calibri"/>
              </w:rPr>
              <w:t>X</w:t>
            </w:r>
            <w:r w:rsidRPr="007B09D8">
              <w:rPr>
                <w:rFonts w:eastAsia="Calibri"/>
                <w:vertAlign w:val="superscript"/>
              </w:rPr>
              <w:t>1</w:t>
            </w:r>
          </w:p>
        </w:tc>
        <w:tc>
          <w:tcPr>
            <w:tcW w:w="1748" w:type="dxa"/>
            <w:vAlign w:val="center"/>
          </w:tcPr>
          <w:p w14:paraId="46718B22" w14:textId="77777777" w:rsidR="002B0F1B" w:rsidRPr="007B09D8" w:rsidRDefault="002B0F1B" w:rsidP="00C36CC6">
            <w:pPr>
              <w:pStyle w:val="TableText"/>
            </w:pPr>
          </w:p>
        </w:tc>
        <w:tc>
          <w:tcPr>
            <w:tcW w:w="1324" w:type="dxa"/>
            <w:vAlign w:val="center"/>
          </w:tcPr>
          <w:p w14:paraId="0CF38054" w14:textId="77777777" w:rsidR="002B0F1B" w:rsidRPr="007B09D8" w:rsidRDefault="002B0F1B" w:rsidP="00C36CC6">
            <w:pPr>
              <w:pStyle w:val="TableText"/>
            </w:pPr>
          </w:p>
        </w:tc>
        <w:tc>
          <w:tcPr>
            <w:tcW w:w="1251" w:type="dxa"/>
            <w:vAlign w:val="center"/>
          </w:tcPr>
          <w:p w14:paraId="748EDC59" w14:textId="77777777" w:rsidR="002B0F1B" w:rsidRPr="007B09D8" w:rsidRDefault="002B0F1B" w:rsidP="00C36CC6">
            <w:pPr>
              <w:pStyle w:val="TableText"/>
            </w:pPr>
          </w:p>
        </w:tc>
        <w:tc>
          <w:tcPr>
            <w:tcW w:w="1350" w:type="dxa"/>
            <w:vAlign w:val="center"/>
          </w:tcPr>
          <w:p w14:paraId="27A82743" w14:textId="77777777" w:rsidR="002B0F1B" w:rsidRPr="007B09D8" w:rsidRDefault="002B0F1B" w:rsidP="00C36CC6">
            <w:pPr>
              <w:pStyle w:val="TableText"/>
              <w:rPr>
                <w:rFonts w:eastAsia="Calibri"/>
              </w:rPr>
            </w:pPr>
          </w:p>
        </w:tc>
      </w:tr>
      <w:tr w:rsidR="002B0F1B" w:rsidRPr="007B09D8" w14:paraId="4766A8E9" w14:textId="77777777" w:rsidTr="00C36CC6">
        <w:trPr>
          <w:jc w:val="center"/>
        </w:trPr>
        <w:tc>
          <w:tcPr>
            <w:tcW w:w="2861" w:type="dxa"/>
          </w:tcPr>
          <w:p w14:paraId="372B3F1C" w14:textId="77777777" w:rsidR="002B0F1B" w:rsidRPr="007B09D8" w:rsidRDefault="002B0F1B" w:rsidP="00C36CC6">
            <w:pPr>
              <w:pStyle w:val="TableTextLeft"/>
              <w:rPr>
                <w:rFonts w:eastAsiaTheme="minorHAnsi"/>
                <w:sz w:val="22"/>
                <w:vertAlign w:val="superscript"/>
              </w:rPr>
            </w:pPr>
            <w:r w:rsidRPr="007B09D8">
              <w:rPr>
                <w:rFonts w:cs="Times New Roman"/>
              </w:rPr>
              <w:t xml:space="preserve">ABO </w:t>
            </w:r>
            <w:r w:rsidRPr="007B09D8">
              <w:rPr>
                <w:rFonts w:eastAsiaTheme="minorHAnsi"/>
                <w:szCs w:val="22"/>
              </w:rPr>
              <w:t>Blood type</w:t>
            </w:r>
            <w:r w:rsidRPr="007B09D8">
              <w:rPr>
                <w:rFonts w:cs="Times New Roman"/>
              </w:rPr>
              <w:t xml:space="preserve"> and </w:t>
            </w:r>
            <w:r w:rsidRPr="007B09D8">
              <w:rPr>
                <w:rFonts w:eastAsia="Calibri" w:cs="Times New Roman"/>
              </w:rPr>
              <w:t>Rh</w:t>
            </w:r>
            <w:r w:rsidRPr="007B09D8">
              <w:rPr>
                <w:rFonts w:eastAsia="Calibri" w:cs="Times New Roman"/>
                <w:vertAlign w:val="superscript"/>
              </w:rPr>
              <w:t>3</w:t>
            </w:r>
          </w:p>
        </w:tc>
        <w:tc>
          <w:tcPr>
            <w:tcW w:w="1186" w:type="dxa"/>
            <w:vAlign w:val="center"/>
          </w:tcPr>
          <w:p w14:paraId="1120F083" w14:textId="77777777" w:rsidR="002B0F1B" w:rsidRPr="007B09D8" w:rsidRDefault="002B0F1B" w:rsidP="00C36CC6">
            <w:pPr>
              <w:pStyle w:val="TableText"/>
            </w:pPr>
            <w:r w:rsidRPr="007B09D8">
              <w:rPr>
                <w:rFonts w:eastAsia="Calibri"/>
              </w:rPr>
              <w:t>X</w:t>
            </w:r>
            <w:r w:rsidRPr="007B09D8">
              <w:rPr>
                <w:rFonts w:eastAsia="Calibri"/>
                <w:vertAlign w:val="superscript"/>
              </w:rPr>
              <w:t>1</w:t>
            </w:r>
          </w:p>
        </w:tc>
        <w:tc>
          <w:tcPr>
            <w:tcW w:w="1748" w:type="dxa"/>
            <w:vAlign w:val="center"/>
          </w:tcPr>
          <w:p w14:paraId="37B7952D" w14:textId="77777777" w:rsidR="002B0F1B" w:rsidRPr="007B09D8" w:rsidRDefault="002B0F1B" w:rsidP="00C36CC6">
            <w:pPr>
              <w:pStyle w:val="TableText"/>
              <w:rPr>
                <w:rFonts w:eastAsiaTheme="minorHAnsi"/>
                <w:sz w:val="22"/>
                <w:vertAlign w:val="superscript"/>
              </w:rPr>
            </w:pPr>
            <w:r w:rsidRPr="007B09D8">
              <w:rPr>
                <w:rFonts w:eastAsia="Calibri"/>
                <w:szCs w:val="20"/>
              </w:rPr>
              <w:t>X</w:t>
            </w:r>
            <w:r w:rsidRPr="007B09D8">
              <w:rPr>
                <w:rFonts w:eastAsia="Calibri"/>
                <w:szCs w:val="20"/>
                <w:vertAlign w:val="superscript"/>
              </w:rPr>
              <w:t>3</w:t>
            </w:r>
          </w:p>
        </w:tc>
        <w:tc>
          <w:tcPr>
            <w:tcW w:w="1324" w:type="dxa"/>
            <w:vAlign w:val="center"/>
          </w:tcPr>
          <w:p w14:paraId="18E2B30C" w14:textId="77777777" w:rsidR="002B0F1B" w:rsidRPr="007B09D8" w:rsidRDefault="002B0F1B" w:rsidP="00C36CC6">
            <w:pPr>
              <w:pStyle w:val="TableText"/>
            </w:pPr>
          </w:p>
        </w:tc>
        <w:tc>
          <w:tcPr>
            <w:tcW w:w="1251" w:type="dxa"/>
            <w:vAlign w:val="center"/>
          </w:tcPr>
          <w:p w14:paraId="4BFB82B7" w14:textId="77777777" w:rsidR="002B0F1B" w:rsidRPr="007B09D8" w:rsidRDefault="002B0F1B" w:rsidP="00C36CC6">
            <w:pPr>
              <w:pStyle w:val="TableText"/>
            </w:pPr>
          </w:p>
        </w:tc>
        <w:tc>
          <w:tcPr>
            <w:tcW w:w="1350" w:type="dxa"/>
            <w:vAlign w:val="center"/>
          </w:tcPr>
          <w:p w14:paraId="0AD27888" w14:textId="77777777" w:rsidR="002B0F1B" w:rsidRPr="007B09D8" w:rsidRDefault="002B0F1B" w:rsidP="00C36CC6">
            <w:pPr>
              <w:pStyle w:val="TableText"/>
              <w:rPr>
                <w:rFonts w:eastAsia="Calibri"/>
              </w:rPr>
            </w:pPr>
          </w:p>
        </w:tc>
      </w:tr>
      <w:tr w:rsidR="002B0F1B" w:rsidRPr="007B09D8" w14:paraId="7D774D04" w14:textId="77777777" w:rsidTr="00C36CC6">
        <w:trPr>
          <w:jc w:val="center"/>
        </w:trPr>
        <w:tc>
          <w:tcPr>
            <w:tcW w:w="2861" w:type="dxa"/>
          </w:tcPr>
          <w:p w14:paraId="486AD2A1" w14:textId="77777777" w:rsidR="002B0F1B" w:rsidRPr="007B09D8" w:rsidRDefault="002B0F1B" w:rsidP="00C36CC6">
            <w:pPr>
              <w:pStyle w:val="TableTextLeft"/>
              <w:rPr>
                <w:rFonts w:cs="Times New Roman"/>
                <w:vertAlign w:val="superscript"/>
              </w:rPr>
            </w:pPr>
            <w:r w:rsidRPr="007B09D8">
              <w:rPr>
                <w:rFonts w:eastAsia="Calibri" w:cs="Times New Roman"/>
              </w:rPr>
              <w:t>Indirect Antiglobulin Test</w:t>
            </w:r>
            <w:r w:rsidRPr="007B09D8">
              <w:rPr>
                <w:rFonts w:eastAsia="Calibri" w:cs="Times New Roman"/>
                <w:vertAlign w:val="superscript"/>
              </w:rPr>
              <w:t>3</w:t>
            </w:r>
          </w:p>
        </w:tc>
        <w:tc>
          <w:tcPr>
            <w:tcW w:w="1186" w:type="dxa"/>
            <w:vAlign w:val="center"/>
          </w:tcPr>
          <w:p w14:paraId="451F381D" w14:textId="77777777" w:rsidR="002B0F1B" w:rsidRPr="007B09D8" w:rsidRDefault="002B0F1B" w:rsidP="00C36CC6">
            <w:pPr>
              <w:pStyle w:val="TableText"/>
              <w:rPr>
                <w:vertAlign w:val="superscript"/>
              </w:rPr>
            </w:pPr>
            <w:r w:rsidRPr="007B09D8">
              <w:t>X</w:t>
            </w:r>
            <w:r w:rsidRPr="007B09D8">
              <w:rPr>
                <w:vertAlign w:val="superscript"/>
              </w:rPr>
              <w:t>1</w:t>
            </w:r>
          </w:p>
        </w:tc>
        <w:tc>
          <w:tcPr>
            <w:tcW w:w="1748" w:type="dxa"/>
            <w:vAlign w:val="center"/>
          </w:tcPr>
          <w:p w14:paraId="59B89144" w14:textId="77777777" w:rsidR="002B0F1B" w:rsidRPr="007B09D8" w:rsidRDefault="002B0F1B" w:rsidP="00C36CC6">
            <w:pPr>
              <w:pStyle w:val="TableText"/>
              <w:rPr>
                <w:vertAlign w:val="superscript"/>
              </w:rPr>
            </w:pPr>
            <w:r w:rsidRPr="007B09D8">
              <w:t>X</w:t>
            </w:r>
            <w:r w:rsidRPr="007B09D8">
              <w:rPr>
                <w:vertAlign w:val="superscript"/>
              </w:rPr>
              <w:t>3</w:t>
            </w:r>
          </w:p>
        </w:tc>
        <w:tc>
          <w:tcPr>
            <w:tcW w:w="1324" w:type="dxa"/>
            <w:vAlign w:val="center"/>
          </w:tcPr>
          <w:p w14:paraId="18A9CAA7" w14:textId="77777777" w:rsidR="002B0F1B" w:rsidRPr="007B09D8" w:rsidRDefault="002B0F1B" w:rsidP="00C36CC6">
            <w:pPr>
              <w:pStyle w:val="TableText"/>
            </w:pPr>
          </w:p>
        </w:tc>
        <w:tc>
          <w:tcPr>
            <w:tcW w:w="1251" w:type="dxa"/>
            <w:vAlign w:val="center"/>
          </w:tcPr>
          <w:p w14:paraId="44D02031" w14:textId="77777777" w:rsidR="002B0F1B" w:rsidRPr="007B09D8" w:rsidRDefault="002B0F1B" w:rsidP="00C36CC6">
            <w:pPr>
              <w:pStyle w:val="TableText"/>
              <w:rPr>
                <w:rFonts w:eastAsia="Calibri"/>
              </w:rPr>
            </w:pPr>
            <w:r w:rsidRPr="007B09D8">
              <w:rPr>
                <w:rFonts w:eastAsia="Calibri"/>
              </w:rPr>
              <w:t>X</w:t>
            </w:r>
          </w:p>
        </w:tc>
        <w:tc>
          <w:tcPr>
            <w:tcW w:w="1350" w:type="dxa"/>
            <w:vAlign w:val="center"/>
          </w:tcPr>
          <w:p w14:paraId="7F6FC220" w14:textId="77777777" w:rsidR="002B0F1B" w:rsidRPr="007B09D8" w:rsidRDefault="002B0F1B" w:rsidP="00C36CC6">
            <w:pPr>
              <w:pStyle w:val="TableText"/>
              <w:rPr>
                <w:rFonts w:eastAsia="Calibri"/>
              </w:rPr>
            </w:pPr>
          </w:p>
        </w:tc>
      </w:tr>
      <w:tr w:rsidR="002B0F1B" w:rsidRPr="007B09D8" w14:paraId="413F8F9F" w14:textId="77777777" w:rsidTr="00C36CC6">
        <w:trPr>
          <w:jc w:val="center"/>
        </w:trPr>
        <w:tc>
          <w:tcPr>
            <w:tcW w:w="2861" w:type="dxa"/>
          </w:tcPr>
          <w:p w14:paraId="64D29B58" w14:textId="77777777" w:rsidR="002B0F1B" w:rsidRPr="007B09D8" w:rsidRDefault="002B0F1B" w:rsidP="00C36CC6">
            <w:pPr>
              <w:pStyle w:val="TableTextLeft"/>
              <w:rPr>
                <w:rFonts w:cs="Times New Roman"/>
                <w:szCs w:val="20"/>
              </w:rPr>
            </w:pPr>
            <w:r w:rsidRPr="007B09D8">
              <w:rPr>
                <w:rFonts w:eastAsia="Calibri" w:cs="Times New Roman"/>
              </w:rPr>
              <w:t>DAT</w:t>
            </w:r>
            <w:r w:rsidRPr="007B09D8">
              <w:rPr>
                <w:rFonts w:eastAsia="Calibri" w:cs="Times New Roman"/>
                <w:vertAlign w:val="superscript"/>
              </w:rPr>
              <w:t>8</w:t>
            </w:r>
            <w:r w:rsidRPr="007B09D8">
              <w:rPr>
                <w:rFonts w:eastAsia="Calibri" w:cs="Times New Roman"/>
              </w:rPr>
              <w:t xml:space="preserve"> </w:t>
            </w:r>
          </w:p>
        </w:tc>
        <w:tc>
          <w:tcPr>
            <w:tcW w:w="1186" w:type="dxa"/>
            <w:vAlign w:val="center"/>
          </w:tcPr>
          <w:p w14:paraId="7E9E79C6"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w:t>
            </w:r>
          </w:p>
        </w:tc>
        <w:tc>
          <w:tcPr>
            <w:tcW w:w="1748" w:type="dxa"/>
            <w:vAlign w:val="center"/>
          </w:tcPr>
          <w:p w14:paraId="20B295F8" w14:textId="77777777" w:rsidR="002B0F1B" w:rsidRPr="007B09D8" w:rsidRDefault="002B0F1B" w:rsidP="00C36CC6">
            <w:pPr>
              <w:pStyle w:val="TableText"/>
              <w:rPr>
                <w:rFonts w:eastAsia="Calibri"/>
                <w:szCs w:val="20"/>
                <w:vertAlign w:val="superscript"/>
              </w:rPr>
            </w:pPr>
          </w:p>
        </w:tc>
        <w:tc>
          <w:tcPr>
            <w:tcW w:w="1324" w:type="dxa"/>
            <w:vAlign w:val="center"/>
          </w:tcPr>
          <w:p w14:paraId="7E301A70" w14:textId="77777777" w:rsidR="002B0F1B" w:rsidRPr="007B09D8" w:rsidRDefault="002B0F1B" w:rsidP="00C36CC6">
            <w:pPr>
              <w:pStyle w:val="TableText"/>
              <w:rPr>
                <w:rFonts w:eastAsia="Calibri"/>
              </w:rPr>
            </w:pPr>
          </w:p>
        </w:tc>
        <w:tc>
          <w:tcPr>
            <w:tcW w:w="1251" w:type="dxa"/>
            <w:vAlign w:val="center"/>
          </w:tcPr>
          <w:p w14:paraId="1673489B" w14:textId="77777777" w:rsidR="002B0F1B" w:rsidRPr="007B09D8" w:rsidRDefault="002B0F1B" w:rsidP="00C36CC6">
            <w:pPr>
              <w:pStyle w:val="TableText"/>
              <w:rPr>
                <w:rFonts w:eastAsia="Calibri"/>
              </w:rPr>
            </w:pPr>
            <w:r w:rsidRPr="007B09D8">
              <w:rPr>
                <w:rFonts w:eastAsia="Calibri"/>
              </w:rPr>
              <w:t>X</w:t>
            </w:r>
          </w:p>
        </w:tc>
        <w:tc>
          <w:tcPr>
            <w:tcW w:w="1350" w:type="dxa"/>
            <w:vAlign w:val="center"/>
          </w:tcPr>
          <w:p w14:paraId="5FB516FB" w14:textId="77777777" w:rsidR="002B0F1B" w:rsidRPr="007B09D8" w:rsidRDefault="002B0F1B" w:rsidP="00C36CC6">
            <w:pPr>
              <w:pStyle w:val="TableText"/>
              <w:rPr>
                <w:rFonts w:eastAsia="Calibri"/>
              </w:rPr>
            </w:pPr>
            <w:r w:rsidRPr="007B09D8">
              <w:rPr>
                <w:rFonts w:eastAsia="Calibri"/>
              </w:rPr>
              <w:t>X</w:t>
            </w:r>
          </w:p>
        </w:tc>
      </w:tr>
      <w:tr w:rsidR="002B0F1B" w:rsidRPr="007B09D8" w14:paraId="3A31B7D5" w14:textId="77777777" w:rsidTr="00C36CC6">
        <w:trPr>
          <w:jc w:val="center"/>
        </w:trPr>
        <w:tc>
          <w:tcPr>
            <w:tcW w:w="2861" w:type="dxa"/>
          </w:tcPr>
          <w:p w14:paraId="3E75AAF1" w14:textId="77777777" w:rsidR="002B0F1B" w:rsidRPr="007B09D8" w:rsidRDefault="002B0F1B" w:rsidP="00C36CC6">
            <w:pPr>
              <w:pStyle w:val="TableTextLeft"/>
              <w:rPr>
                <w:rFonts w:cs="Times New Roman"/>
              </w:rPr>
            </w:pPr>
            <w:r w:rsidRPr="007B09D8">
              <w:t xml:space="preserve">Immune reactivity to amustaline/GSH RBCs </w:t>
            </w:r>
          </w:p>
          <w:p w14:paraId="432BB3C5" w14:textId="77777777" w:rsidR="002B0F1B" w:rsidRPr="007B09D8" w:rsidRDefault="002B0F1B" w:rsidP="00C36CC6">
            <w:pPr>
              <w:pStyle w:val="TableTextLeft"/>
              <w:rPr>
                <w:rFonts w:eastAsiaTheme="minorHAnsi"/>
                <w:strike/>
                <w:sz w:val="22"/>
                <w:vertAlign w:val="superscript"/>
              </w:rPr>
            </w:pPr>
            <w:r w:rsidRPr="007B09D8" w:rsidDel="00A400C2">
              <w:rPr>
                <w:rFonts w:cs="Times New Roman"/>
              </w:rPr>
              <w:t>(</w:t>
            </w:r>
            <w:r w:rsidRPr="007B09D8">
              <w:rPr>
                <w:rFonts w:cs="Times New Roman"/>
              </w:rPr>
              <w:t>amustaline/GSH RBC antibody</w:t>
            </w:r>
            <w:r w:rsidRPr="007B09D8" w:rsidDel="00A400C2">
              <w:rPr>
                <w:rFonts w:cs="Times New Roman"/>
              </w:rPr>
              <w:t xml:space="preserve"> testing)</w:t>
            </w:r>
          </w:p>
        </w:tc>
        <w:tc>
          <w:tcPr>
            <w:tcW w:w="1186" w:type="dxa"/>
            <w:vAlign w:val="center"/>
          </w:tcPr>
          <w:p w14:paraId="7E9C6CB2" w14:textId="77777777" w:rsidR="002B0F1B" w:rsidRPr="007B09D8" w:rsidRDefault="002B0F1B" w:rsidP="00C36CC6">
            <w:pPr>
              <w:pStyle w:val="TableText"/>
              <w:rPr>
                <w:strike/>
                <w:vertAlign w:val="superscript"/>
              </w:rPr>
            </w:pPr>
            <w:r w:rsidRPr="007B09D8">
              <w:rPr>
                <w:rFonts w:eastAsia="Calibri"/>
              </w:rPr>
              <w:t>X</w:t>
            </w:r>
            <w:r w:rsidRPr="007B09D8">
              <w:rPr>
                <w:rFonts w:eastAsia="Calibri"/>
                <w:vertAlign w:val="superscript"/>
              </w:rPr>
              <w:t>1</w:t>
            </w:r>
          </w:p>
        </w:tc>
        <w:tc>
          <w:tcPr>
            <w:tcW w:w="1748" w:type="dxa"/>
            <w:vAlign w:val="center"/>
          </w:tcPr>
          <w:p w14:paraId="5202EA97" w14:textId="77777777" w:rsidR="002B0F1B" w:rsidRPr="007B09D8" w:rsidRDefault="002B0F1B" w:rsidP="00C36CC6">
            <w:pPr>
              <w:pStyle w:val="TableText"/>
              <w:rPr>
                <w:strike/>
                <w:vertAlign w:val="superscript"/>
              </w:rPr>
            </w:pPr>
            <w:r w:rsidRPr="007B09D8">
              <w:rPr>
                <w:rFonts w:eastAsia="Calibri"/>
                <w:szCs w:val="20"/>
              </w:rPr>
              <w:t>X</w:t>
            </w:r>
            <w:r w:rsidRPr="007B09D8">
              <w:rPr>
                <w:rFonts w:eastAsia="Calibri"/>
                <w:szCs w:val="20"/>
                <w:vertAlign w:val="superscript"/>
              </w:rPr>
              <w:t>7</w:t>
            </w:r>
          </w:p>
        </w:tc>
        <w:tc>
          <w:tcPr>
            <w:tcW w:w="1324" w:type="dxa"/>
            <w:vAlign w:val="center"/>
          </w:tcPr>
          <w:p w14:paraId="54EE7B7F" w14:textId="77777777" w:rsidR="002B0F1B" w:rsidRPr="007B09D8" w:rsidRDefault="002B0F1B" w:rsidP="00C36CC6">
            <w:pPr>
              <w:pStyle w:val="TableText"/>
            </w:pPr>
          </w:p>
        </w:tc>
        <w:tc>
          <w:tcPr>
            <w:tcW w:w="1251" w:type="dxa"/>
            <w:vAlign w:val="center"/>
          </w:tcPr>
          <w:p w14:paraId="5C048C67" w14:textId="77777777" w:rsidR="002B0F1B" w:rsidRPr="007B09D8" w:rsidRDefault="002B0F1B" w:rsidP="00C36CC6">
            <w:pPr>
              <w:pStyle w:val="TableText"/>
              <w:rPr>
                <w:rFonts w:eastAsiaTheme="minorHAnsi"/>
                <w:strike/>
                <w:sz w:val="22"/>
              </w:rPr>
            </w:pPr>
            <w:r w:rsidRPr="007B09D8">
              <w:rPr>
                <w:rFonts w:eastAsiaTheme="minorHAnsi" w:cstheme="minorBidi"/>
                <w:szCs w:val="22"/>
              </w:rPr>
              <w:t>X</w:t>
            </w:r>
          </w:p>
        </w:tc>
        <w:tc>
          <w:tcPr>
            <w:tcW w:w="1350" w:type="dxa"/>
            <w:vAlign w:val="center"/>
          </w:tcPr>
          <w:p w14:paraId="358B4062" w14:textId="77777777" w:rsidR="002B0F1B" w:rsidRPr="007B09D8" w:rsidRDefault="002B0F1B" w:rsidP="00C36CC6">
            <w:pPr>
              <w:pStyle w:val="TableText"/>
              <w:rPr>
                <w:rFonts w:eastAsiaTheme="minorHAnsi" w:cstheme="minorBidi"/>
                <w:szCs w:val="22"/>
              </w:rPr>
            </w:pPr>
            <w:r w:rsidRPr="007B09D8">
              <w:rPr>
                <w:rFonts w:eastAsiaTheme="minorHAnsi" w:cstheme="minorBidi"/>
                <w:szCs w:val="22"/>
              </w:rPr>
              <w:t>X</w:t>
            </w:r>
          </w:p>
        </w:tc>
      </w:tr>
      <w:tr w:rsidR="002B0F1B" w:rsidRPr="007B09D8" w14:paraId="674BD5E5" w14:textId="77777777" w:rsidTr="00C36CC6">
        <w:trPr>
          <w:jc w:val="center"/>
        </w:trPr>
        <w:tc>
          <w:tcPr>
            <w:tcW w:w="2861" w:type="dxa"/>
          </w:tcPr>
          <w:p w14:paraId="2066441E" w14:textId="77777777" w:rsidR="002B0F1B" w:rsidRPr="007B09D8" w:rsidRDefault="002B0F1B" w:rsidP="00C36CC6">
            <w:pPr>
              <w:pStyle w:val="TableTextLeft"/>
              <w:rPr>
                <w:rFonts w:eastAsiaTheme="minorHAnsi"/>
                <w:sz w:val="22"/>
                <w:vertAlign w:val="superscript"/>
              </w:rPr>
            </w:pPr>
            <w:r w:rsidRPr="007B09D8">
              <w:rPr>
                <w:rFonts w:eastAsiaTheme="minorHAnsi"/>
                <w:szCs w:val="22"/>
              </w:rPr>
              <w:t>Pregnancy test</w:t>
            </w:r>
            <w:r w:rsidRPr="007B09D8">
              <w:rPr>
                <w:rFonts w:cs="Times New Roman"/>
              </w:rPr>
              <w:t xml:space="preserve"> (if applicable)</w:t>
            </w:r>
            <w:r w:rsidRPr="007B09D8">
              <w:rPr>
                <w:rFonts w:eastAsia="Calibri" w:cs="Times New Roman"/>
                <w:vertAlign w:val="superscript"/>
              </w:rPr>
              <w:t>3</w:t>
            </w:r>
          </w:p>
        </w:tc>
        <w:tc>
          <w:tcPr>
            <w:tcW w:w="1186" w:type="dxa"/>
            <w:vAlign w:val="center"/>
          </w:tcPr>
          <w:p w14:paraId="0E4FEF4B" w14:textId="77777777" w:rsidR="002B0F1B" w:rsidRPr="007B09D8" w:rsidRDefault="002B0F1B" w:rsidP="00C36CC6">
            <w:pPr>
              <w:pStyle w:val="TableText"/>
            </w:pPr>
            <w:r w:rsidRPr="007B09D8">
              <w:rPr>
                <w:rFonts w:eastAsiaTheme="minorHAnsi" w:cstheme="minorBidi"/>
                <w:szCs w:val="22"/>
              </w:rPr>
              <w:t>X</w:t>
            </w:r>
          </w:p>
        </w:tc>
        <w:tc>
          <w:tcPr>
            <w:tcW w:w="1748" w:type="dxa"/>
            <w:vAlign w:val="center"/>
          </w:tcPr>
          <w:p w14:paraId="2B9BD329" w14:textId="77777777" w:rsidR="002B0F1B" w:rsidRPr="007B09D8" w:rsidRDefault="002B0F1B" w:rsidP="00C36CC6">
            <w:pPr>
              <w:pStyle w:val="TableText"/>
              <w:rPr>
                <w:rFonts w:eastAsiaTheme="minorHAnsi"/>
                <w:sz w:val="22"/>
                <w:vertAlign w:val="superscript"/>
              </w:rPr>
            </w:pPr>
          </w:p>
        </w:tc>
        <w:tc>
          <w:tcPr>
            <w:tcW w:w="1324" w:type="dxa"/>
            <w:vAlign w:val="center"/>
          </w:tcPr>
          <w:p w14:paraId="1400873E" w14:textId="77777777" w:rsidR="002B0F1B" w:rsidRPr="007B09D8" w:rsidRDefault="002B0F1B" w:rsidP="00C36CC6">
            <w:pPr>
              <w:pStyle w:val="TableText"/>
            </w:pPr>
          </w:p>
        </w:tc>
        <w:tc>
          <w:tcPr>
            <w:tcW w:w="1251" w:type="dxa"/>
            <w:vAlign w:val="center"/>
          </w:tcPr>
          <w:p w14:paraId="7351039A" w14:textId="77777777" w:rsidR="002B0F1B" w:rsidRPr="007B09D8" w:rsidRDefault="002B0F1B" w:rsidP="00C36CC6">
            <w:pPr>
              <w:pStyle w:val="TableText"/>
            </w:pPr>
          </w:p>
        </w:tc>
        <w:tc>
          <w:tcPr>
            <w:tcW w:w="1350" w:type="dxa"/>
            <w:vAlign w:val="center"/>
          </w:tcPr>
          <w:p w14:paraId="06041FFD" w14:textId="77777777" w:rsidR="002B0F1B" w:rsidRPr="007B09D8" w:rsidRDefault="002B0F1B" w:rsidP="00C36CC6">
            <w:pPr>
              <w:pStyle w:val="TableText"/>
              <w:rPr>
                <w:rFonts w:eastAsia="Calibri"/>
              </w:rPr>
            </w:pPr>
          </w:p>
        </w:tc>
      </w:tr>
      <w:tr w:rsidR="002B0F1B" w:rsidRPr="007B09D8" w14:paraId="3D55914B" w14:textId="77777777" w:rsidTr="00C36CC6">
        <w:trPr>
          <w:jc w:val="center"/>
        </w:trPr>
        <w:tc>
          <w:tcPr>
            <w:tcW w:w="2861" w:type="dxa"/>
          </w:tcPr>
          <w:p w14:paraId="635999BE" w14:textId="77777777" w:rsidR="002B0F1B" w:rsidRPr="007B09D8" w:rsidRDefault="002B0F1B" w:rsidP="00C36CC6">
            <w:pPr>
              <w:pStyle w:val="TableTextLeft"/>
              <w:rPr>
                <w:rFonts w:eastAsiaTheme="minorHAnsi"/>
                <w:sz w:val="22"/>
                <w:vertAlign w:val="superscript"/>
              </w:rPr>
            </w:pPr>
            <w:r w:rsidRPr="007B09D8">
              <w:rPr>
                <w:rFonts w:eastAsiaTheme="minorHAnsi"/>
                <w:szCs w:val="22"/>
              </w:rPr>
              <w:t>Indication for RBC transfusion</w:t>
            </w:r>
          </w:p>
        </w:tc>
        <w:tc>
          <w:tcPr>
            <w:tcW w:w="1186" w:type="dxa"/>
            <w:vAlign w:val="center"/>
          </w:tcPr>
          <w:p w14:paraId="7F6BE8E8" w14:textId="77777777" w:rsidR="002B0F1B" w:rsidRPr="007B09D8" w:rsidRDefault="002B0F1B" w:rsidP="00C36CC6">
            <w:pPr>
              <w:pStyle w:val="TableText"/>
              <w:rPr>
                <w:rFonts w:eastAsiaTheme="minorHAnsi"/>
                <w:sz w:val="22"/>
                <w:vertAlign w:val="superscript"/>
              </w:rPr>
            </w:pPr>
            <w:r w:rsidRPr="007B09D8">
              <w:rPr>
                <w:rFonts w:eastAsia="Calibri"/>
              </w:rPr>
              <w:t>X</w:t>
            </w:r>
            <w:r w:rsidRPr="007B09D8">
              <w:rPr>
                <w:rFonts w:eastAsia="Calibri"/>
                <w:vertAlign w:val="superscript"/>
              </w:rPr>
              <w:t>1</w:t>
            </w:r>
          </w:p>
        </w:tc>
        <w:tc>
          <w:tcPr>
            <w:tcW w:w="1748" w:type="dxa"/>
            <w:vAlign w:val="center"/>
          </w:tcPr>
          <w:p w14:paraId="69D31925" w14:textId="77777777" w:rsidR="002B0F1B" w:rsidRPr="007B09D8" w:rsidRDefault="002B0F1B" w:rsidP="00C36CC6">
            <w:pPr>
              <w:pStyle w:val="TableText"/>
            </w:pPr>
          </w:p>
        </w:tc>
        <w:tc>
          <w:tcPr>
            <w:tcW w:w="1324" w:type="dxa"/>
            <w:vAlign w:val="center"/>
          </w:tcPr>
          <w:p w14:paraId="62788CDC" w14:textId="77777777" w:rsidR="002B0F1B" w:rsidRPr="007B09D8" w:rsidRDefault="002B0F1B" w:rsidP="00C36CC6">
            <w:pPr>
              <w:pStyle w:val="TableText"/>
            </w:pPr>
          </w:p>
        </w:tc>
        <w:tc>
          <w:tcPr>
            <w:tcW w:w="1251" w:type="dxa"/>
            <w:vAlign w:val="center"/>
          </w:tcPr>
          <w:p w14:paraId="45C0CDC1" w14:textId="77777777" w:rsidR="002B0F1B" w:rsidRPr="007B09D8" w:rsidRDefault="002B0F1B" w:rsidP="00C36CC6">
            <w:pPr>
              <w:pStyle w:val="TableText"/>
            </w:pPr>
          </w:p>
        </w:tc>
        <w:tc>
          <w:tcPr>
            <w:tcW w:w="1350" w:type="dxa"/>
            <w:vAlign w:val="center"/>
          </w:tcPr>
          <w:p w14:paraId="10A24C4B" w14:textId="77777777" w:rsidR="002B0F1B" w:rsidRPr="007B09D8" w:rsidRDefault="002B0F1B" w:rsidP="00C36CC6">
            <w:pPr>
              <w:pStyle w:val="TableText"/>
              <w:rPr>
                <w:rFonts w:eastAsia="Calibri"/>
              </w:rPr>
            </w:pPr>
          </w:p>
        </w:tc>
      </w:tr>
      <w:tr w:rsidR="002B0F1B" w:rsidRPr="007B09D8" w14:paraId="28A0E3C3" w14:textId="77777777" w:rsidTr="00C36CC6">
        <w:trPr>
          <w:jc w:val="center"/>
        </w:trPr>
        <w:tc>
          <w:tcPr>
            <w:tcW w:w="2861" w:type="dxa"/>
          </w:tcPr>
          <w:p w14:paraId="16B3BEFE" w14:textId="77777777" w:rsidR="002B0F1B" w:rsidRPr="007B09D8" w:rsidRDefault="002B0F1B" w:rsidP="00C36CC6">
            <w:pPr>
              <w:pStyle w:val="TableTextLeft"/>
              <w:rPr>
                <w:rFonts w:cs="Times New Roman"/>
              </w:rPr>
            </w:pPr>
            <w:r w:rsidRPr="007B09D8">
              <w:rPr>
                <w:rFonts w:cs="Times New Roman"/>
              </w:rPr>
              <w:t xml:space="preserve">Hematology </w:t>
            </w:r>
            <w:r w:rsidRPr="007B09D8">
              <w:rPr>
                <w:rFonts w:eastAsia="Calibri" w:cs="Times New Roman"/>
              </w:rPr>
              <w:t>panel</w:t>
            </w:r>
            <w:r w:rsidRPr="007B09D8">
              <w:rPr>
                <w:rFonts w:eastAsia="Calibri" w:cs="Times New Roman"/>
                <w:vertAlign w:val="superscript"/>
              </w:rPr>
              <w:t>9</w:t>
            </w:r>
          </w:p>
        </w:tc>
        <w:tc>
          <w:tcPr>
            <w:tcW w:w="1186" w:type="dxa"/>
            <w:vAlign w:val="center"/>
          </w:tcPr>
          <w:p w14:paraId="08B2DA76" w14:textId="77777777" w:rsidR="002B0F1B" w:rsidRPr="007B09D8" w:rsidRDefault="002B0F1B" w:rsidP="00C36CC6">
            <w:pPr>
              <w:pStyle w:val="TableText"/>
            </w:pPr>
            <w:r w:rsidRPr="007B09D8">
              <w:t>X</w:t>
            </w:r>
            <w:r w:rsidRPr="007B09D8">
              <w:rPr>
                <w:vertAlign w:val="superscript"/>
              </w:rPr>
              <w:t>1</w:t>
            </w:r>
          </w:p>
        </w:tc>
        <w:tc>
          <w:tcPr>
            <w:tcW w:w="1748" w:type="dxa"/>
            <w:vAlign w:val="center"/>
          </w:tcPr>
          <w:p w14:paraId="50739F95" w14:textId="77777777" w:rsidR="002B0F1B" w:rsidRPr="007B09D8" w:rsidRDefault="002B0F1B" w:rsidP="00C36CC6">
            <w:pPr>
              <w:pStyle w:val="TableText"/>
              <w:rPr>
                <w:rFonts w:eastAsia="Calibri"/>
              </w:rPr>
            </w:pPr>
            <w:r w:rsidRPr="007B09D8">
              <w:rPr>
                <w:rFonts w:eastAsia="Calibri"/>
              </w:rPr>
              <w:t>X</w:t>
            </w:r>
          </w:p>
        </w:tc>
        <w:tc>
          <w:tcPr>
            <w:tcW w:w="1324" w:type="dxa"/>
            <w:vAlign w:val="center"/>
          </w:tcPr>
          <w:p w14:paraId="7EBDF23D" w14:textId="77777777" w:rsidR="002B0F1B" w:rsidRPr="007B09D8" w:rsidRDefault="002B0F1B" w:rsidP="00C36CC6">
            <w:pPr>
              <w:pStyle w:val="TableText"/>
            </w:pPr>
          </w:p>
        </w:tc>
        <w:tc>
          <w:tcPr>
            <w:tcW w:w="1251" w:type="dxa"/>
            <w:vAlign w:val="center"/>
          </w:tcPr>
          <w:p w14:paraId="58030991" w14:textId="77777777" w:rsidR="002B0F1B" w:rsidRPr="007B09D8" w:rsidRDefault="002B0F1B" w:rsidP="00C36CC6">
            <w:pPr>
              <w:pStyle w:val="TableText"/>
            </w:pPr>
            <w:r w:rsidRPr="007B09D8">
              <w:rPr>
                <w:rFonts w:eastAsia="Calibri"/>
              </w:rPr>
              <w:t>X</w:t>
            </w:r>
          </w:p>
        </w:tc>
        <w:tc>
          <w:tcPr>
            <w:tcW w:w="1350" w:type="dxa"/>
            <w:vAlign w:val="center"/>
          </w:tcPr>
          <w:p w14:paraId="0792DFD0" w14:textId="77777777" w:rsidR="002B0F1B" w:rsidRPr="007B09D8" w:rsidRDefault="002B0F1B" w:rsidP="00C36CC6">
            <w:pPr>
              <w:pStyle w:val="TableText"/>
              <w:rPr>
                <w:rFonts w:eastAsia="Calibri"/>
              </w:rPr>
            </w:pPr>
          </w:p>
        </w:tc>
      </w:tr>
      <w:tr w:rsidR="002B0F1B" w:rsidRPr="007B09D8" w14:paraId="324C5775" w14:textId="77777777" w:rsidTr="00C36CC6">
        <w:trPr>
          <w:jc w:val="center"/>
        </w:trPr>
        <w:tc>
          <w:tcPr>
            <w:tcW w:w="2861" w:type="dxa"/>
          </w:tcPr>
          <w:p w14:paraId="3F4E8855" w14:textId="77777777" w:rsidR="002B0F1B" w:rsidRPr="007B09D8" w:rsidRDefault="002B0F1B" w:rsidP="00C36CC6">
            <w:pPr>
              <w:pStyle w:val="TableTextLeft"/>
              <w:rPr>
                <w:rFonts w:eastAsia="Calibri" w:cs="Times New Roman"/>
                <w:vertAlign w:val="superscript"/>
              </w:rPr>
            </w:pPr>
            <w:r w:rsidRPr="007B09D8">
              <w:rPr>
                <w:rFonts w:eastAsia="Calibri" w:cs="Times New Roman"/>
              </w:rPr>
              <w:t>Hemoglobin Measurement</w:t>
            </w:r>
          </w:p>
        </w:tc>
        <w:tc>
          <w:tcPr>
            <w:tcW w:w="1186" w:type="dxa"/>
            <w:vAlign w:val="center"/>
          </w:tcPr>
          <w:p w14:paraId="42D0EC36" w14:textId="77777777" w:rsidR="002B0F1B" w:rsidRPr="007B09D8" w:rsidRDefault="002B0F1B" w:rsidP="00C36CC6">
            <w:pPr>
              <w:pStyle w:val="TableText"/>
              <w:rPr>
                <w:rFonts w:eastAsia="Calibri"/>
                <w:vertAlign w:val="superscript"/>
              </w:rPr>
            </w:pPr>
          </w:p>
        </w:tc>
        <w:tc>
          <w:tcPr>
            <w:tcW w:w="1748" w:type="dxa"/>
            <w:vAlign w:val="center"/>
          </w:tcPr>
          <w:p w14:paraId="6402AA75" w14:textId="77777777" w:rsidR="002B0F1B" w:rsidRPr="007B09D8" w:rsidRDefault="002B0F1B" w:rsidP="00C36CC6">
            <w:pPr>
              <w:pStyle w:val="TableText"/>
              <w:rPr>
                <w:rFonts w:eastAsia="Calibri"/>
                <w:szCs w:val="20"/>
                <w:vertAlign w:val="superscript"/>
              </w:rPr>
            </w:pPr>
          </w:p>
        </w:tc>
        <w:tc>
          <w:tcPr>
            <w:tcW w:w="1324" w:type="dxa"/>
            <w:vAlign w:val="center"/>
          </w:tcPr>
          <w:p w14:paraId="55523859" w14:textId="77777777" w:rsidR="002B0F1B" w:rsidRPr="007B09D8" w:rsidRDefault="002B0F1B" w:rsidP="00C36CC6">
            <w:pPr>
              <w:pStyle w:val="TableText"/>
              <w:rPr>
                <w:rFonts w:eastAsia="Calibri"/>
              </w:rPr>
            </w:pPr>
            <w:r w:rsidRPr="007B09D8">
              <w:rPr>
                <w:rFonts w:eastAsia="Calibri"/>
                <w:szCs w:val="20"/>
              </w:rPr>
              <w:t>X</w:t>
            </w:r>
            <w:r w:rsidRPr="007B09D8">
              <w:rPr>
                <w:rFonts w:eastAsia="Calibri"/>
                <w:szCs w:val="20"/>
                <w:vertAlign w:val="superscript"/>
              </w:rPr>
              <w:t>2</w:t>
            </w:r>
          </w:p>
        </w:tc>
        <w:tc>
          <w:tcPr>
            <w:tcW w:w="1251" w:type="dxa"/>
            <w:vAlign w:val="center"/>
          </w:tcPr>
          <w:p w14:paraId="4E48931C" w14:textId="77777777" w:rsidR="002B0F1B" w:rsidRPr="007B09D8" w:rsidRDefault="002B0F1B" w:rsidP="00C36CC6">
            <w:pPr>
              <w:pStyle w:val="TableText"/>
              <w:rPr>
                <w:rFonts w:eastAsia="Calibri"/>
              </w:rPr>
            </w:pPr>
          </w:p>
        </w:tc>
        <w:tc>
          <w:tcPr>
            <w:tcW w:w="1350" w:type="dxa"/>
            <w:vAlign w:val="center"/>
          </w:tcPr>
          <w:p w14:paraId="51407EC6" w14:textId="77777777" w:rsidR="002B0F1B" w:rsidRPr="007B09D8" w:rsidRDefault="002B0F1B" w:rsidP="00C36CC6">
            <w:pPr>
              <w:pStyle w:val="TableText"/>
              <w:rPr>
                <w:rFonts w:eastAsia="Calibri"/>
              </w:rPr>
            </w:pPr>
          </w:p>
        </w:tc>
      </w:tr>
      <w:tr w:rsidR="002B0F1B" w:rsidRPr="007B09D8" w14:paraId="32A18F92" w14:textId="77777777" w:rsidTr="00C36CC6">
        <w:trPr>
          <w:jc w:val="center"/>
        </w:trPr>
        <w:tc>
          <w:tcPr>
            <w:tcW w:w="2861" w:type="dxa"/>
          </w:tcPr>
          <w:p w14:paraId="35C40210" w14:textId="77777777" w:rsidR="002B0F1B" w:rsidRPr="007B09D8" w:rsidRDefault="002B0F1B" w:rsidP="00C36CC6">
            <w:pPr>
              <w:pStyle w:val="TableTextLeft"/>
              <w:rPr>
                <w:rFonts w:cs="Times New Roman"/>
                <w:vertAlign w:val="superscript"/>
              </w:rPr>
            </w:pPr>
            <w:r w:rsidRPr="007B09D8">
              <w:rPr>
                <w:rFonts w:cs="Times New Roman"/>
              </w:rPr>
              <w:t xml:space="preserve">Blood chemistry </w:t>
            </w:r>
            <w:r w:rsidRPr="007B09D8">
              <w:rPr>
                <w:rFonts w:eastAsia="Calibri" w:cs="Times New Roman"/>
              </w:rPr>
              <w:t>panel</w:t>
            </w:r>
            <w:r w:rsidRPr="007B09D8">
              <w:rPr>
                <w:rFonts w:eastAsia="Calibri" w:cs="Times New Roman"/>
                <w:vertAlign w:val="superscript"/>
              </w:rPr>
              <w:t>10</w:t>
            </w:r>
          </w:p>
        </w:tc>
        <w:tc>
          <w:tcPr>
            <w:tcW w:w="1186" w:type="dxa"/>
            <w:vAlign w:val="center"/>
          </w:tcPr>
          <w:p w14:paraId="3B90027E" w14:textId="77777777" w:rsidR="002B0F1B" w:rsidRPr="007B09D8" w:rsidRDefault="002B0F1B" w:rsidP="00C36CC6">
            <w:pPr>
              <w:pStyle w:val="TableText"/>
              <w:rPr>
                <w:vertAlign w:val="superscript"/>
              </w:rPr>
            </w:pPr>
            <w:r w:rsidRPr="007B09D8">
              <w:t>X</w:t>
            </w:r>
            <w:r w:rsidRPr="007B09D8">
              <w:rPr>
                <w:vertAlign w:val="superscript"/>
              </w:rPr>
              <w:t>1</w:t>
            </w:r>
          </w:p>
        </w:tc>
        <w:tc>
          <w:tcPr>
            <w:tcW w:w="1748" w:type="dxa"/>
            <w:vAlign w:val="center"/>
          </w:tcPr>
          <w:p w14:paraId="1EBC7E15" w14:textId="77777777" w:rsidR="002B0F1B" w:rsidRPr="007B09D8" w:rsidRDefault="002B0F1B" w:rsidP="00C36CC6">
            <w:pPr>
              <w:pStyle w:val="TableText"/>
              <w:rPr>
                <w:rFonts w:eastAsia="Calibri"/>
              </w:rPr>
            </w:pPr>
            <w:r w:rsidRPr="007B09D8">
              <w:rPr>
                <w:rFonts w:eastAsia="Calibri"/>
                <w:szCs w:val="20"/>
              </w:rPr>
              <w:t>X</w:t>
            </w:r>
          </w:p>
        </w:tc>
        <w:tc>
          <w:tcPr>
            <w:tcW w:w="1324" w:type="dxa"/>
            <w:vAlign w:val="center"/>
          </w:tcPr>
          <w:p w14:paraId="403DAB18" w14:textId="77777777" w:rsidR="002B0F1B" w:rsidRPr="007B09D8" w:rsidRDefault="002B0F1B" w:rsidP="00C36CC6">
            <w:pPr>
              <w:pStyle w:val="TableText"/>
            </w:pPr>
          </w:p>
        </w:tc>
        <w:tc>
          <w:tcPr>
            <w:tcW w:w="1251" w:type="dxa"/>
            <w:vAlign w:val="center"/>
          </w:tcPr>
          <w:p w14:paraId="18D98BCA" w14:textId="77777777" w:rsidR="002B0F1B" w:rsidRPr="007B09D8" w:rsidRDefault="002B0F1B" w:rsidP="00C36CC6">
            <w:pPr>
              <w:pStyle w:val="TableText"/>
              <w:rPr>
                <w:sz w:val="13"/>
              </w:rPr>
            </w:pPr>
            <w:r w:rsidRPr="007B09D8">
              <w:rPr>
                <w:rFonts w:eastAsia="Calibri"/>
              </w:rPr>
              <w:t>X</w:t>
            </w:r>
          </w:p>
        </w:tc>
        <w:tc>
          <w:tcPr>
            <w:tcW w:w="1350" w:type="dxa"/>
            <w:vAlign w:val="center"/>
          </w:tcPr>
          <w:p w14:paraId="6CD49694" w14:textId="77777777" w:rsidR="002B0F1B" w:rsidRPr="007B09D8" w:rsidRDefault="002B0F1B" w:rsidP="00C36CC6">
            <w:pPr>
              <w:pStyle w:val="TableText"/>
              <w:rPr>
                <w:rFonts w:eastAsia="Calibri"/>
              </w:rPr>
            </w:pPr>
          </w:p>
        </w:tc>
      </w:tr>
      <w:tr w:rsidR="002B0F1B" w:rsidRPr="007B09D8" w14:paraId="06545D95" w14:textId="77777777" w:rsidTr="00C36CC6">
        <w:trPr>
          <w:jc w:val="center"/>
        </w:trPr>
        <w:tc>
          <w:tcPr>
            <w:tcW w:w="2861" w:type="dxa"/>
          </w:tcPr>
          <w:p w14:paraId="7B0DABC7" w14:textId="77777777" w:rsidR="002B0F1B" w:rsidRPr="007B09D8" w:rsidRDefault="002B0F1B" w:rsidP="00C36CC6">
            <w:pPr>
              <w:pStyle w:val="TableTextLeft"/>
              <w:rPr>
                <w:rFonts w:cs="Times New Roman"/>
              </w:rPr>
            </w:pPr>
            <w:r w:rsidRPr="007B09D8">
              <w:rPr>
                <w:rFonts w:cs="Times New Roman"/>
              </w:rPr>
              <w:t xml:space="preserve">Coagulation </w:t>
            </w:r>
            <w:r w:rsidRPr="007B09D8">
              <w:rPr>
                <w:rFonts w:eastAsia="Calibri" w:cs="Times New Roman"/>
              </w:rPr>
              <w:t>panel</w:t>
            </w:r>
            <w:r w:rsidRPr="007B09D8">
              <w:rPr>
                <w:rFonts w:eastAsia="Calibri" w:cs="Times New Roman"/>
                <w:vertAlign w:val="superscript"/>
              </w:rPr>
              <w:t>11</w:t>
            </w:r>
          </w:p>
        </w:tc>
        <w:tc>
          <w:tcPr>
            <w:tcW w:w="1186" w:type="dxa"/>
            <w:vAlign w:val="center"/>
          </w:tcPr>
          <w:p w14:paraId="5683E608" w14:textId="77777777" w:rsidR="002B0F1B" w:rsidRPr="007B09D8" w:rsidRDefault="002B0F1B" w:rsidP="00C36CC6">
            <w:pPr>
              <w:pStyle w:val="TableText"/>
            </w:pPr>
            <w:r w:rsidRPr="007B09D8">
              <w:t>X</w:t>
            </w:r>
            <w:r w:rsidRPr="007B09D8">
              <w:rPr>
                <w:vertAlign w:val="superscript"/>
              </w:rPr>
              <w:t>1</w:t>
            </w:r>
          </w:p>
        </w:tc>
        <w:tc>
          <w:tcPr>
            <w:tcW w:w="1748" w:type="dxa"/>
            <w:vAlign w:val="center"/>
          </w:tcPr>
          <w:p w14:paraId="1D1C9ABF" w14:textId="77777777" w:rsidR="002B0F1B" w:rsidRPr="007B09D8" w:rsidRDefault="002B0F1B" w:rsidP="00C36CC6">
            <w:pPr>
              <w:pStyle w:val="TableText"/>
              <w:rPr>
                <w:vertAlign w:val="superscript"/>
              </w:rPr>
            </w:pPr>
          </w:p>
        </w:tc>
        <w:tc>
          <w:tcPr>
            <w:tcW w:w="1324" w:type="dxa"/>
            <w:vAlign w:val="center"/>
          </w:tcPr>
          <w:p w14:paraId="6D69630E" w14:textId="77777777" w:rsidR="002B0F1B" w:rsidRPr="007B09D8" w:rsidRDefault="002B0F1B" w:rsidP="00C36CC6">
            <w:pPr>
              <w:pStyle w:val="TableText"/>
            </w:pPr>
          </w:p>
        </w:tc>
        <w:tc>
          <w:tcPr>
            <w:tcW w:w="1251" w:type="dxa"/>
            <w:vAlign w:val="center"/>
          </w:tcPr>
          <w:p w14:paraId="7F0A0FD6" w14:textId="77777777" w:rsidR="002B0F1B" w:rsidRPr="007B09D8" w:rsidRDefault="002B0F1B" w:rsidP="00C36CC6">
            <w:pPr>
              <w:pStyle w:val="TableText"/>
              <w:rPr>
                <w:rFonts w:eastAsia="Calibri"/>
              </w:rPr>
            </w:pPr>
            <w:r w:rsidRPr="007B09D8">
              <w:rPr>
                <w:rFonts w:eastAsia="Calibri"/>
              </w:rPr>
              <w:t>X</w:t>
            </w:r>
          </w:p>
        </w:tc>
        <w:tc>
          <w:tcPr>
            <w:tcW w:w="1350" w:type="dxa"/>
            <w:vAlign w:val="center"/>
          </w:tcPr>
          <w:p w14:paraId="400E7968" w14:textId="77777777" w:rsidR="002B0F1B" w:rsidRPr="007B09D8" w:rsidRDefault="002B0F1B" w:rsidP="00C36CC6">
            <w:pPr>
              <w:pStyle w:val="TableText"/>
              <w:rPr>
                <w:rFonts w:eastAsia="Calibri"/>
              </w:rPr>
            </w:pPr>
          </w:p>
        </w:tc>
      </w:tr>
      <w:tr w:rsidR="002B0F1B" w:rsidRPr="007B09D8" w14:paraId="2748D80C" w14:textId="77777777" w:rsidTr="00C36CC6">
        <w:trPr>
          <w:jc w:val="center"/>
        </w:trPr>
        <w:tc>
          <w:tcPr>
            <w:tcW w:w="2861" w:type="dxa"/>
          </w:tcPr>
          <w:p w14:paraId="6D96C596" w14:textId="77777777" w:rsidR="002B0F1B" w:rsidRPr="007B09D8" w:rsidRDefault="002B0F1B" w:rsidP="00C36CC6">
            <w:pPr>
              <w:pStyle w:val="TableTextLeft"/>
              <w:rPr>
                <w:rFonts w:cs="Times New Roman"/>
              </w:rPr>
            </w:pPr>
            <w:r w:rsidRPr="007B09D8">
              <w:rPr>
                <w:rFonts w:cs="Times New Roman"/>
              </w:rPr>
              <w:t>Vital signs</w:t>
            </w:r>
          </w:p>
        </w:tc>
        <w:tc>
          <w:tcPr>
            <w:tcW w:w="1186" w:type="dxa"/>
            <w:vAlign w:val="center"/>
          </w:tcPr>
          <w:p w14:paraId="4C270EFE"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w:t>
            </w:r>
          </w:p>
        </w:tc>
        <w:tc>
          <w:tcPr>
            <w:tcW w:w="1748" w:type="dxa"/>
            <w:vAlign w:val="center"/>
          </w:tcPr>
          <w:p w14:paraId="1176F7B9" w14:textId="77777777" w:rsidR="002B0F1B" w:rsidRPr="007B09D8" w:rsidRDefault="002B0F1B" w:rsidP="00C36CC6">
            <w:pPr>
              <w:pStyle w:val="TableText"/>
              <w:rPr>
                <w:vertAlign w:val="superscript"/>
              </w:rPr>
            </w:pPr>
            <w:r w:rsidRPr="007B09D8">
              <w:t>X</w:t>
            </w:r>
          </w:p>
        </w:tc>
        <w:tc>
          <w:tcPr>
            <w:tcW w:w="1324" w:type="dxa"/>
            <w:vAlign w:val="center"/>
          </w:tcPr>
          <w:p w14:paraId="1C0A38B2" w14:textId="77777777" w:rsidR="002B0F1B" w:rsidRPr="007B09D8" w:rsidRDefault="002B0F1B" w:rsidP="00C36CC6">
            <w:pPr>
              <w:pStyle w:val="TableText"/>
            </w:pPr>
            <w:r w:rsidRPr="007B09D8">
              <w:t>X</w:t>
            </w:r>
          </w:p>
        </w:tc>
        <w:tc>
          <w:tcPr>
            <w:tcW w:w="1251" w:type="dxa"/>
            <w:vAlign w:val="center"/>
          </w:tcPr>
          <w:p w14:paraId="4F2DB8E3" w14:textId="77777777" w:rsidR="002B0F1B" w:rsidRPr="007B09D8" w:rsidRDefault="002B0F1B" w:rsidP="00C36CC6">
            <w:pPr>
              <w:pStyle w:val="TableText"/>
              <w:rPr>
                <w:rFonts w:eastAsia="Calibri"/>
                <w:sz w:val="13"/>
              </w:rPr>
            </w:pPr>
            <w:r w:rsidRPr="007B09D8">
              <w:rPr>
                <w:rFonts w:eastAsia="Calibri"/>
              </w:rPr>
              <w:t>X</w:t>
            </w:r>
          </w:p>
        </w:tc>
        <w:tc>
          <w:tcPr>
            <w:tcW w:w="1350" w:type="dxa"/>
            <w:vAlign w:val="center"/>
          </w:tcPr>
          <w:p w14:paraId="281ACD75" w14:textId="77777777" w:rsidR="002B0F1B" w:rsidRPr="007B09D8" w:rsidRDefault="002B0F1B" w:rsidP="00C36CC6">
            <w:pPr>
              <w:pStyle w:val="TableText"/>
              <w:rPr>
                <w:rFonts w:eastAsia="Calibri"/>
              </w:rPr>
            </w:pPr>
          </w:p>
        </w:tc>
      </w:tr>
      <w:tr w:rsidR="002B0F1B" w:rsidRPr="007B09D8" w14:paraId="558F77AA" w14:textId="77777777" w:rsidTr="00C36CC6">
        <w:trPr>
          <w:jc w:val="center"/>
        </w:trPr>
        <w:tc>
          <w:tcPr>
            <w:tcW w:w="2861" w:type="dxa"/>
          </w:tcPr>
          <w:p w14:paraId="30951655" w14:textId="77777777" w:rsidR="002B0F1B" w:rsidRPr="007B09D8" w:rsidRDefault="002B0F1B" w:rsidP="00C36CC6">
            <w:pPr>
              <w:pStyle w:val="TableTextLeft"/>
              <w:rPr>
                <w:rFonts w:cs="Times New Roman"/>
              </w:rPr>
            </w:pPr>
            <w:r w:rsidRPr="007B09D8">
              <w:t>RBC transfusion data</w:t>
            </w:r>
            <w:r w:rsidRPr="007B09D8">
              <w:rPr>
                <w:rFonts w:cs="Times New Roman"/>
              </w:rPr>
              <w:t xml:space="preserve"> </w:t>
            </w:r>
          </w:p>
          <w:p w14:paraId="628689C7" w14:textId="77777777" w:rsidR="002B0F1B" w:rsidRPr="007B09D8" w:rsidRDefault="002B0F1B" w:rsidP="00C36CC6">
            <w:pPr>
              <w:pStyle w:val="TableTextLeft"/>
            </w:pPr>
            <w:r w:rsidRPr="007B09D8">
              <w:rPr>
                <w:rFonts w:cs="Times New Roman"/>
              </w:rPr>
              <w:t>(study or non-study)</w:t>
            </w:r>
          </w:p>
        </w:tc>
        <w:tc>
          <w:tcPr>
            <w:tcW w:w="1186" w:type="dxa"/>
            <w:vAlign w:val="center"/>
          </w:tcPr>
          <w:p w14:paraId="5E607B65" w14:textId="77777777" w:rsidR="002B0F1B" w:rsidRPr="007B09D8" w:rsidRDefault="002B0F1B" w:rsidP="00C36CC6">
            <w:pPr>
              <w:pStyle w:val="TableText"/>
              <w:rPr>
                <w:rFonts w:eastAsiaTheme="minorHAnsi"/>
                <w:sz w:val="22"/>
                <w:vertAlign w:val="superscript"/>
              </w:rPr>
            </w:pPr>
            <w:r w:rsidRPr="007B09D8">
              <w:rPr>
                <w:rFonts w:eastAsia="Calibri"/>
              </w:rPr>
              <w:t>X</w:t>
            </w:r>
            <w:r w:rsidRPr="007B09D8">
              <w:rPr>
                <w:rFonts w:eastAsia="Calibri"/>
                <w:vertAlign w:val="superscript"/>
              </w:rPr>
              <w:t>1</w:t>
            </w:r>
          </w:p>
        </w:tc>
        <w:tc>
          <w:tcPr>
            <w:tcW w:w="1748" w:type="dxa"/>
            <w:vAlign w:val="center"/>
          </w:tcPr>
          <w:p w14:paraId="366AC54F" w14:textId="77777777" w:rsidR="002B0F1B" w:rsidRPr="007B09D8" w:rsidRDefault="002B0F1B" w:rsidP="00C36CC6">
            <w:pPr>
              <w:pStyle w:val="TableText"/>
              <w:rPr>
                <w:rFonts w:eastAsia="Calibri"/>
              </w:rPr>
            </w:pPr>
            <w:r w:rsidRPr="007B09D8">
              <w:rPr>
                <w:rFonts w:eastAsiaTheme="minorHAnsi" w:cstheme="minorBidi"/>
                <w:szCs w:val="22"/>
              </w:rPr>
              <w:t>X</w:t>
            </w:r>
          </w:p>
        </w:tc>
        <w:tc>
          <w:tcPr>
            <w:tcW w:w="1324" w:type="dxa"/>
            <w:vAlign w:val="center"/>
          </w:tcPr>
          <w:p w14:paraId="39202597" w14:textId="77777777" w:rsidR="002B0F1B" w:rsidRPr="007B09D8" w:rsidRDefault="002B0F1B" w:rsidP="00C36CC6">
            <w:pPr>
              <w:pStyle w:val="TableText"/>
              <w:rPr>
                <w:rFonts w:eastAsia="Calibri"/>
              </w:rPr>
            </w:pPr>
          </w:p>
        </w:tc>
        <w:tc>
          <w:tcPr>
            <w:tcW w:w="1251" w:type="dxa"/>
            <w:vAlign w:val="center"/>
          </w:tcPr>
          <w:p w14:paraId="214EED0C" w14:textId="77777777" w:rsidR="002B0F1B" w:rsidRPr="007B09D8" w:rsidRDefault="002B0F1B" w:rsidP="00C36CC6">
            <w:pPr>
              <w:pStyle w:val="TableText"/>
              <w:rPr>
                <w:rFonts w:eastAsia="Calibri"/>
              </w:rPr>
            </w:pPr>
            <w:r w:rsidRPr="007B09D8">
              <w:rPr>
                <w:rFonts w:eastAsia="Calibri"/>
              </w:rPr>
              <w:t>X</w:t>
            </w:r>
            <w:r w:rsidRPr="007B09D8">
              <w:rPr>
                <w:rFonts w:eastAsia="Calibri"/>
                <w:vertAlign w:val="superscript"/>
              </w:rPr>
              <w:t>5</w:t>
            </w:r>
          </w:p>
        </w:tc>
        <w:tc>
          <w:tcPr>
            <w:tcW w:w="1350" w:type="dxa"/>
            <w:vAlign w:val="center"/>
          </w:tcPr>
          <w:p w14:paraId="6BE89B01" w14:textId="77777777" w:rsidR="002B0F1B" w:rsidRPr="007B09D8" w:rsidRDefault="002B0F1B" w:rsidP="00C36CC6">
            <w:pPr>
              <w:pStyle w:val="TableText"/>
              <w:rPr>
                <w:rFonts w:eastAsia="Calibri"/>
              </w:rPr>
            </w:pPr>
          </w:p>
        </w:tc>
      </w:tr>
      <w:tr w:rsidR="002B0F1B" w:rsidRPr="007B09D8" w14:paraId="638A011E" w14:textId="77777777" w:rsidTr="00C36CC6">
        <w:trPr>
          <w:jc w:val="center"/>
        </w:trPr>
        <w:tc>
          <w:tcPr>
            <w:tcW w:w="2861" w:type="dxa"/>
          </w:tcPr>
          <w:p w14:paraId="7BEE89CC" w14:textId="77777777" w:rsidR="002B0F1B" w:rsidRPr="007B09D8" w:rsidRDefault="002B0F1B" w:rsidP="00C36CC6">
            <w:pPr>
              <w:pStyle w:val="TableTextLeft"/>
              <w:rPr>
                <w:rFonts w:cs="Times New Roman"/>
              </w:rPr>
            </w:pPr>
            <w:r w:rsidRPr="007B09D8">
              <w:rPr>
                <w:rFonts w:cs="Times New Roman"/>
              </w:rPr>
              <w:t>Concomitant medications</w:t>
            </w:r>
          </w:p>
        </w:tc>
        <w:tc>
          <w:tcPr>
            <w:tcW w:w="1186" w:type="dxa"/>
            <w:vAlign w:val="center"/>
          </w:tcPr>
          <w:p w14:paraId="09295D89" w14:textId="77777777" w:rsidR="002B0F1B" w:rsidRPr="007B09D8" w:rsidRDefault="002B0F1B" w:rsidP="00C36CC6">
            <w:pPr>
              <w:pStyle w:val="TableText"/>
              <w:rPr>
                <w:rFonts w:eastAsia="Calibri"/>
                <w:vertAlign w:val="superscript"/>
              </w:rPr>
            </w:pPr>
            <w:r w:rsidRPr="007B09D8">
              <w:rPr>
                <w:rFonts w:eastAsia="Calibri"/>
              </w:rPr>
              <w:t>X</w:t>
            </w:r>
            <w:r w:rsidRPr="007B09D8">
              <w:rPr>
                <w:rFonts w:eastAsia="Calibri"/>
                <w:vertAlign w:val="superscript"/>
              </w:rPr>
              <w:t>1</w:t>
            </w:r>
          </w:p>
        </w:tc>
        <w:tc>
          <w:tcPr>
            <w:tcW w:w="1748" w:type="dxa"/>
            <w:vAlign w:val="center"/>
          </w:tcPr>
          <w:p w14:paraId="12F5FF27" w14:textId="77777777" w:rsidR="002B0F1B" w:rsidRPr="007B09D8" w:rsidRDefault="002B0F1B" w:rsidP="00C36CC6">
            <w:pPr>
              <w:pStyle w:val="TableText"/>
              <w:rPr>
                <w:rFonts w:eastAsia="Calibri"/>
              </w:rPr>
            </w:pPr>
            <w:r w:rsidRPr="007B09D8">
              <w:rPr>
                <w:rFonts w:eastAsia="Calibri"/>
              </w:rPr>
              <w:t>X</w:t>
            </w:r>
            <w:r w:rsidRPr="007B09D8">
              <w:rPr>
                <w:rFonts w:eastAsia="Calibri"/>
                <w:vertAlign w:val="superscript"/>
              </w:rPr>
              <w:t>4</w:t>
            </w:r>
          </w:p>
        </w:tc>
        <w:tc>
          <w:tcPr>
            <w:tcW w:w="1324" w:type="dxa"/>
            <w:vAlign w:val="center"/>
          </w:tcPr>
          <w:p w14:paraId="024A3F5B" w14:textId="77777777" w:rsidR="002B0F1B" w:rsidRPr="007B09D8" w:rsidRDefault="002B0F1B" w:rsidP="00C36CC6">
            <w:pPr>
              <w:pStyle w:val="TableText"/>
              <w:rPr>
                <w:rFonts w:eastAsia="Calibri"/>
                <w:vertAlign w:val="superscript"/>
              </w:rPr>
            </w:pPr>
          </w:p>
        </w:tc>
        <w:tc>
          <w:tcPr>
            <w:tcW w:w="1251" w:type="dxa"/>
            <w:vAlign w:val="center"/>
          </w:tcPr>
          <w:p w14:paraId="756D44C5" w14:textId="77777777" w:rsidR="002B0F1B" w:rsidRPr="007B09D8" w:rsidRDefault="002B0F1B" w:rsidP="00C36CC6">
            <w:pPr>
              <w:pStyle w:val="TableText"/>
              <w:rPr>
                <w:rFonts w:eastAsia="Calibri"/>
                <w:vertAlign w:val="superscript"/>
              </w:rPr>
            </w:pPr>
            <w:r w:rsidRPr="007B09D8">
              <w:rPr>
                <w:rFonts w:eastAsia="Calibri"/>
              </w:rPr>
              <w:t>X</w:t>
            </w:r>
          </w:p>
        </w:tc>
        <w:tc>
          <w:tcPr>
            <w:tcW w:w="1350" w:type="dxa"/>
            <w:vAlign w:val="center"/>
          </w:tcPr>
          <w:p w14:paraId="7BF43B0B" w14:textId="77777777" w:rsidR="002B0F1B" w:rsidRPr="007B09D8" w:rsidRDefault="002B0F1B" w:rsidP="00C36CC6">
            <w:pPr>
              <w:pStyle w:val="TableText"/>
              <w:rPr>
                <w:rFonts w:eastAsia="Calibri"/>
              </w:rPr>
            </w:pPr>
          </w:p>
        </w:tc>
      </w:tr>
      <w:tr w:rsidR="002B0F1B" w:rsidRPr="007B09D8" w14:paraId="4BFA605B" w14:textId="77777777" w:rsidTr="00C36CC6">
        <w:trPr>
          <w:jc w:val="center"/>
        </w:trPr>
        <w:tc>
          <w:tcPr>
            <w:tcW w:w="2861" w:type="dxa"/>
          </w:tcPr>
          <w:p w14:paraId="4059B9EF" w14:textId="77777777" w:rsidR="002B0F1B" w:rsidRPr="007B09D8" w:rsidRDefault="002B0F1B" w:rsidP="00C36CC6">
            <w:pPr>
              <w:pStyle w:val="TableTextLeft"/>
              <w:rPr>
                <w:rFonts w:cs="Times New Roman"/>
              </w:rPr>
            </w:pPr>
            <w:r w:rsidRPr="007B09D8">
              <w:rPr>
                <w:rFonts w:cs="Times New Roman"/>
              </w:rPr>
              <w:lastRenderedPageBreak/>
              <w:t>Other blood components transfused</w:t>
            </w:r>
          </w:p>
        </w:tc>
        <w:tc>
          <w:tcPr>
            <w:tcW w:w="1186" w:type="dxa"/>
            <w:vAlign w:val="center"/>
          </w:tcPr>
          <w:p w14:paraId="4D3EDE17" w14:textId="77777777" w:rsidR="002B0F1B" w:rsidRPr="007B09D8" w:rsidRDefault="002B0F1B" w:rsidP="00C36CC6">
            <w:pPr>
              <w:pStyle w:val="TableText"/>
              <w:rPr>
                <w:rFonts w:eastAsia="Calibri"/>
              </w:rPr>
            </w:pPr>
          </w:p>
        </w:tc>
        <w:tc>
          <w:tcPr>
            <w:tcW w:w="1748" w:type="dxa"/>
            <w:vAlign w:val="center"/>
          </w:tcPr>
          <w:p w14:paraId="7FDAF124" w14:textId="77777777" w:rsidR="002B0F1B" w:rsidRPr="007B09D8" w:rsidRDefault="002B0F1B" w:rsidP="00C36CC6">
            <w:pPr>
              <w:pStyle w:val="TableText"/>
              <w:rPr>
                <w:rFonts w:eastAsia="Calibri"/>
              </w:rPr>
            </w:pPr>
            <w:r w:rsidRPr="007B09D8">
              <w:rPr>
                <w:rFonts w:eastAsia="Calibri"/>
              </w:rPr>
              <w:t>X</w:t>
            </w:r>
          </w:p>
        </w:tc>
        <w:tc>
          <w:tcPr>
            <w:tcW w:w="1324" w:type="dxa"/>
            <w:vAlign w:val="center"/>
          </w:tcPr>
          <w:p w14:paraId="0D61FBA6" w14:textId="77777777" w:rsidR="002B0F1B" w:rsidRPr="007B09D8" w:rsidRDefault="002B0F1B" w:rsidP="00C36CC6">
            <w:pPr>
              <w:pStyle w:val="TableText"/>
              <w:rPr>
                <w:rFonts w:eastAsia="Calibri"/>
              </w:rPr>
            </w:pPr>
          </w:p>
        </w:tc>
        <w:tc>
          <w:tcPr>
            <w:tcW w:w="1251" w:type="dxa"/>
            <w:vAlign w:val="center"/>
          </w:tcPr>
          <w:p w14:paraId="02FFD5AB" w14:textId="77777777" w:rsidR="002B0F1B" w:rsidRPr="007B09D8" w:rsidRDefault="002B0F1B" w:rsidP="00C36CC6">
            <w:pPr>
              <w:pStyle w:val="TableText"/>
              <w:rPr>
                <w:rFonts w:eastAsia="Calibri"/>
              </w:rPr>
            </w:pPr>
            <w:r w:rsidRPr="007B09D8">
              <w:rPr>
                <w:rFonts w:eastAsia="Calibri"/>
              </w:rPr>
              <w:t>X</w:t>
            </w:r>
          </w:p>
        </w:tc>
        <w:tc>
          <w:tcPr>
            <w:tcW w:w="1350" w:type="dxa"/>
            <w:vAlign w:val="center"/>
          </w:tcPr>
          <w:p w14:paraId="2BB4A3BD" w14:textId="77777777" w:rsidR="002B0F1B" w:rsidRPr="007B09D8" w:rsidRDefault="002B0F1B" w:rsidP="00C36CC6">
            <w:pPr>
              <w:pStyle w:val="TableText"/>
              <w:rPr>
                <w:rFonts w:eastAsia="Calibri"/>
              </w:rPr>
            </w:pPr>
          </w:p>
        </w:tc>
      </w:tr>
      <w:tr w:rsidR="002B0F1B" w:rsidRPr="007B09D8" w14:paraId="7631B9C4" w14:textId="77777777" w:rsidTr="00C36CC6">
        <w:trPr>
          <w:jc w:val="center"/>
        </w:trPr>
        <w:tc>
          <w:tcPr>
            <w:tcW w:w="2861" w:type="dxa"/>
          </w:tcPr>
          <w:p w14:paraId="5F4F539B" w14:textId="77777777" w:rsidR="002B0F1B" w:rsidRPr="007B09D8" w:rsidRDefault="002B0F1B" w:rsidP="00C36CC6">
            <w:pPr>
              <w:pStyle w:val="TableTextLeft"/>
              <w:rPr>
                <w:rFonts w:cs="Times New Roman"/>
              </w:rPr>
            </w:pPr>
            <w:r w:rsidRPr="007B09D8">
              <w:rPr>
                <w:rFonts w:cs="Times New Roman"/>
              </w:rPr>
              <w:t>Procedure details</w:t>
            </w:r>
          </w:p>
          <w:p w14:paraId="01474544" w14:textId="77777777" w:rsidR="002B0F1B" w:rsidRPr="007B09D8" w:rsidRDefault="002B0F1B" w:rsidP="00C36CC6">
            <w:pPr>
              <w:pStyle w:val="TableTextLeft"/>
              <w:rPr>
                <w:rFonts w:cs="Times New Roman"/>
              </w:rPr>
            </w:pPr>
            <w:r w:rsidRPr="007B09D8">
              <w:rPr>
                <w:rFonts w:cs="Times New Roman"/>
              </w:rPr>
              <w:t>(as applicable, e.g., surgery)</w:t>
            </w:r>
          </w:p>
        </w:tc>
        <w:tc>
          <w:tcPr>
            <w:tcW w:w="1186" w:type="dxa"/>
            <w:vAlign w:val="center"/>
          </w:tcPr>
          <w:p w14:paraId="26390105" w14:textId="77777777" w:rsidR="002B0F1B" w:rsidRPr="007B09D8" w:rsidRDefault="002B0F1B" w:rsidP="00C36CC6">
            <w:pPr>
              <w:pStyle w:val="TableText"/>
              <w:rPr>
                <w:rFonts w:eastAsia="Calibri"/>
              </w:rPr>
            </w:pPr>
          </w:p>
        </w:tc>
        <w:tc>
          <w:tcPr>
            <w:tcW w:w="1748" w:type="dxa"/>
            <w:vAlign w:val="center"/>
          </w:tcPr>
          <w:p w14:paraId="73E8E2F3" w14:textId="77777777" w:rsidR="002B0F1B" w:rsidRPr="007B09D8" w:rsidRDefault="002B0F1B" w:rsidP="00C36CC6">
            <w:pPr>
              <w:pStyle w:val="TableText"/>
              <w:rPr>
                <w:rFonts w:eastAsia="Calibri"/>
              </w:rPr>
            </w:pPr>
            <w:r w:rsidRPr="007B09D8">
              <w:rPr>
                <w:rFonts w:eastAsia="Calibri"/>
              </w:rPr>
              <w:t>X</w:t>
            </w:r>
          </w:p>
        </w:tc>
        <w:tc>
          <w:tcPr>
            <w:tcW w:w="1324" w:type="dxa"/>
            <w:vAlign w:val="center"/>
          </w:tcPr>
          <w:p w14:paraId="48576A38" w14:textId="77777777" w:rsidR="002B0F1B" w:rsidRPr="007B09D8" w:rsidRDefault="002B0F1B" w:rsidP="00C36CC6">
            <w:pPr>
              <w:pStyle w:val="TableText"/>
              <w:rPr>
                <w:rFonts w:eastAsia="Calibri"/>
              </w:rPr>
            </w:pPr>
          </w:p>
        </w:tc>
        <w:tc>
          <w:tcPr>
            <w:tcW w:w="1251" w:type="dxa"/>
            <w:vAlign w:val="center"/>
          </w:tcPr>
          <w:p w14:paraId="5C92B1CC" w14:textId="77777777" w:rsidR="002B0F1B" w:rsidRPr="007B09D8" w:rsidRDefault="002B0F1B" w:rsidP="00C36CC6">
            <w:pPr>
              <w:pStyle w:val="TableText"/>
              <w:rPr>
                <w:rFonts w:eastAsia="Calibri"/>
              </w:rPr>
            </w:pPr>
          </w:p>
        </w:tc>
        <w:tc>
          <w:tcPr>
            <w:tcW w:w="1350" w:type="dxa"/>
            <w:vAlign w:val="center"/>
          </w:tcPr>
          <w:p w14:paraId="02BBB595" w14:textId="77777777" w:rsidR="002B0F1B" w:rsidRPr="007B09D8" w:rsidRDefault="002B0F1B" w:rsidP="00C36CC6">
            <w:pPr>
              <w:pStyle w:val="TableText"/>
              <w:rPr>
                <w:rFonts w:eastAsia="Calibri"/>
              </w:rPr>
            </w:pPr>
          </w:p>
        </w:tc>
      </w:tr>
      <w:tr w:rsidR="002B0F1B" w:rsidRPr="007B09D8" w14:paraId="1CF70EE7" w14:textId="77777777" w:rsidTr="00C36CC6">
        <w:trPr>
          <w:jc w:val="center"/>
        </w:trPr>
        <w:tc>
          <w:tcPr>
            <w:tcW w:w="2861" w:type="dxa"/>
          </w:tcPr>
          <w:p w14:paraId="6CB08D96" w14:textId="77777777" w:rsidR="002B0F1B" w:rsidRPr="007B09D8" w:rsidRDefault="002B0F1B" w:rsidP="00C36CC6">
            <w:pPr>
              <w:pStyle w:val="TableTextLeft"/>
            </w:pPr>
            <w:r w:rsidRPr="007B09D8">
              <w:rPr>
                <w:rFonts w:cs="Times New Roman"/>
              </w:rPr>
              <w:t>Adverse events and transfusion</w:t>
            </w:r>
            <w:r w:rsidRPr="007B09D8">
              <w:rPr>
                <w:rFonts w:eastAsiaTheme="minorHAnsi"/>
                <w:szCs w:val="22"/>
              </w:rPr>
              <w:t xml:space="preserve"> reactions </w:t>
            </w:r>
          </w:p>
        </w:tc>
        <w:tc>
          <w:tcPr>
            <w:tcW w:w="1186" w:type="dxa"/>
            <w:vAlign w:val="center"/>
          </w:tcPr>
          <w:p w14:paraId="4C34AE4D" w14:textId="77777777" w:rsidR="002B0F1B" w:rsidRPr="007B09D8" w:rsidRDefault="002B0F1B" w:rsidP="00C36CC6">
            <w:pPr>
              <w:pStyle w:val="TableText"/>
            </w:pPr>
          </w:p>
        </w:tc>
        <w:tc>
          <w:tcPr>
            <w:tcW w:w="1748" w:type="dxa"/>
            <w:vAlign w:val="center"/>
          </w:tcPr>
          <w:p w14:paraId="1C0F8EBA" w14:textId="77777777" w:rsidR="002B0F1B" w:rsidRPr="007B09D8" w:rsidRDefault="002B0F1B" w:rsidP="00C36CC6">
            <w:pPr>
              <w:pStyle w:val="TableText"/>
            </w:pPr>
            <w:r w:rsidRPr="007B09D8">
              <w:rPr>
                <w:rFonts w:eastAsiaTheme="minorHAnsi" w:cstheme="minorBidi"/>
                <w:szCs w:val="22"/>
              </w:rPr>
              <w:t>X</w:t>
            </w:r>
          </w:p>
        </w:tc>
        <w:tc>
          <w:tcPr>
            <w:tcW w:w="1324" w:type="dxa"/>
            <w:vAlign w:val="center"/>
          </w:tcPr>
          <w:p w14:paraId="1BE32561" w14:textId="77777777" w:rsidR="002B0F1B" w:rsidRPr="007B09D8" w:rsidRDefault="002B0F1B" w:rsidP="00C36CC6">
            <w:pPr>
              <w:pStyle w:val="TableText"/>
            </w:pPr>
            <w:r w:rsidRPr="007B09D8">
              <w:t>X</w:t>
            </w:r>
          </w:p>
        </w:tc>
        <w:tc>
          <w:tcPr>
            <w:tcW w:w="1251" w:type="dxa"/>
            <w:vAlign w:val="center"/>
          </w:tcPr>
          <w:p w14:paraId="741DA95E"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13</w:t>
            </w:r>
          </w:p>
        </w:tc>
        <w:tc>
          <w:tcPr>
            <w:tcW w:w="1350" w:type="dxa"/>
            <w:vAlign w:val="center"/>
          </w:tcPr>
          <w:p w14:paraId="30F75EA8" w14:textId="77777777" w:rsidR="002B0F1B" w:rsidRPr="007B09D8" w:rsidRDefault="002B0F1B" w:rsidP="00C36CC6">
            <w:pPr>
              <w:pStyle w:val="TableText"/>
              <w:rPr>
                <w:rFonts w:eastAsia="Calibri"/>
              </w:rPr>
            </w:pPr>
          </w:p>
        </w:tc>
      </w:tr>
      <w:tr w:rsidR="002B0F1B" w:rsidRPr="007B09D8" w14:paraId="5F117B75" w14:textId="77777777" w:rsidTr="00C36CC6">
        <w:trPr>
          <w:jc w:val="center"/>
        </w:trPr>
        <w:tc>
          <w:tcPr>
            <w:tcW w:w="2861" w:type="dxa"/>
          </w:tcPr>
          <w:p w14:paraId="4D036C6A" w14:textId="77777777" w:rsidR="002B0F1B" w:rsidRPr="007B09D8" w:rsidRDefault="002B0F1B" w:rsidP="00C36CC6">
            <w:pPr>
              <w:pStyle w:val="TableTextLeft"/>
            </w:pPr>
            <w:r w:rsidRPr="007B09D8">
              <w:rPr>
                <w:rFonts w:eastAsiaTheme="minorHAnsi"/>
                <w:szCs w:val="22"/>
              </w:rPr>
              <w:t>SAEs</w:t>
            </w:r>
            <w:r w:rsidRPr="007B09D8">
              <w:rPr>
                <w:rFonts w:cs="Times New Roman"/>
              </w:rPr>
              <w:t xml:space="preserve"> </w:t>
            </w:r>
          </w:p>
        </w:tc>
        <w:tc>
          <w:tcPr>
            <w:tcW w:w="1186" w:type="dxa"/>
            <w:vAlign w:val="center"/>
          </w:tcPr>
          <w:p w14:paraId="1762F6B4" w14:textId="77777777" w:rsidR="002B0F1B" w:rsidRPr="007B09D8" w:rsidRDefault="002B0F1B" w:rsidP="00C36CC6">
            <w:pPr>
              <w:pStyle w:val="TableText"/>
            </w:pPr>
          </w:p>
        </w:tc>
        <w:tc>
          <w:tcPr>
            <w:tcW w:w="1748" w:type="dxa"/>
            <w:vAlign w:val="center"/>
          </w:tcPr>
          <w:p w14:paraId="4A9F02D9" w14:textId="77777777" w:rsidR="002B0F1B" w:rsidRPr="007B09D8" w:rsidRDefault="002B0F1B" w:rsidP="00C36CC6">
            <w:pPr>
              <w:pStyle w:val="TableText"/>
            </w:pPr>
            <w:r w:rsidRPr="007B09D8">
              <w:rPr>
                <w:rFonts w:eastAsiaTheme="minorHAnsi" w:cstheme="minorBidi"/>
                <w:szCs w:val="22"/>
              </w:rPr>
              <w:t>X</w:t>
            </w:r>
          </w:p>
        </w:tc>
        <w:tc>
          <w:tcPr>
            <w:tcW w:w="1324" w:type="dxa"/>
            <w:vAlign w:val="center"/>
          </w:tcPr>
          <w:p w14:paraId="513D2628" w14:textId="77777777" w:rsidR="002B0F1B" w:rsidRPr="007B09D8" w:rsidRDefault="002B0F1B" w:rsidP="00C36CC6">
            <w:pPr>
              <w:pStyle w:val="TableText"/>
            </w:pPr>
            <w:r w:rsidRPr="007B09D8">
              <w:t>X</w:t>
            </w:r>
          </w:p>
        </w:tc>
        <w:tc>
          <w:tcPr>
            <w:tcW w:w="1251" w:type="dxa"/>
            <w:vAlign w:val="center"/>
          </w:tcPr>
          <w:p w14:paraId="31EDB8E1" w14:textId="77777777" w:rsidR="002B0F1B" w:rsidRPr="007B09D8" w:rsidRDefault="002B0F1B" w:rsidP="00C36CC6">
            <w:pPr>
              <w:pStyle w:val="TableText"/>
              <w:rPr>
                <w:vertAlign w:val="superscript"/>
              </w:rPr>
            </w:pPr>
            <w:r w:rsidRPr="007B09D8">
              <w:rPr>
                <w:rFonts w:eastAsia="Calibri"/>
              </w:rPr>
              <w:t>X</w:t>
            </w:r>
            <w:r w:rsidRPr="007B09D8">
              <w:rPr>
                <w:rFonts w:eastAsia="Calibri"/>
                <w:vertAlign w:val="superscript"/>
              </w:rPr>
              <w:t>13</w:t>
            </w:r>
          </w:p>
        </w:tc>
        <w:tc>
          <w:tcPr>
            <w:tcW w:w="1350" w:type="dxa"/>
            <w:vAlign w:val="center"/>
          </w:tcPr>
          <w:p w14:paraId="07DA5C3E" w14:textId="77777777" w:rsidR="002B0F1B" w:rsidRPr="007B09D8" w:rsidRDefault="002B0F1B" w:rsidP="00C36CC6">
            <w:pPr>
              <w:pStyle w:val="TableText"/>
              <w:rPr>
                <w:rFonts w:eastAsia="Calibri"/>
              </w:rPr>
            </w:pPr>
          </w:p>
        </w:tc>
      </w:tr>
      <w:tr w:rsidR="002B0F1B" w:rsidRPr="007B09D8" w14:paraId="5758427D" w14:textId="77777777" w:rsidTr="00C36CC6">
        <w:trPr>
          <w:jc w:val="center"/>
        </w:trPr>
        <w:tc>
          <w:tcPr>
            <w:tcW w:w="2861" w:type="dxa"/>
          </w:tcPr>
          <w:p w14:paraId="3CBA158A" w14:textId="77777777" w:rsidR="002B0F1B" w:rsidRPr="007B09D8" w:rsidRDefault="002B0F1B" w:rsidP="00C36CC6">
            <w:pPr>
              <w:pStyle w:val="TableTextLeft"/>
              <w:rPr>
                <w:rFonts w:eastAsia="Calibri" w:cs="Times New Roman"/>
              </w:rPr>
            </w:pPr>
            <w:r w:rsidRPr="007B09D8">
              <w:rPr>
                <w:rFonts w:eastAsia="Calibri" w:cs="Times New Roman"/>
              </w:rPr>
              <w:t xml:space="preserve">Surveillance calls </w:t>
            </w:r>
            <w:r w:rsidRPr="007B09D8">
              <w:rPr>
                <w:rFonts w:eastAsia="Calibri" w:cs="Times New Roman"/>
                <w:vertAlign w:val="superscript"/>
              </w:rPr>
              <w:t>12</w:t>
            </w:r>
          </w:p>
        </w:tc>
        <w:tc>
          <w:tcPr>
            <w:tcW w:w="1186" w:type="dxa"/>
            <w:vAlign w:val="center"/>
          </w:tcPr>
          <w:p w14:paraId="49D92766" w14:textId="77777777" w:rsidR="002B0F1B" w:rsidRPr="007B09D8" w:rsidRDefault="002B0F1B" w:rsidP="00C36CC6">
            <w:pPr>
              <w:pStyle w:val="TableText"/>
              <w:rPr>
                <w:rFonts w:eastAsia="Calibri"/>
              </w:rPr>
            </w:pPr>
          </w:p>
        </w:tc>
        <w:tc>
          <w:tcPr>
            <w:tcW w:w="1748" w:type="dxa"/>
            <w:vAlign w:val="center"/>
          </w:tcPr>
          <w:p w14:paraId="2AC94CD9" w14:textId="77777777" w:rsidR="002B0F1B" w:rsidRPr="007B09D8" w:rsidRDefault="002B0F1B" w:rsidP="00C36CC6">
            <w:pPr>
              <w:pStyle w:val="TableText"/>
              <w:rPr>
                <w:rFonts w:eastAsia="Calibri"/>
              </w:rPr>
            </w:pPr>
            <w:r w:rsidRPr="007B09D8">
              <w:rPr>
                <w:rFonts w:eastAsia="Calibri"/>
              </w:rPr>
              <w:t>X</w:t>
            </w:r>
          </w:p>
        </w:tc>
        <w:tc>
          <w:tcPr>
            <w:tcW w:w="1324" w:type="dxa"/>
            <w:vAlign w:val="center"/>
          </w:tcPr>
          <w:p w14:paraId="0795DDAD" w14:textId="77777777" w:rsidR="002B0F1B" w:rsidRPr="007B09D8" w:rsidRDefault="002B0F1B" w:rsidP="00C36CC6">
            <w:pPr>
              <w:pStyle w:val="TableText"/>
              <w:rPr>
                <w:rFonts w:eastAsia="Calibri"/>
              </w:rPr>
            </w:pPr>
          </w:p>
        </w:tc>
        <w:tc>
          <w:tcPr>
            <w:tcW w:w="1251" w:type="dxa"/>
            <w:vAlign w:val="center"/>
          </w:tcPr>
          <w:p w14:paraId="1B65FC35" w14:textId="77777777" w:rsidR="002B0F1B" w:rsidRPr="007B09D8" w:rsidRDefault="002B0F1B" w:rsidP="00C36CC6">
            <w:pPr>
              <w:pStyle w:val="TableText"/>
              <w:rPr>
                <w:rFonts w:eastAsia="Calibri"/>
              </w:rPr>
            </w:pPr>
            <w:r w:rsidRPr="007B09D8">
              <w:rPr>
                <w:rFonts w:eastAsia="Calibri"/>
              </w:rPr>
              <w:t>X</w:t>
            </w:r>
          </w:p>
        </w:tc>
        <w:tc>
          <w:tcPr>
            <w:tcW w:w="1350" w:type="dxa"/>
            <w:vAlign w:val="center"/>
          </w:tcPr>
          <w:p w14:paraId="3289463C" w14:textId="77777777" w:rsidR="002B0F1B" w:rsidRPr="007B09D8" w:rsidRDefault="002B0F1B" w:rsidP="00C36CC6">
            <w:pPr>
              <w:pStyle w:val="TableText"/>
              <w:rPr>
                <w:rFonts w:eastAsia="Calibri"/>
              </w:rPr>
            </w:pPr>
          </w:p>
        </w:tc>
      </w:tr>
      <w:tr w:rsidR="002B0F1B" w:rsidRPr="007B09D8" w14:paraId="6661908B" w14:textId="77777777" w:rsidTr="00C36CC6">
        <w:trPr>
          <w:jc w:val="center"/>
        </w:trPr>
        <w:tc>
          <w:tcPr>
            <w:tcW w:w="2861" w:type="dxa"/>
          </w:tcPr>
          <w:p w14:paraId="6FFB9551" w14:textId="77777777" w:rsidR="002B0F1B" w:rsidRPr="007B09D8" w:rsidRDefault="002B0F1B" w:rsidP="00C36CC6">
            <w:pPr>
              <w:pStyle w:val="TableTextLeft"/>
              <w:rPr>
                <w:rFonts w:cs="Times New Roman"/>
              </w:rPr>
            </w:pPr>
            <w:r w:rsidRPr="007B09D8">
              <w:rPr>
                <w:rFonts w:cs="Times New Roman"/>
              </w:rPr>
              <w:t>Documentation of vital status</w:t>
            </w:r>
          </w:p>
        </w:tc>
        <w:tc>
          <w:tcPr>
            <w:tcW w:w="1186" w:type="dxa"/>
            <w:vAlign w:val="center"/>
          </w:tcPr>
          <w:p w14:paraId="219C3173" w14:textId="77777777" w:rsidR="002B0F1B" w:rsidRPr="007B09D8" w:rsidRDefault="002B0F1B" w:rsidP="00C36CC6">
            <w:pPr>
              <w:pStyle w:val="TableText"/>
            </w:pPr>
          </w:p>
        </w:tc>
        <w:tc>
          <w:tcPr>
            <w:tcW w:w="1748" w:type="dxa"/>
            <w:vAlign w:val="center"/>
          </w:tcPr>
          <w:p w14:paraId="0021C759" w14:textId="77777777" w:rsidR="002B0F1B" w:rsidRPr="007B09D8" w:rsidRDefault="002B0F1B" w:rsidP="00C36CC6">
            <w:pPr>
              <w:pStyle w:val="TableText"/>
            </w:pPr>
            <w:r w:rsidRPr="007B09D8">
              <w:t>X</w:t>
            </w:r>
          </w:p>
        </w:tc>
        <w:tc>
          <w:tcPr>
            <w:tcW w:w="1324" w:type="dxa"/>
            <w:vAlign w:val="center"/>
          </w:tcPr>
          <w:p w14:paraId="2AE94826" w14:textId="77777777" w:rsidR="002B0F1B" w:rsidRPr="007B09D8" w:rsidRDefault="002B0F1B" w:rsidP="00C36CC6">
            <w:pPr>
              <w:pStyle w:val="TableText"/>
            </w:pPr>
          </w:p>
        </w:tc>
        <w:tc>
          <w:tcPr>
            <w:tcW w:w="1251" w:type="dxa"/>
            <w:vAlign w:val="center"/>
          </w:tcPr>
          <w:p w14:paraId="528190BA" w14:textId="77777777" w:rsidR="002B0F1B" w:rsidRPr="007B09D8" w:rsidRDefault="002B0F1B" w:rsidP="00C36CC6">
            <w:pPr>
              <w:pStyle w:val="TableText"/>
            </w:pPr>
            <w:r w:rsidRPr="007B09D8">
              <w:t>X</w:t>
            </w:r>
          </w:p>
        </w:tc>
        <w:tc>
          <w:tcPr>
            <w:tcW w:w="1350" w:type="dxa"/>
            <w:vAlign w:val="center"/>
          </w:tcPr>
          <w:p w14:paraId="4F9A1D44" w14:textId="77777777" w:rsidR="002B0F1B" w:rsidRPr="007B09D8" w:rsidRDefault="002B0F1B" w:rsidP="00C36CC6">
            <w:pPr>
              <w:pStyle w:val="TableText"/>
            </w:pPr>
            <w:r w:rsidRPr="007B09D8">
              <w:t>X</w:t>
            </w:r>
          </w:p>
        </w:tc>
      </w:tr>
      <w:tr w:rsidR="002B0F1B" w:rsidRPr="007B09D8" w14:paraId="77B4EEED" w14:textId="77777777" w:rsidTr="00C36CC6">
        <w:trPr>
          <w:jc w:val="center"/>
        </w:trPr>
        <w:tc>
          <w:tcPr>
            <w:tcW w:w="2861" w:type="dxa"/>
          </w:tcPr>
          <w:p w14:paraId="47F31257" w14:textId="77777777" w:rsidR="002B0F1B" w:rsidRPr="007B09D8" w:rsidRDefault="002B0F1B" w:rsidP="00C36CC6">
            <w:pPr>
              <w:pStyle w:val="TableTextLeft"/>
              <w:rPr>
                <w:rFonts w:eastAsia="Calibri" w:cs="Times New Roman"/>
              </w:rPr>
            </w:pPr>
            <w:r w:rsidRPr="007B09D8">
              <w:rPr>
                <w:rFonts w:eastAsia="Calibri" w:cs="Times New Roman"/>
              </w:rPr>
              <w:t>Assess proportion of each RBC component transfused (e.g., 25%, 50%, 75% or 100%).</w:t>
            </w:r>
          </w:p>
          <w:p w14:paraId="53137862" w14:textId="77777777" w:rsidR="002B0F1B" w:rsidRPr="007B09D8" w:rsidRDefault="002B0F1B" w:rsidP="00C36CC6">
            <w:pPr>
              <w:pStyle w:val="TableTextLeft"/>
              <w:rPr>
                <w:rFonts w:cs="Times New Roman"/>
              </w:rPr>
            </w:pPr>
            <w:r w:rsidRPr="007B09D8">
              <w:rPr>
                <w:rFonts w:cs="Times New Roman"/>
              </w:rPr>
              <w:t>For pediatric patients, the volume of the intended transfusion should be recorded.</w:t>
            </w:r>
          </w:p>
        </w:tc>
        <w:tc>
          <w:tcPr>
            <w:tcW w:w="1186" w:type="dxa"/>
            <w:vAlign w:val="center"/>
          </w:tcPr>
          <w:p w14:paraId="2CFE2D35" w14:textId="77777777" w:rsidR="002B0F1B" w:rsidRPr="007B09D8" w:rsidRDefault="002B0F1B" w:rsidP="00C36CC6">
            <w:pPr>
              <w:pStyle w:val="TableText"/>
            </w:pPr>
          </w:p>
        </w:tc>
        <w:tc>
          <w:tcPr>
            <w:tcW w:w="1748" w:type="dxa"/>
            <w:vAlign w:val="center"/>
          </w:tcPr>
          <w:p w14:paraId="2E19096B" w14:textId="77777777" w:rsidR="002B0F1B" w:rsidRPr="007B09D8" w:rsidRDefault="002B0F1B" w:rsidP="00C36CC6">
            <w:pPr>
              <w:pStyle w:val="TableText"/>
            </w:pPr>
          </w:p>
        </w:tc>
        <w:tc>
          <w:tcPr>
            <w:tcW w:w="1324" w:type="dxa"/>
            <w:vAlign w:val="center"/>
          </w:tcPr>
          <w:p w14:paraId="118B2C6F" w14:textId="77777777" w:rsidR="002B0F1B" w:rsidRPr="007B09D8" w:rsidRDefault="002B0F1B" w:rsidP="00C36CC6">
            <w:pPr>
              <w:pStyle w:val="TableText"/>
            </w:pPr>
            <w:r w:rsidRPr="007B09D8">
              <w:t>X</w:t>
            </w:r>
          </w:p>
        </w:tc>
        <w:tc>
          <w:tcPr>
            <w:tcW w:w="1251" w:type="dxa"/>
            <w:vAlign w:val="center"/>
          </w:tcPr>
          <w:p w14:paraId="23345AA5" w14:textId="77777777" w:rsidR="002B0F1B" w:rsidRPr="007B09D8" w:rsidRDefault="002B0F1B" w:rsidP="00C36CC6">
            <w:pPr>
              <w:pStyle w:val="TableText"/>
            </w:pPr>
          </w:p>
        </w:tc>
        <w:tc>
          <w:tcPr>
            <w:tcW w:w="1350" w:type="dxa"/>
            <w:vAlign w:val="center"/>
          </w:tcPr>
          <w:p w14:paraId="2A8627E3" w14:textId="77777777" w:rsidR="002B0F1B" w:rsidRPr="007B09D8" w:rsidRDefault="002B0F1B" w:rsidP="00C36CC6">
            <w:pPr>
              <w:pStyle w:val="TableText"/>
            </w:pPr>
          </w:p>
        </w:tc>
      </w:tr>
      <w:tr w:rsidR="002B0F1B" w:rsidRPr="007B09D8" w14:paraId="10889B0F" w14:textId="77777777" w:rsidTr="00C36CC6">
        <w:trPr>
          <w:trHeight w:val="399"/>
          <w:jc w:val="center"/>
        </w:trPr>
        <w:tc>
          <w:tcPr>
            <w:tcW w:w="2861" w:type="dxa"/>
            <w:vAlign w:val="center"/>
          </w:tcPr>
          <w:p w14:paraId="733EF487" w14:textId="77777777" w:rsidR="002B0F1B" w:rsidRPr="007B09D8" w:rsidRDefault="002B0F1B" w:rsidP="00C36CC6">
            <w:pPr>
              <w:pStyle w:val="TableTextLeft"/>
              <w:rPr>
                <w:rFonts w:eastAsia="Calibri" w:cs="Times New Roman"/>
              </w:rPr>
            </w:pPr>
            <w:r w:rsidRPr="007B09D8">
              <w:t>Assessment of bleeding status</w:t>
            </w:r>
            <w:r w:rsidRPr="007B09D8">
              <w:rPr>
                <w:vertAlign w:val="superscript"/>
              </w:rPr>
              <w:t>6</w:t>
            </w:r>
          </w:p>
        </w:tc>
        <w:tc>
          <w:tcPr>
            <w:tcW w:w="1186" w:type="dxa"/>
            <w:vAlign w:val="center"/>
          </w:tcPr>
          <w:p w14:paraId="5137D7C0" w14:textId="77777777" w:rsidR="002B0F1B" w:rsidRPr="007B09D8" w:rsidRDefault="002B0F1B" w:rsidP="00C36CC6">
            <w:pPr>
              <w:pStyle w:val="TableText"/>
            </w:pPr>
            <w:r w:rsidRPr="007B09D8">
              <w:t>X</w:t>
            </w:r>
          </w:p>
        </w:tc>
        <w:tc>
          <w:tcPr>
            <w:tcW w:w="1748" w:type="dxa"/>
            <w:vAlign w:val="center"/>
          </w:tcPr>
          <w:p w14:paraId="665CD290" w14:textId="77777777" w:rsidR="002B0F1B" w:rsidRPr="007B09D8" w:rsidRDefault="002B0F1B" w:rsidP="00C36CC6">
            <w:pPr>
              <w:pStyle w:val="TableText"/>
            </w:pPr>
            <w:r w:rsidRPr="007B09D8">
              <w:t>X</w:t>
            </w:r>
          </w:p>
        </w:tc>
        <w:tc>
          <w:tcPr>
            <w:tcW w:w="1324" w:type="dxa"/>
            <w:vAlign w:val="center"/>
          </w:tcPr>
          <w:p w14:paraId="1206DB25" w14:textId="77777777" w:rsidR="002B0F1B" w:rsidRPr="007B09D8" w:rsidRDefault="002B0F1B" w:rsidP="00C36CC6">
            <w:pPr>
              <w:pStyle w:val="TableText"/>
            </w:pPr>
          </w:p>
        </w:tc>
        <w:tc>
          <w:tcPr>
            <w:tcW w:w="1251" w:type="dxa"/>
            <w:vAlign w:val="center"/>
          </w:tcPr>
          <w:p w14:paraId="2C11E572" w14:textId="77777777" w:rsidR="002B0F1B" w:rsidRPr="007B09D8" w:rsidRDefault="002B0F1B" w:rsidP="00C36CC6">
            <w:pPr>
              <w:pStyle w:val="TableText"/>
            </w:pPr>
          </w:p>
        </w:tc>
        <w:tc>
          <w:tcPr>
            <w:tcW w:w="1350" w:type="dxa"/>
            <w:vAlign w:val="center"/>
          </w:tcPr>
          <w:p w14:paraId="459C196F" w14:textId="77777777" w:rsidR="002B0F1B" w:rsidRPr="007B09D8" w:rsidRDefault="002B0F1B" w:rsidP="00C36CC6">
            <w:pPr>
              <w:pStyle w:val="TableText"/>
            </w:pPr>
          </w:p>
        </w:tc>
      </w:tr>
      <w:tr w:rsidR="002B0F1B" w:rsidRPr="007B09D8" w14:paraId="7205FEED" w14:textId="77777777" w:rsidTr="00C36CC6">
        <w:trPr>
          <w:trHeight w:val="399"/>
          <w:jc w:val="center"/>
        </w:trPr>
        <w:tc>
          <w:tcPr>
            <w:tcW w:w="9720" w:type="dxa"/>
            <w:gridSpan w:val="6"/>
            <w:vAlign w:val="center"/>
          </w:tcPr>
          <w:p w14:paraId="63B138DB" w14:textId="77777777" w:rsidR="002B0F1B" w:rsidRPr="007B09D8" w:rsidRDefault="002B0F1B" w:rsidP="00C36CC6">
            <w:pPr>
              <w:widowControl w:val="0"/>
              <w:spacing w:before="0" w:after="0" w:line="240" w:lineRule="auto"/>
              <w:ind w:left="360" w:hanging="180"/>
              <w:rPr>
                <w:rFonts w:eastAsia="Calibri" w:cs="Times New Roman"/>
                <w:kern w:val="0"/>
                <w:sz w:val="18"/>
                <w14:ligatures w14:val="none"/>
              </w:rPr>
            </w:pPr>
            <w:r w:rsidRPr="007B09D8">
              <w:rPr>
                <w:rFonts w:eastAsia="Calibri" w:cs="Times New Roman"/>
                <w:kern w:val="0"/>
                <w:sz w:val="18"/>
                <w14:ligatures w14:val="none"/>
              </w:rPr>
              <w:t>‡ Randomization of eligible subjects may occur any time up to 30 days prior to first study transfusion.</w:t>
            </w:r>
          </w:p>
          <w:p w14:paraId="20DF226C" w14:textId="77777777" w:rsidR="002B0F1B" w:rsidRPr="007B09D8" w:rsidRDefault="002B0F1B" w:rsidP="00C36CC6">
            <w:pPr>
              <w:widowControl w:val="0"/>
              <w:spacing w:before="0" w:after="0" w:line="240" w:lineRule="auto"/>
              <w:ind w:left="360" w:hanging="180"/>
              <w:rPr>
                <w:rFonts w:eastAsia="Times New Roman" w:cs="Times New Roman"/>
                <w:kern w:val="0"/>
                <w:sz w:val="18"/>
                <w:szCs w:val="20"/>
                <w14:ligatures w14:val="none"/>
              </w:rPr>
            </w:pPr>
            <w:r w:rsidRPr="007B09D8">
              <w:rPr>
                <w:rFonts w:eastAsia="Calibri" w:cs="Times New Roman"/>
                <w:kern w:val="0"/>
                <w:sz w:val="18"/>
                <w14:ligatures w14:val="none"/>
              </w:rPr>
              <w:t xml:space="preserve">* Day 1 of the follow-up period is the first day after the last study transfusion. </w:t>
            </w:r>
          </w:p>
          <w:p w14:paraId="2B383C30" w14:textId="77777777" w:rsidR="002B0F1B" w:rsidRPr="007B09D8" w:rsidRDefault="002B0F1B" w:rsidP="002B0F1B">
            <w:pPr>
              <w:widowControl w:val="0"/>
              <w:numPr>
                <w:ilvl w:val="0"/>
                <w:numId w:val="6"/>
              </w:numPr>
              <w:spacing w:before="40" w:after="40" w:line="240" w:lineRule="auto"/>
              <w:ind w:right="115" w:hanging="180"/>
              <w:rPr>
                <w:rFonts w:eastAsia="Calibri" w:cs="Times New Roman"/>
                <w:kern w:val="0"/>
                <w:sz w:val="18"/>
                <w:szCs w:val="18"/>
                <w14:ligatures w14:val="none"/>
              </w:rPr>
            </w:pPr>
            <w:r w:rsidRPr="007B09D8">
              <w:rPr>
                <w:rFonts w:eastAsia="Calibri" w:cs="Times New Roman"/>
                <w:kern w:val="0"/>
                <w:sz w:val="18"/>
                <w:szCs w:val="18"/>
                <w14:ligatures w14:val="none"/>
              </w:rPr>
              <w:t>If results from the Screening assessments listed are available in the medical record within 30 days prior to randomization, those data may serve as the screening data and the assessments do not need to be repeated unless the subject has an RBC transfusion in the 30-day period. If an RBC transfusion occurs after determined eligibility but prior to randomization, the subject may be randomized, and those Screening assessments listed above should be repeated prior to the first study transfusion.</w:t>
            </w:r>
          </w:p>
          <w:p w14:paraId="2769C4B2"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szCs w:val="18"/>
                <w14:ligatures w14:val="none"/>
              </w:rPr>
            </w:pPr>
            <w:r w:rsidRPr="007B09D8">
              <w:rPr>
                <w:rFonts w:eastAsia="Calibri" w:cs="Times New Roman"/>
                <w:kern w:val="0"/>
                <w:sz w:val="18"/>
                <w:szCs w:val="18"/>
                <w14:ligatures w14:val="none"/>
              </w:rPr>
              <w:t xml:space="preserve">Hb measurement at 15 minutes to 24 hours post transfusion episode (before the next RBC transfusion episode) </w:t>
            </w:r>
          </w:p>
          <w:p w14:paraId="1FABB08A" w14:textId="77777777" w:rsidR="002B0F1B" w:rsidRPr="007B09D8" w:rsidRDefault="002B0F1B" w:rsidP="002B0F1B">
            <w:pPr>
              <w:widowControl w:val="0"/>
              <w:numPr>
                <w:ilvl w:val="0"/>
                <w:numId w:val="6"/>
              </w:numPr>
              <w:spacing w:before="0" w:after="0" w:line="240" w:lineRule="auto"/>
              <w:ind w:hanging="180"/>
              <w:rPr>
                <w:rFonts w:eastAsia="Calibri" w:cs="Times New Roman"/>
                <w:bCs/>
                <w:kern w:val="0"/>
                <w:sz w:val="18"/>
                <w:szCs w:val="18"/>
                <w14:ligatures w14:val="none"/>
              </w:rPr>
            </w:pPr>
            <w:r w:rsidRPr="007B09D8">
              <w:rPr>
                <w:rFonts w:eastAsia="Calibri" w:cs="Times New Roman"/>
                <w:kern w:val="0"/>
                <w:sz w:val="18"/>
                <w:szCs w:val="18"/>
                <w14:ligatures w14:val="none"/>
              </w:rPr>
              <w:t xml:space="preserve">Routine standard of care test order per local hospital SOPs </w:t>
            </w:r>
          </w:p>
          <w:p w14:paraId="18A069BD"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szCs w:val="18"/>
                <w14:ligatures w14:val="none"/>
              </w:rPr>
            </w:pPr>
            <w:r w:rsidRPr="007B09D8">
              <w:rPr>
                <w:rFonts w:eastAsia="Calibri" w:cs="Times New Roman"/>
                <w:kern w:val="0"/>
                <w:sz w:val="18"/>
                <w:szCs w:val="18"/>
                <w14:ligatures w14:val="none"/>
              </w:rPr>
              <w:t>Medications administered during anesthesia for surgical or other procedures are not collected</w:t>
            </w:r>
          </w:p>
          <w:p w14:paraId="5D0535B3"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szCs w:val="18"/>
                <w14:ligatures w14:val="none"/>
              </w:rPr>
            </w:pPr>
            <w:r w:rsidRPr="007B09D8">
              <w:rPr>
                <w:rFonts w:eastAsia="Calibri" w:cs="Times New Roman"/>
                <w:kern w:val="0"/>
                <w:sz w:val="18"/>
                <w:szCs w:val="18"/>
                <w14:ligatures w14:val="none"/>
              </w:rPr>
              <w:t xml:space="preserve">The date of non-study RBC transfusion, if any, during the 28-day follow-up period and 6-month extension, if applicable, must be documented </w:t>
            </w:r>
          </w:p>
          <w:p w14:paraId="2BE9FD27"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szCs w:val="18"/>
                <w14:ligatures w14:val="none"/>
              </w:rPr>
            </w:pPr>
            <w:r w:rsidRPr="007B09D8">
              <w:rPr>
                <w:rFonts w:eastAsia="Calibri" w:cs="Times New Roman"/>
                <w:kern w:val="0"/>
                <w:sz w:val="18"/>
                <w:szCs w:val="18"/>
                <w14:ligatures w14:val="none"/>
              </w:rPr>
              <w:t xml:space="preserve">Daily for inpatients when available through the end of the acute transfusion period for inpatients </w:t>
            </w:r>
          </w:p>
          <w:p w14:paraId="4AA194F0"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szCs w:val="18"/>
                <w14:ligatures w14:val="none"/>
              </w:rPr>
            </w:pPr>
            <w:r w:rsidRPr="007B09D8">
              <w:rPr>
                <w:rFonts w:eastAsia="Calibri" w:cs="Times New Roman"/>
                <w:kern w:val="0"/>
                <w:sz w:val="18"/>
                <w:szCs w:val="18"/>
                <w14:ligatures w14:val="none"/>
              </w:rPr>
              <w:t xml:space="preserve">Performed in conjunction with every routine standard of care test for ABO Type, Rh and screen (IAT) test that is performed during the Acute Support Period </w:t>
            </w:r>
          </w:p>
          <w:p w14:paraId="33DB97E0"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14:ligatures w14:val="none"/>
              </w:rPr>
            </w:pPr>
            <w:r w:rsidRPr="007B09D8">
              <w:rPr>
                <w:rFonts w:eastAsia="Calibri" w:cs="Times New Roman"/>
                <w:kern w:val="0"/>
                <w:sz w:val="18"/>
                <w:szCs w:val="18"/>
                <w14:ligatures w14:val="none"/>
              </w:rPr>
              <w:t>If, during the acute support period or follow up assessments (Day 28), a positive DAT result is observed, participating sites will follow their routine standard practice for confirmation/characterization of DAT positive samples; this should only apply to any conversion from a negative to a positive DAT after enrollment, that is not part of an investigation of hemolysis or of a positive IAT with evidence of an amustaline/GSH RBC antibody, in which case further investigations may be appropriate after discussion with the sponsor.</w:t>
            </w:r>
          </w:p>
          <w:p w14:paraId="0A5E3A4E"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14:ligatures w14:val="none"/>
              </w:rPr>
            </w:pPr>
            <w:r w:rsidRPr="007B09D8">
              <w:rPr>
                <w:rFonts w:eastAsia="Calibri" w:cs="Times New Roman"/>
                <w:kern w:val="0"/>
                <w:sz w:val="18"/>
                <w14:ligatures w14:val="none"/>
              </w:rPr>
              <w:t>Hematology Panel: WBC, RBC, Hb, Hct, MCV, MCH, MCHC, MPV, RDW, PLT, Neutrophil %, Monocyte %, Lymphocyte %, Basophil %, Eosinophil %</w:t>
            </w:r>
            <w:r>
              <w:rPr>
                <w:rFonts w:eastAsia="Calibri" w:cs="Times New Roman"/>
                <w:kern w:val="0"/>
                <w:sz w:val="18"/>
                <w14:ligatures w14:val="none"/>
              </w:rPr>
              <w:t>.</w:t>
            </w:r>
          </w:p>
          <w:p w14:paraId="5BEF7237"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14:ligatures w14:val="none"/>
              </w:rPr>
            </w:pPr>
            <w:r w:rsidRPr="007B09D8">
              <w:rPr>
                <w:rFonts w:eastAsia="Calibri" w:cs="Times New Roman"/>
                <w:kern w:val="0"/>
                <w:sz w:val="18"/>
                <w14:ligatures w14:val="none"/>
              </w:rPr>
              <w:t>Blood Chemistry Panel: BUN, Creatinine, EGFR, NA, K, GLU, Cl, CO</w:t>
            </w:r>
            <w:r w:rsidRPr="007B09D8">
              <w:rPr>
                <w:rFonts w:eastAsia="Calibri" w:cs="Times New Roman"/>
                <w:kern w:val="0"/>
                <w:sz w:val="18"/>
                <w:vertAlign w:val="subscript"/>
                <w14:ligatures w14:val="none"/>
              </w:rPr>
              <w:t>2</w:t>
            </w:r>
            <w:r w:rsidRPr="007B09D8">
              <w:rPr>
                <w:rFonts w:eastAsia="Calibri" w:cs="Times New Roman"/>
                <w:kern w:val="0"/>
                <w:sz w:val="18"/>
                <w14:ligatures w14:val="none"/>
              </w:rPr>
              <w:t>, TP, ALB, ALKP, AST (SGOT), ALT (SGPT), LDH, CPK, TBIL, DBIL</w:t>
            </w:r>
          </w:p>
          <w:p w14:paraId="0BFD8472"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14:ligatures w14:val="none"/>
              </w:rPr>
            </w:pPr>
            <w:r w:rsidRPr="007B09D8">
              <w:rPr>
                <w:rFonts w:eastAsia="Calibri" w:cs="Times New Roman"/>
                <w:kern w:val="0"/>
                <w:sz w:val="18"/>
                <w:szCs w:val="20"/>
                <w14:ligatures w14:val="none"/>
              </w:rPr>
              <w:t>Coagulation Panel: PT, INR, APTT, Fibrinogen</w:t>
            </w:r>
          </w:p>
          <w:p w14:paraId="17CEC270" w14:textId="77777777" w:rsidR="002B0F1B" w:rsidRPr="007B09D8" w:rsidRDefault="002B0F1B" w:rsidP="002B0F1B">
            <w:pPr>
              <w:widowControl w:val="0"/>
              <w:numPr>
                <w:ilvl w:val="0"/>
                <w:numId w:val="6"/>
              </w:numPr>
              <w:spacing w:before="0" w:after="0" w:line="240" w:lineRule="auto"/>
              <w:ind w:hanging="180"/>
              <w:rPr>
                <w:rFonts w:eastAsia="Calibri" w:cs="Times New Roman"/>
                <w:kern w:val="0"/>
                <w:sz w:val="18"/>
                <w14:ligatures w14:val="none"/>
              </w:rPr>
            </w:pPr>
            <w:r w:rsidRPr="007B09D8">
              <w:rPr>
                <w:rFonts w:eastAsia="Calibri" w:cs="Times New Roman"/>
                <w:kern w:val="0"/>
                <w:sz w:val="18"/>
                <w14:ligatures w14:val="none"/>
              </w:rPr>
              <w:lastRenderedPageBreak/>
              <w:t>In the outpatient setting</w:t>
            </w:r>
            <w:r w:rsidRPr="007B09D8">
              <w:rPr>
                <w:rFonts w:eastAsia="Calibri" w:cs="Times New Roman"/>
                <w:kern w:val="0"/>
                <w:sz w:val="22"/>
                <w14:ligatures w14:val="none"/>
              </w:rPr>
              <w:t xml:space="preserve"> </w:t>
            </w:r>
            <w:r w:rsidRPr="007B09D8">
              <w:rPr>
                <w:rFonts w:eastAsia="Calibri" w:cs="Times New Roman"/>
                <w:kern w:val="0"/>
                <w:sz w:val="18"/>
                <w14:ligatures w14:val="none"/>
              </w:rPr>
              <w:t>if the subject is not seen by study staff for any other reason, surveillance calls are to be completed at least monthly (at minimum every 35 days) to collect AEs, SAEs, TRs, and UADEs starting from the initiation of the first study transfusion through the entire transfusion support period and through 28 days after the final study transfusion. If the monthly surveillance call interval coincides with a study visit, data will be collected at the study visit.</w:t>
            </w:r>
          </w:p>
        </w:tc>
      </w:tr>
    </w:tbl>
    <w:p w14:paraId="6B11CBCC" w14:textId="77777777" w:rsidR="002B0F1B" w:rsidRPr="007B09D8" w:rsidRDefault="002B0F1B" w:rsidP="002B0F1B">
      <w:pPr>
        <w:rPr>
          <w:rFonts w:cs="Times New Roman"/>
          <w:b/>
          <w:bCs/>
        </w:rPr>
      </w:pPr>
    </w:p>
    <w:p w14:paraId="24C43B23" w14:textId="77777777" w:rsidR="002B0F1B" w:rsidRPr="007B09D8" w:rsidRDefault="002B0F1B" w:rsidP="002B0F1B">
      <w:pPr>
        <w:pStyle w:val="Heading2a"/>
      </w:pPr>
      <w:r w:rsidRPr="007B09D8">
        <w:t>Table 1b: Schedule of Enrollment, Interventions, and Assessments: 28-Day Plus 6-Month Extension for Sickle Cell Disease Patients Undergoing Red Cell Exchange (RCE)</w:t>
      </w:r>
    </w:p>
    <w:p w14:paraId="171D6218" w14:textId="77777777" w:rsidR="002B0F1B" w:rsidRPr="007B09D8" w:rsidRDefault="002B0F1B" w:rsidP="002B0F1B">
      <w:pPr>
        <w:spacing w:after="60"/>
        <w:rPr>
          <w:rFonts w:eastAsia="Times New Roman" w:cs="Times New Roman"/>
          <w:bCs/>
          <w:szCs w:val="24"/>
        </w:rPr>
      </w:pPr>
      <w:r w:rsidRPr="007B09D8">
        <w:rPr>
          <w:rFonts w:eastAsia="Times New Roman" w:cs="Times New Roman"/>
          <w:bCs/>
          <w:szCs w:val="24"/>
        </w:rPr>
        <w:t>Patient population: Sickle Cell Disease patients on a regular, repeated RCE program receiving 3 consecutive RCE procedures. Note: Pre-allocation screening and randomization steps are the same as those in Table 1a. The footnote numbering scheme in this table also maps to Table 1a.</w:t>
      </w:r>
    </w:p>
    <w:tbl>
      <w:tblPr>
        <w:tblW w:w="5154" w:type="pct"/>
        <w:jc w:val="center"/>
        <w:tblLayout w:type="fixed"/>
        <w:tblCellMar>
          <w:left w:w="0" w:type="dxa"/>
          <w:right w:w="0" w:type="dxa"/>
        </w:tblCellMar>
        <w:tblLook w:val="01E0" w:firstRow="1" w:lastRow="1" w:firstColumn="1" w:lastColumn="1" w:noHBand="0" w:noVBand="0"/>
      </w:tblPr>
      <w:tblGrid>
        <w:gridCol w:w="3107"/>
        <w:gridCol w:w="1415"/>
        <w:gridCol w:w="1171"/>
        <w:gridCol w:w="985"/>
        <w:gridCol w:w="1546"/>
        <w:gridCol w:w="1408"/>
      </w:tblGrid>
      <w:tr w:rsidR="002B0F1B" w:rsidRPr="007B09D8" w14:paraId="4CA52BFD" w14:textId="77777777" w:rsidTr="00C36CC6">
        <w:trPr>
          <w:trHeight w:val="327"/>
          <w:tblHeader/>
          <w:jc w:val="center"/>
        </w:trPr>
        <w:tc>
          <w:tcPr>
            <w:tcW w:w="3107" w:type="dxa"/>
            <w:tcBorders>
              <w:top w:val="single" w:sz="6" w:space="0" w:color="000000"/>
              <w:left w:val="single" w:sz="6" w:space="0" w:color="000000"/>
              <w:right w:val="single" w:sz="6" w:space="0" w:color="000000"/>
            </w:tcBorders>
            <w:vAlign w:val="center"/>
          </w:tcPr>
          <w:p w14:paraId="5D48E4EB"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p>
        </w:tc>
        <w:tc>
          <w:tcPr>
            <w:tcW w:w="6525" w:type="dxa"/>
            <w:gridSpan w:val="5"/>
            <w:tcBorders>
              <w:top w:val="single" w:sz="6" w:space="0" w:color="000000"/>
              <w:left w:val="single" w:sz="6" w:space="0" w:color="000000"/>
              <w:bottom w:val="single" w:sz="6" w:space="0" w:color="000000"/>
              <w:right w:val="single" w:sz="6" w:space="0" w:color="000000"/>
            </w:tcBorders>
            <w:vAlign w:val="center"/>
          </w:tcPr>
          <w:p w14:paraId="50830009" w14:textId="77777777" w:rsidR="002B0F1B" w:rsidRPr="007B09D8" w:rsidRDefault="002B0F1B" w:rsidP="00C36CC6">
            <w:pPr>
              <w:keepNext/>
              <w:keepLines/>
              <w:spacing w:before="0" w:after="0" w:line="240" w:lineRule="auto"/>
              <w:ind w:left="72" w:right="72"/>
              <w:jc w:val="center"/>
              <w:rPr>
                <w:rFonts w:eastAsia="Times New Roman" w:cs="Times New Roman"/>
                <w:b/>
                <w:sz w:val="20"/>
                <w:szCs w:val="24"/>
              </w:rPr>
            </w:pPr>
            <w:r w:rsidRPr="007B09D8">
              <w:rPr>
                <w:rFonts w:eastAsia="Times New Roman" w:cs="Times New Roman"/>
                <w:b/>
                <w:sz w:val="20"/>
                <w:szCs w:val="24"/>
              </w:rPr>
              <w:t>Post-Allocation</w:t>
            </w:r>
          </w:p>
        </w:tc>
      </w:tr>
      <w:tr w:rsidR="002B0F1B" w:rsidRPr="007B09D8" w14:paraId="5AB385BF" w14:textId="77777777" w:rsidTr="00C36CC6">
        <w:trPr>
          <w:trHeight w:val="732"/>
          <w:tblHeader/>
          <w:jc w:val="center"/>
        </w:trPr>
        <w:tc>
          <w:tcPr>
            <w:tcW w:w="3107" w:type="dxa"/>
            <w:vMerge w:val="restart"/>
            <w:tcBorders>
              <w:top w:val="single" w:sz="6" w:space="0" w:color="000000"/>
              <w:left w:val="single" w:sz="6" w:space="0" w:color="000000"/>
              <w:right w:val="single" w:sz="6" w:space="0" w:color="000000"/>
            </w:tcBorders>
            <w:vAlign w:val="center"/>
          </w:tcPr>
          <w:p w14:paraId="77957720"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Study Assessments</w:t>
            </w:r>
          </w:p>
        </w:tc>
        <w:tc>
          <w:tcPr>
            <w:tcW w:w="2586" w:type="dxa"/>
            <w:gridSpan w:val="2"/>
            <w:tcBorders>
              <w:top w:val="single" w:sz="6" w:space="0" w:color="000000"/>
              <w:left w:val="single" w:sz="6" w:space="0" w:color="000000"/>
              <w:bottom w:val="single" w:sz="6" w:space="0" w:color="000000"/>
              <w:right w:val="single" w:sz="6" w:space="0" w:color="000000"/>
            </w:tcBorders>
            <w:vAlign w:val="center"/>
          </w:tcPr>
          <w:p w14:paraId="3C080E3F"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 xml:space="preserve">Transfusion Support Period </w:t>
            </w:r>
          </w:p>
          <w:p w14:paraId="1C175809"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(Day 1 through Day 28 plus 6-month extension or death – 3 RCE episodes)</w:t>
            </w:r>
          </w:p>
        </w:tc>
        <w:tc>
          <w:tcPr>
            <w:tcW w:w="985" w:type="dxa"/>
            <w:vMerge w:val="restart"/>
            <w:tcBorders>
              <w:top w:val="single" w:sz="6" w:space="0" w:color="000000"/>
              <w:left w:val="single" w:sz="6" w:space="0" w:color="000000"/>
              <w:right w:val="single" w:sz="6" w:space="0" w:color="000000"/>
            </w:tcBorders>
            <w:vAlign w:val="center"/>
          </w:tcPr>
          <w:p w14:paraId="4699203E"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Follow-Up Visit Day 14 (14±7 days) after each RCE episode</w:t>
            </w:r>
          </w:p>
        </w:tc>
        <w:tc>
          <w:tcPr>
            <w:tcW w:w="1546" w:type="dxa"/>
            <w:vMerge w:val="restart"/>
            <w:tcBorders>
              <w:top w:val="single" w:sz="6" w:space="0" w:color="000000"/>
              <w:left w:val="single" w:sz="6" w:space="0" w:color="000000"/>
              <w:right w:val="single" w:sz="6" w:space="0" w:color="000000"/>
            </w:tcBorders>
            <w:vAlign w:val="center"/>
          </w:tcPr>
          <w:p w14:paraId="7B76D598"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Follow-Up Visit Day 28* (28±7 days) after last study RCE or prior to next non-study RCE if less than 28 days since last study RCE</w:t>
            </w:r>
          </w:p>
        </w:tc>
        <w:tc>
          <w:tcPr>
            <w:tcW w:w="1408" w:type="dxa"/>
            <w:vMerge w:val="restart"/>
            <w:tcBorders>
              <w:top w:val="single" w:sz="6" w:space="0" w:color="000000"/>
              <w:left w:val="single" w:sz="6" w:space="0" w:color="000000"/>
              <w:right w:val="single" w:sz="6" w:space="0" w:color="000000"/>
            </w:tcBorders>
            <w:vAlign w:val="center"/>
          </w:tcPr>
          <w:p w14:paraId="18ED17B7"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End of Study-Day 75 of Follow-Up (75±15 days) after last study transfusion</w:t>
            </w:r>
          </w:p>
        </w:tc>
      </w:tr>
      <w:tr w:rsidR="002B0F1B" w:rsidRPr="007B09D8" w14:paraId="21617B9A" w14:textId="77777777" w:rsidTr="00C36CC6">
        <w:trPr>
          <w:tblHeader/>
          <w:jc w:val="center"/>
        </w:trPr>
        <w:tc>
          <w:tcPr>
            <w:tcW w:w="3107" w:type="dxa"/>
            <w:vMerge/>
            <w:tcBorders>
              <w:left w:val="single" w:sz="6" w:space="0" w:color="000000"/>
              <w:bottom w:val="single" w:sz="6" w:space="0" w:color="000000"/>
              <w:right w:val="single" w:sz="6" w:space="0" w:color="000000"/>
            </w:tcBorders>
            <w:vAlign w:val="bottom"/>
          </w:tcPr>
          <w:p w14:paraId="341EC80E" w14:textId="77777777" w:rsidR="002B0F1B" w:rsidRPr="007B09D8" w:rsidRDefault="002B0F1B" w:rsidP="00C36CC6">
            <w:pPr>
              <w:keepNext/>
              <w:keepLines/>
              <w:spacing w:before="40" w:line="240" w:lineRule="auto"/>
              <w:ind w:left="72" w:right="72"/>
              <w:jc w:val="center"/>
              <w:rPr>
                <w:rFonts w:eastAsia="Times New Roman" w:cs="Times New Roman"/>
                <w:b/>
                <w:sz w:val="20"/>
                <w:szCs w:val="20"/>
              </w:rPr>
            </w:pPr>
          </w:p>
        </w:tc>
        <w:tc>
          <w:tcPr>
            <w:tcW w:w="1415" w:type="dxa"/>
            <w:tcBorders>
              <w:top w:val="single" w:sz="6" w:space="0" w:color="000000"/>
              <w:left w:val="single" w:sz="6" w:space="0" w:color="000000"/>
              <w:bottom w:val="single" w:sz="6" w:space="0" w:color="000000"/>
              <w:right w:val="single" w:sz="6" w:space="0" w:color="000000"/>
            </w:tcBorders>
            <w:vAlign w:val="center"/>
          </w:tcPr>
          <w:p w14:paraId="1BED887F" w14:textId="77777777" w:rsidR="002B0F1B" w:rsidRPr="007B09D8" w:rsidRDefault="002B0F1B" w:rsidP="00C36CC6">
            <w:pPr>
              <w:keepNext/>
              <w:keepLines/>
              <w:spacing w:before="40" w:line="240" w:lineRule="auto"/>
              <w:ind w:left="72" w:right="72"/>
              <w:jc w:val="center"/>
              <w:rPr>
                <w:rFonts w:eastAsia="Times New Roman" w:cs="Times New Roman"/>
                <w:b/>
                <w:sz w:val="20"/>
                <w:szCs w:val="20"/>
              </w:rPr>
            </w:pPr>
            <w:r w:rsidRPr="007B09D8">
              <w:rPr>
                <w:rFonts w:eastAsia="Times New Roman" w:cs="Times New Roman"/>
                <w:b/>
                <w:sz w:val="20"/>
                <w:szCs w:val="24"/>
              </w:rPr>
              <w:t>Before each RCE episode</w:t>
            </w:r>
          </w:p>
        </w:tc>
        <w:tc>
          <w:tcPr>
            <w:tcW w:w="1171" w:type="dxa"/>
            <w:tcBorders>
              <w:top w:val="single" w:sz="6" w:space="0" w:color="000000"/>
              <w:left w:val="single" w:sz="6" w:space="0" w:color="000000"/>
              <w:bottom w:val="single" w:sz="6" w:space="0" w:color="000000"/>
              <w:right w:val="single" w:sz="6" w:space="0" w:color="000000"/>
            </w:tcBorders>
            <w:vAlign w:val="center"/>
          </w:tcPr>
          <w:p w14:paraId="029A2796"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r w:rsidRPr="007B09D8">
              <w:rPr>
                <w:rFonts w:eastAsia="Times New Roman" w:cs="Times New Roman"/>
                <w:b/>
                <w:sz w:val="20"/>
                <w:szCs w:val="24"/>
              </w:rPr>
              <w:t>15min – 4 hrs. after each RCE episode</w:t>
            </w:r>
          </w:p>
        </w:tc>
        <w:tc>
          <w:tcPr>
            <w:tcW w:w="985" w:type="dxa"/>
            <w:vMerge/>
            <w:tcBorders>
              <w:left w:val="single" w:sz="6" w:space="0" w:color="000000"/>
              <w:bottom w:val="single" w:sz="6" w:space="0" w:color="000000"/>
              <w:right w:val="single" w:sz="6" w:space="0" w:color="000000"/>
            </w:tcBorders>
          </w:tcPr>
          <w:p w14:paraId="6EED68DA" w14:textId="77777777" w:rsidR="002B0F1B" w:rsidRPr="007B09D8" w:rsidRDefault="002B0F1B" w:rsidP="00C36CC6">
            <w:pPr>
              <w:keepNext/>
              <w:keepLines/>
              <w:spacing w:before="40" w:line="240" w:lineRule="auto"/>
              <w:ind w:left="72" w:right="72"/>
              <w:jc w:val="center"/>
              <w:rPr>
                <w:rFonts w:eastAsia="Times New Roman" w:cs="Times New Roman"/>
                <w:bCs/>
                <w:i/>
                <w:iCs/>
                <w:color w:val="404040"/>
                <w:sz w:val="20"/>
                <w:szCs w:val="24"/>
              </w:rPr>
            </w:pPr>
          </w:p>
        </w:tc>
        <w:tc>
          <w:tcPr>
            <w:tcW w:w="1546" w:type="dxa"/>
            <w:vMerge/>
            <w:tcBorders>
              <w:left w:val="single" w:sz="6" w:space="0" w:color="000000"/>
              <w:bottom w:val="single" w:sz="6" w:space="0" w:color="000000"/>
              <w:right w:val="single" w:sz="6" w:space="0" w:color="000000"/>
            </w:tcBorders>
            <w:vAlign w:val="bottom"/>
          </w:tcPr>
          <w:p w14:paraId="24DC585A" w14:textId="77777777" w:rsidR="002B0F1B" w:rsidRPr="007B09D8" w:rsidRDefault="002B0F1B" w:rsidP="00C36CC6">
            <w:pPr>
              <w:keepNext/>
              <w:keepLines/>
              <w:spacing w:before="40" w:line="240" w:lineRule="auto"/>
              <w:ind w:right="72"/>
              <w:rPr>
                <w:rFonts w:eastAsia="Times New Roman" w:cs="Times New Roman"/>
                <w:bCs/>
                <w:i/>
                <w:iCs/>
                <w:color w:val="404040"/>
                <w:sz w:val="20"/>
                <w:szCs w:val="24"/>
              </w:rPr>
            </w:pPr>
          </w:p>
        </w:tc>
        <w:tc>
          <w:tcPr>
            <w:tcW w:w="1408" w:type="dxa"/>
            <w:vMerge/>
            <w:tcBorders>
              <w:left w:val="single" w:sz="6" w:space="0" w:color="000000"/>
              <w:bottom w:val="single" w:sz="6" w:space="0" w:color="000000"/>
              <w:right w:val="single" w:sz="6" w:space="0" w:color="000000"/>
            </w:tcBorders>
            <w:vAlign w:val="bottom"/>
          </w:tcPr>
          <w:p w14:paraId="3436477E" w14:textId="77777777" w:rsidR="002B0F1B" w:rsidRPr="007B09D8" w:rsidRDefault="002B0F1B" w:rsidP="00C36CC6">
            <w:pPr>
              <w:keepNext/>
              <w:keepLines/>
              <w:spacing w:before="40" w:line="240" w:lineRule="auto"/>
              <w:ind w:left="72" w:right="72"/>
              <w:jc w:val="center"/>
              <w:rPr>
                <w:rFonts w:eastAsia="Times New Roman" w:cs="Times New Roman"/>
                <w:b/>
                <w:sz w:val="20"/>
                <w:szCs w:val="24"/>
              </w:rPr>
            </w:pPr>
          </w:p>
        </w:tc>
      </w:tr>
      <w:tr w:rsidR="002B0F1B" w:rsidRPr="007B09D8" w14:paraId="08FA5F98"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33CF79B8" w14:textId="77777777" w:rsidR="002B0F1B" w:rsidRPr="007B09D8" w:rsidRDefault="002B0F1B" w:rsidP="00C36CC6">
            <w:pPr>
              <w:pStyle w:val="TableTextLeft"/>
            </w:pPr>
            <w:r w:rsidRPr="007B09D8">
              <w:t xml:space="preserve">ABO Blood type and </w:t>
            </w:r>
            <w:r w:rsidRPr="007B09D8">
              <w:rPr>
                <w:rFonts w:eastAsia="Calibri"/>
              </w:rPr>
              <w:t>Rh</w:t>
            </w:r>
            <w:r w:rsidRPr="007B09D8">
              <w:rPr>
                <w:rFonts w:eastAsia="Calibri"/>
                <w:vertAlign w:val="superscript"/>
              </w:rPr>
              <w:t>3</w:t>
            </w:r>
            <w:r w:rsidRPr="007B09D8">
              <w:rPr>
                <w:rFonts w:eastAsia="Calibri"/>
              </w:rPr>
              <w:t>.</w:t>
            </w:r>
            <w:r w:rsidRPr="007B09D8">
              <w:rPr>
                <w:rFonts w:eastAsia="Calibri"/>
                <w:vertAlign w:val="superscript"/>
              </w:rPr>
              <w:t xml:space="preserve"> </w:t>
            </w:r>
            <w:r w:rsidRPr="007B09D8">
              <w:rPr>
                <w:rFonts w:eastAsia="Calibri"/>
              </w:rPr>
              <w:t>Extended Phenotype, if available</w:t>
            </w:r>
          </w:p>
        </w:tc>
        <w:tc>
          <w:tcPr>
            <w:tcW w:w="1415" w:type="dxa"/>
            <w:tcBorders>
              <w:top w:val="single" w:sz="6" w:space="0" w:color="000000"/>
              <w:left w:val="single" w:sz="6" w:space="0" w:color="000000"/>
              <w:bottom w:val="single" w:sz="6" w:space="0" w:color="000000"/>
              <w:right w:val="single" w:sz="6" w:space="0" w:color="000000"/>
            </w:tcBorders>
            <w:vAlign w:val="center"/>
          </w:tcPr>
          <w:p w14:paraId="397D5937" w14:textId="77777777" w:rsidR="002B0F1B" w:rsidRPr="007B09D8" w:rsidRDefault="002B0F1B" w:rsidP="00C36CC6">
            <w:pPr>
              <w:pStyle w:val="TableText"/>
              <w:rPr>
                <w:vertAlign w:val="superscript"/>
              </w:rPr>
            </w:pPr>
            <w:r w:rsidRPr="007B09D8">
              <w:rPr>
                <w:rFonts w:eastAsia="Calibri"/>
                <w:szCs w:val="20"/>
              </w:rPr>
              <w:t>X</w:t>
            </w:r>
            <w:r w:rsidRPr="007B09D8">
              <w:rPr>
                <w:rFonts w:eastAsia="Calibri"/>
                <w:szCs w:val="20"/>
                <w:vertAlign w:val="superscript"/>
              </w:rPr>
              <w:t>3</w:t>
            </w:r>
          </w:p>
        </w:tc>
        <w:tc>
          <w:tcPr>
            <w:tcW w:w="1171" w:type="dxa"/>
            <w:tcBorders>
              <w:top w:val="single" w:sz="6" w:space="0" w:color="000000"/>
              <w:left w:val="single" w:sz="6" w:space="0" w:color="000000"/>
              <w:bottom w:val="single" w:sz="6" w:space="0" w:color="000000"/>
              <w:right w:val="single" w:sz="6" w:space="0" w:color="000000"/>
            </w:tcBorders>
            <w:vAlign w:val="center"/>
          </w:tcPr>
          <w:p w14:paraId="18D476DD" w14:textId="77777777" w:rsidR="002B0F1B" w:rsidRPr="007B09D8" w:rsidRDefault="002B0F1B" w:rsidP="00C36CC6">
            <w:pPr>
              <w:pStyle w:val="TableText"/>
            </w:pPr>
          </w:p>
        </w:tc>
        <w:tc>
          <w:tcPr>
            <w:tcW w:w="985" w:type="dxa"/>
            <w:tcBorders>
              <w:top w:val="single" w:sz="6" w:space="0" w:color="000000"/>
              <w:left w:val="single" w:sz="6" w:space="0" w:color="000000"/>
              <w:bottom w:val="single" w:sz="6" w:space="0" w:color="000000"/>
              <w:right w:val="single" w:sz="6" w:space="0" w:color="000000"/>
            </w:tcBorders>
            <w:vAlign w:val="center"/>
          </w:tcPr>
          <w:p w14:paraId="29E0B4A2" w14:textId="77777777" w:rsidR="002B0F1B" w:rsidRPr="007B09D8" w:rsidRDefault="002B0F1B" w:rsidP="00C36CC6">
            <w:pPr>
              <w:pStyle w:val="TableText"/>
            </w:pPr>
          </w:p>
        </w:tc>
        <w:tc>
          <w:tcPr>
            <w:tcW w:w="1546" w:type="dxa"/>
            <w:tcBorders>
              <w:top w:val="single" w:sz="6" w:space="0" w:color="000000"/>
              <w:left w:val="single" w:sz="6" w:space="0" w:color="000000"/>
              <w:bottom w:val="single" w:sz="6" w:space="0" w:color="000000"/>
              <w:right w:val="single" w:sz="6" w:space="0" w:color="000000"/>
            </w:tcBorders>
            <w:vAlign w:val="center"/>
          </w:tcPr>
          <w:p w14:paraId="2C7E751B" w14:textId="77777777" w:rsidR="002B0F1B" w:rsidRPr="007B09D8" w:rsidRDefault="002B0F1B" w:rsidP="00C36CC6">
            <w:pPr>
              <w:pStyle w:val="TableText"/>
            </w:pPr>
          </w:p>
        </w:tc>
        <w:tc>
          <w:tcPr>
            <w:tcW w:w="1408" w:type="dxa"/>
            <w:tcBorders>
              <w:top w:val="single" w:sz="6" w:space="0" w:color="000000"/>
              <w:left w:val="single" w:sz="6" w:space="0" w:color="000000"/>
              <w:bottom w:val="single" w:sz="6" w:space="0" w:color="000000"/>
              <w:right w:val="single" w:sz="6" w:space="0" w:color="000000"/>
            </w:tcBorders>
            <w:vAlign w:val="center"/>
          </w:tcPr>
          <w:p w14:paraId="0A5F66E0" w14:textId="77777777" w:rsidR="002B0F1B" w:rsidRPr="007B09D8" w:rsidRDefault="002B0F1B" w:rsidP="00C36CC6">
            <w:pPr>
              <w:pStyle w:val="TableText"/>
              <w:rPr>
                <w:rFonts w:eastAsia="Calibri"/>
              </w:rPr>
            </w:pPr>
          </w:p>
        </w:tc>
      </w:tr>
      <w:tr w:rsidR="002B0F1B" w:rsidRPr="007B09D8" w14:paraId="0C0BB4A0"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0831F0E3" w14:textId="77777777" w:rsidR="002B0F1B" w:rsidRPr="007B09D8" w:rsidRDefault="002B0F1B" w:rsidP="00C36CC6">
            <w:pPr>
              <w:pStyle w:val="TableTextLeft"/>
              <w:rPr>
                <w:vertAlign w:val="superscript"/>
              </w:rPr>
            </w:pPr>
            <w:r w:rsidRPr="007B09D8">
              <w:rPr>
                <w:rFonts w:eastAsia="Calibri"/>
              </w:rPr>
              <w:t>Indirect Antiglobulin Test</w:t>
            </w:r>
            <w:r w:rsidRPr="007B09D8">
              <w:rPr>
                <w:rFonts w:eastAsia="Calibri"/>
                <w:vertAlign w:val="superscript"/>
              </w:rPr>
              <w:t>3</w:t>
            </w:r>
          </w:p>
        </w:tc>
        <w:tc>
          <w:tcPr>
            <w:tcW w:w="1415" w:type="dxa"/>
            <w:tcBorders>
              <w:top w:val="single" w:sz="6" w:space="0" w:color="000000"/>
              <w:left w:val="single" w:sz="6" w:space="0" w:color="000000"/>
              <w:bottom w:val="single" w:sz="6" w:space="0" w:color="000000"/>
              <w:right w:val="single" w:sz="6" w:space="0" w:color="000000"/>
            </w:tcBorders>
            <w:vAlign w:val="center"/>
          </w:tcPr>
          <w:p w14:paraId="7EF2DD72" w14:textId="77777777" w:rsidR="002B0F1B" w:rsidRPr="007B09D8" w:rsidRDefault="002B0F1B" w:rsidP="00C36CC6">
            <w:pPr>
              <w:pStyle w:val="TableText"/>
              <w:rPr>
                <w:vertAlign w:val="superscript"/>
              </w:rPr>
            </w:pPr>
            <w:r w:rsidRPr="007B09D8">
              <w:t>X</w:t>
            </w:r>
            <w:r w:rsidRPr="007B09D8">
              <w:rPr>
                <w:vertAlign w:val="superscript"/>
              </w:rPr>
              <w:t>3</w:t>
            </w:r>
          </w:p>
        </w:tc>
        <w:tc>
          <w:tcPr>
            <w:tcW w:w="1171" w:type="dxa"/>
            <w:tcBorders>
              <w:top w:val="single" w:sz="6" w:space="0" w:color="000000"/>
              <w:left w:val="single" w:sz="6" w:space="0" w:color="000000"/>
              <w:bottom w:val="single" w:sz="6" w:space="0" w:color="000000"/>
              <w:right w:val="single" w:sz="6" w:space="0" w:color="000000"/>
            </w:tcBorders>
            <w:vAlign w:val="center"/>
          </w:tcPr>
          <w:p w14:paraId="46266C54" w14:textId="77777777" w:rsidR="002B0F1B" w:rsidRPr="007B09D8" w:rsidRDefault="002B0F1B" w:rsidP="00C36CC6">
            <w:pPr>
              <w:pStyle w:val="TableText"/>
            </w:pPr>
          </w:p>
        </w:tc>
        <w:tc>
          <w:tcPr>
            <w:tcW w:w="985" w:type="dxa"/>
            <w:tcBorders>
              <w:top w:val="single" w:sz="6" w:space="0" w:color="000000"/>
              <w:left w:val="single" w:sz="6" w:space="0" w:color="000000"/>
              <w:bottom w:val="single" w:sz="6" w:space="0" w:color="000000"/>
              <w:right w:val="single" w:sz="6" w:space="0" w:color="000000"/>
            </w:tcBorders>
            <w:vAlign w:val="center"/>
          </w:tcPr>
          <w:p w14:paraId="4B16AD8E"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400CEEA9" w14:textId="77777777" w:rsidR="002B0F1B" w:rsidRPr="007B09D8" w:rsidRDefault="002B0F1B" w:rsidP="00C36CC6">
            <w:pPr>
              <w:pStyle w:val="TableText"/>
              <w:rPr>
                <w:rFonts w:eastAsia="Calibri"/>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4B2CAD93" w14:textId="77777777" w:rsidR="002B0F1B" w:rsidRPr="007B09D8" w:rsidRDefault="002B0F1B" w:rsidP="00C36CC6">
            <w:pPr>
              <w:pStyle w:val="TableText"/>
              <w:rPr>
                <w:rFonts w:eastAsia="Calibri"/>
              </w:rPr>
            </w:pPr>
          </w:p>
        </w:tc>
      </w:tr>
      <w:tr w:rsidR="002B0F1B" w:rsidRPr="007B09D8" w14:paraId="04CACD22"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381D17E5" w14:textId="77777777" w:rsidR="002B0F1B" w:rsidRPr="007B09D8" w:rsidRDefault="002B0F1B" w:rsidP="00C36CC6">
            <w:pPr>
              <w:pStyle w:val="TableTextLeft"/>
              <w:rPr>
                <w:szCs w:val="20"/>
              </w:rPr>
            </w:pPr>
            <w:r w:rsidRPr="007B09D8">
              <w:rPr>
                <w:rFonts w:eastAsia="Calibri"/>
              </w:rPr>
              <w:t>DAT</w:t>
            </w:r>
            <w:r w:rsidRPr="007B09D8">
              <w:rPr>
                <w:rFonts w:eastAsia="Calibri"/>
                <w:vertAlign w:val="superscript"/>
              </w:rPr>
              <w:t>8</w:t>
            </w:r>
            <w:r w:rsidRPr="007B09D8">
              <w:rPr>
                <w:rFonts w:eastAsia="Calibri"/>
              </w:rPr>
              <w:t xml:space="preserve"> </w:t>
            </w:r>
          </w:p>
        </w:tc>
        <w:tc>
          <w:tcPr>
            <w:tcW w:w="1415" w:type="dxa"/>
            <w:tcBorders>
              <w:top w:val="single" w:sz="6" w:space="0" w:color="000000"/>
              <w:left w:val="single" w:sz="6" w:space="0" w:color="000000"/>
              <w:bottom w:val="single" w:sz="6" w:space="0" w:color="000000"/>
              <w:right w:val="single" w:sz="6" w:space="0" w:color="000000"/>
            </w:tcBorders>
            <w:vAlign w:val="center"/>
          </w:tcPr>
          <w:p w14:paraId="4F2A87C1" w14:textId="77777777" w:rsidR="002B0F1B" w:rsidRPr="007B09D8" w:rsidRDefault="002B0F1B" w:rsidP="00C36CC6">
            <w:pPr>
              <w:pStyle w:val="TableText"/>
              <w:rPr>
                <w:rFonts w:eastAsia="Calibri"/>
                <w:szCs w:val="20"/>
                <w:vertAlign w:val="superscript"/>
              </w:rPr>
            </w:pPr>
          </w:p>
        </w:tc>
        <w:tc>
          <w:tcPr>
            <w:tcW w:w="1171" w:type="dxa"/>
            <w:tcBorders>
              <w:top w:val="single" w:sz="6" w:space="0" w:color="000000"/>
              <w:left w:val="single" w:sz="6" w:space="0" w:color="000000"/>
              <w:bottom w:val="single" w:sz="6" w:space="0" w:color="000000"/>
              <w:right w:val="single" w:sz="6" w:space="0" w:color="000000"/>
            </w:tcBorders>
            <w:vAlign w:val="center"/>
          </w:tcPr>
          <w:p w14:paraId="2DA6CF9B" w14:textId="77777777" w:rsidR="002B0F1B" w:rsidRPr="007B09D8" w:rsidRDefault="002B0F1B" w:rsidP="00C36CC6">
            <w:pPr>
              <w:pStyle w:val="TableText"/>
              <w:rPr>
                <w:rFonts w:eastAsia="Calibri"/>
              </w:rPr>
            </w:pPr>
          </w:p>
        </w:tc>
        <w:tc>
          <w:tcPr>
            <w:tcW w:w="985" w:type="dxa"/>
            <w:tcBorders>
              <w:top w:val="single" w:sz="6" w:space="0" w:color="000000"/>
              <w:left w:val="single" w:sz="6" w:space="0" w:color="000000"/>
              <w:bottom w:val="single" w:sz="6" w:space="0" w:color="000000"/>
              <w:right w:val="single" w:sz="6" w:space="0" w:color="000000"/>
            </w:tcBorders>
            <w:vAlign w:val="center"/>
          </w:tcPr>
          <w:p w14:paraId="737734A3"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3F2B4E6C" w14:textId="77777777" w:rsidR="002B0F1B" w:rsidRPr="007B09D8" w:rsidRDefault="002B0F1B" w:rsidP="00C36CC6">
            <w:pPr>
              <w:pStyle w:val="TableText"/>
              <w:rPr>
                <w:rFonts w:eastAsia="Calibri"/>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7B6C4CCA" w14:textId="77777777" w:rsidR="002B0F1B" w:rsidRPr="007B09D8" w:rsidRDefault="002B0F1B" w:rsidP="00C36CC6">
            <w:pPr>
              <w:pStyle w:val="TableText"/>
              <w:rPr>
                <w:szCs w:val="20"/>
              </w:rPr>
            </w:pPr>
            <w:r w:rsidRPr="007B09D8">
              <w:rPr>
                <w:rFonts w:eastAsia="Calibri"/>
              </w:rPr>
              <w:t>X</w:t>
            </w:r>
          </w:p>
        </w:tc>
      </w:tr>
      <w:tr w:rsidR="002B0F1B" w:rsidRPr="007B09D8" w14:paraId="62FA049C"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732C4C9E" w14:textId="77777777" w:rsidR="002B0F1B" w:rsidRPr="007B09D8" w:rsidRDefault="002B0F1B" w:rsidP="00C36CC6">
            <w:pPr>
              <w:pStyle w:val="TableTextLeft"/>
            </w:pPr>
            <w:r w:rsidRPr="007B09D8">
              <w:t xml:space="preserve">Immune reactivity to amustaline/GSH RBCs </w:t>
            </w:r>
          </w:p>
          <w:p w14:paraId="05843D3E" w14:textId="77777777" w:rsidR="002B0F1B" w:rsidRPr="007B09D8" w:rsidRDefault="002B0F1B" w:rsidP="00C36CC6">
            <w:pPr>
              <w:pStyle w:val="TableTextLeft"/>
              <w:rPr>
                <w:strike/>
                <w:vertAlign w:val="superscript"/>
              </w:rPr>
            </w:pPr>
            <w:r w:rsidRPr="007B09D8" w:rsidDel="00A400C2">
              <w:t>(</w:t>
            </w:r>
            <w:r w:rsidRPr="007B09D8">
              <w:t>amustaline/GSH RBC antibody</w:t>
            </w:r>
            <w:r w:rsidRPr="007B09D8" w:rsidDel="00A400C2">
              <w:t xml:space="preserve"> testing)</w:t>
            </w:r>
          </w:p>
        </w:tc>
        <w:tc>
          <w:tcPr>
            <w:tcW w:w="1415" w:type="dxa"/>
            <w:tcBorders>
              <w:top w:val="single" w:sz="6" w:space="0" w:color="000000"/>
              <w:left w:val="single" w:sz="6" w:space="0" w:color="000000"/>
              <w:bottom w:val="single" w:sz="6" w:space="0" w:color="000000"/>
              <w:right w:val="single" w:sz="6" w:space="0" w:color="000000"/>
            </w:tcBorders>
            <w:vAlign w:val="center"/>
          </w:tcPr>
          <w:p w14:paraId="3D2E201B" w14:textId="77777777" w:rsidR="002B0F1B" w:rsidRPr="007B09D8" w:rsidRDefault="002B0F1B" w:rsidP="00C36CC6">
            <w:pPr>
              <w:pStyle w:val="TableText"/>
              <w:rPr>
                <w:strike/>
                <w:vertAlign w:val="superscript"/>
              </w:rPr>
            </w:pPr>
            <w:r w:rsidRPr="007B09D8">
              <w:rPr>
                <w:rFonts w:eastAsia="Calibri"/>
                <w:szCs w:val="20"/>
              </w:rPr>
              <w:t>X</w:t>
            </w:r>
            <w:r w:rsidRPr="007B09D8">
              <w:rPr>
                <w:rFonts w:eastAsia="Calibri"/>
                <w:szCs w:val="20"/>
                <w:vertAlign w:val="superscript"/>
              </w:rPr>
              <w:t>7</w:t>
            </w:r>
          </w:p>
        </w:tc>
        <w:tc>
          <w:tcPr>
            <w:tcW w:w="1171" w:type="dxa"/>
            <w:tcBorders>
              <w:top w:val="single" w:sz="6" w:space="0" w:color="000000"/>
              <w:left w:val="single" w:sz="6" w:space="0" w:color="000000"/>
              <w:bottom w:val="single" w:sz="6" w:space="0" w:color="000000"/>
              <w:right w:val="single" w:sz="6" w:space="0" w:color="000000"/>
            </w:tcBorders>
            <w:vAlign w:val="center"/>
          </w:tcPr>
          <w:p w14:paraId="2D928892" w14:textId="77777777" w:rsidR="002B0F1B" w:rsidRPr="007B09D8" w:rsidRDefault="002B0F1B" w:rsidP="00C36CC6">
            <w:pPr>
              <w:pStyle w:val="TableText"/>
            </w:pPr>
          </w:p>
        </w:tc>
        <w:tc>
          <w:tcPr>
            <w:tcW w:w="985" w:type="dxa"/>
            <w:tcBorders>
              <w:top w:val="single" w:sz="6" w:space="0" w:color="000000"/>
              <w:left w:val="single" w:sz="6" w:space="0" w:color="000000"/>
              <w:bottom w:val="single" w:sz="6" w:space="0" w:color="000000"/>
              <w:right w:val="single" w:sz="6" w:space="0" w:color="000000"/>
            </w:tcBorders>
            <w:vAlign w:val="center"/>
          </w:tcPr>
          <w:p w14:paraId="698E1DEE" w14:textId="77777777" w:rsidR="002B0F1B" w:rsidRPr="007B09D8" w:rsidRDefault="002B0F1B" w:rsidP="00C36CC6">
            <w:pPr>
              <w:pStyle w:val="TableText"/>
            </w:pPr>
          </w:p>
        </w:tc>
        <w:tc>
          <w:tcPr>
            <w:tcW w:w="1546" w:type="dxa"/>
            <w:tcBorders>
              <w:top w:val="single" w:sz="6" w:space="0" w:color="000000"/>
              <w:left w:val="single" w:sz="6" w:space="0" w:color="000000"/>
              <w:bottom w:val="single" w:sz="6" w:space="0" w:color="000000"/>
              <w:right w:val="single" w:sz="6" w:space="0" w:color="000000"/>
            </w:tcBorders>
            <w:vAlign w:val="center"/>
          </w:tcPr>
          <w:p w14:paraId="0C1F2BF3" w14:textId="77777777" w:rsidR="002B0F1B" w:rsidRPr="007B09D8" w:rsidRDefault="002B0F1B" w:rsidP="00C36CC6">
            <w:pPr>
              <w:pStyle w:val="TableText"/>
              <w:rPr>
                <w:strike/>
              </w:rPr>
            </w:pPr>
            <w:r w:rsidRPr="007B09D8">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22E5BFC1" w14:textId="77777777" w:rsidR="002B0F1B" w:rsidRPr="007B09D8" w:rsidRDefault="002B0F1B" w:rsidP="00C36CC6">
            <w:pPr>
              <w:pStyle w:val="TableText"/>
              <w:rPr>
                <w:rFonts w:eastAsia="Calibri"/>
                <w:strike/>
              </w:rPr>
            </w:pPr>
            <w:r w:rsidRPr="007B09D8">
              <w:rPr>
                <w:rFonts w:eastAsia="Calibri"/>
              </w:rPr>
              <w:t>X</w:t>
            </w:r>
          </w:p>
        </w:tc>
      </w:tr>
      <w:tr w:rsidR="002B0F1B" w:rsidRPr="007B09D8" w14:paraId="04691997"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2C8FC909" w14:textId="77777777" w:rsidR="002B0F1B" w:rsidRPr="007B09D8" w:rsidRDefault="002B0F1B" w:rsidP="00C36CC6">
            <w:pPr>
              <w:pStyle w:val="TableTextLeft"/>
            </w:pPr>
            <w:r w:rsidRPr="007B09D8">
              <w:t xml:space="preserve">Hematology </w:t>
            </w:r>
            <w:r w:rsidRPr="007B09D8">
              <w:rPr>
                <w:rFonts w:eastAsia="Calibri"/>
              </w:rPr>
              <w:t>panel and reticulocytes</w:t>
            </w:r>
            <w:r w:rsidRPr="007B09D8">
              <w:rPr>
                <w:rFonts w:eastAsia="Calibri"/>
                <w:vertAlign w:val="superscript"/>
              </w:rPr>
              <w:t>9</w:t>
            </w:r>
          </w:p>
        </w:tc>
        <w:tc>
          <w:tcPr>
            <w:tcW w:w="1415" w:type="dxa"/>
            <w:tcBorders>
              <w:top w:val="single" w:sz="6" w:space="0" w:color="000000"/>
              <w:left w:val="single" w:sz="6" w:space="0" w:color="000000"/>
              <w:bottom w:val="single" w:sz="6" w:space="0" w:color="000000"/>
              <w:right w:val="single" w:sz="6" w:space="0" w:color="000000"/>
            </w:tcBorders>
            <w:vAlign w:val="center"/>
          </w:tcPr>
          <w:p w14:paraId="23203B7B" w14:textId="77777777" w:rsidR="002B0F1B" w:rsidRPr="007B09D8" w:rsidRDefault="002B0F1B" w:rsidP="00C36CC6">
            <w:pPr>
              <w:pStyle w:val="TableText"/>
              <w:rPr>
                <w:rFonts w:eastAsia="Calibri"/>
              </w:rPr>
            </w:pPr>
            <w:r w:rsidRPr="007B09D8">
              <w:rPr>
                <w:rFonts w:eastAsia="Calibri"/>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2696B607" w14:textId="77777777" w:rsidR="002B0F1B" w:rsidRPr="007B09D8" w:rsidRDefault="002B0F1B" w:rsidP="00C36CC6">
            <w:pPr>
              <w:pStyle w:val="TableText"/>
            </w:pPr>
            <w:r w:rsidRPr="007B09D8">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7ED1E3EF" w14:textId="77777777" w:rsidR="002B0F1B" w:rsidRPr="007B09D8" w:rsidRDefault="002B0F1B" w:rsidP="00C36CC6">
            <w:pPr>
              <w:pStyle w:val="TableText"/>
              <w:rPr>
                <w:rFonts w:eastAsia="Calibri"/>
              </w:rPr>
            </w:pPr>
            <w:r w:rsidRPr="007B09D8">
              <w:rPr>
                <w:rFonts w:eastAsia="Calibri"/>
              </w:rPr>
              <w:t>X</w:t>
            </w:r>
          </w:p>
        </w:tc>
        <w:tc>
          <w:tcPr>
            <w:tcW w:w="1546" w:type="dxa"/>
            <w:tcBorders>
              <w:top w:val="single" w:sz="6" w:space="0" w:color="000000"/>
              <w:left w:val="single" w:sz="6" w:space="0" w:color="000000"/>
              <w:bottom w:val="single" w:sz="6" w:space="0" w:color="000000"/>
              <w:right w:val="single" w:sz="6" w:space="0" w:color="000000"/>
            </w:tcBorders>
            <w:vAlign w:val="center"/>
          </w:tcPr>
          <w:p w14:paraId="55224D45" w14:textId="77777777" w:rsidR="002B0F1B" w:rsidRPr="007B09D8" w:rsidRDefault="002B0F1B" w:rsidP="00C36CC6">
            <w:pPr>
              <w:pStyle w:val="TableText"/>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1FFB3D3D" w14:textId="77777777" w:rsidR="002B0F1B" w:rsidRPr="007B09D8" w:rsidRDefault="002B0F1B" w:rsidP="00C36CC6">
            <w:pPr>
              <w:pStyle w:val="TableText"/>
              <w:rPr>
                <w:rFonts w:eastAsia="Calibri"/>
              </w:rPr>
            </w:pPr>
          </w:p>
        </w:tc>
      </w:tr>
      <w:tr w:rsidR="002B0F1B" w:rsidRPr="007B09D8" w14:paraId="30EFC760"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4F0773D2" w14:textId="77777777" w:rsidR="002B0F1B" w:rsidRPr="007B09D8" w:rsidRDefault="002B0F1B" w:rsidP="00C36CC6">
            <w:pPr>
              <w:pStyle w:val="TableTextLeft"/>
              <w:rPr>
                <w:rFonts w:eastAsia="Calibri"/>
              </w:rPr>
            </w:pPr>
            <w:r w:rsidRPr="007B09D8">
              <w:rPr>
                <w:rFonts w:eastAsia="Calibri"/>
              </w:rPr>
              <w:t>% HbS, HbA, HbF</w:t>
            </w:r>
          </w:p>
        </w:tc>
        <w:tc>
          <w:tcPr>
            <w:tcW w:w="1415" w:type="dxa"/>
            <w:tcBorders>
              <w:top w:val="single" w:sz="6" w:space="0" w:color="000000"/>
              <w:left w:val="single" w:sz="6" w:space="0" w:color="000000"/>
              <w:bottom w:val="single" w:sz="6" w:space="0" w:color="000000"/>
              <w:right w:val="single" w:sz="6" w:space="0" w:color="000000"/>
            </w:tcBorders>
            <w:vAlign w:val="center"/>
          </w:tcPr>
          <w:p w14:paraId="6BF32171" w14:textId="77777777" w:rsidR="002B0F1B" w:rsidRPr="007B09D8" w:rsidRDefault="002B0F1B" w:rsidP="00C36CC6">
            <w:pPr>
              <w:pStyle w:val="TableText"/>
              <w:rPr>
                <w:rFonts w:eastAsia="Calibri"/>
                <w:szCs w:val="20"/>
              </w:rPr>
            </w:pPr>
            <w:r w:rsidRPr="007B09D8">
              <w:rPr>
                <w:rFonts w:eastAsia="Calibri"/>
                <w:szCs w:val="20"/>
              </w:rPr>
              <w:t>X</w:t>
            </w:r>
            <w:r w:rsidRPr="007B09D8">
              <w:rPr>
                <w:rFonts w:eastAsia="Calibri"/>
                <w:szCs w:val="20"/>
                <w:vertAlign w:val="superscript"/>
              </w:rPr>
              <w:t>2</w:t>
            </w:r>
          </w:p>
        </w:tc>
        <w:tc>
          <w:tcPr>
            <w:tcW w:w="1171" w:type="dxa"/>
            <w:tcBorders>
              <w:top w:val="single" w:sz="6" w:space="0" w:color="000000"/>
              <w:left w:val="single" w:sz="6" w:space="0" w:color="000000"/>
              <w:bottom w:val="single" w:sz="6" w:space="0" w:color="000000"/>
              <w:right w:val="single" w:sz="6" w:space="0" w:color="000000"/>
            </w:tcBorders>
            <w:vAlign w:val="center"/>
          </w:tcPr>
          <w:p w14:paraId="6956EA4E" w14:textId="77777777" w:rsidR="002B0F1B" w:rsidRPr="007B09D8" w:rsidRDefault="002B0F1B" w:rsidP="00C36CC6">
            <w:pPr>
              <w:pStyle w:val="TableText"/>
              <w:rPr>
                <w:rFonts w:eastAsia="Calibri"/>
                <w:szCs w:val="20"/>
              </w:rPr>
            </w:pPr>
            <w:r w:rsidRPr="007B09D8">
              <w:rPr>
                <w:rFonts w:eastAsia="Calibri"/>
                <w:szCs w:val="20"/>
              </w:rPr>
              <w:t>X</w:t>
            </w:r>
            <w:r w:rsidRPr="007B09D8">
              <w:rPr>
                <w:rFonts w:eastAsia="Calibri"/>
                <w:szCs w:val="20"/>
                <w:vertAlign w:val="superscript"/>
              </w:rPr>
              <w:t>2</w:t>
            </w:r>
          </w:p>
        </w:tc>
        <w:tc>
          <w:tcPr>
            <w:tcW w:w="985" w:type="dxa"/>
            <w:tcBorders>
              <w:top w:val="single" w:sz="6" w:space="0" w:color="000000"/>
              <w:left w:val="single" w:sz="6" w:space="0" w:color="000000"/>
              <w:bottom w:val="single" w:sz="6" w:space="0" w:color="000000"/>
              <w:right w:val="single" w:sz="6" w:space="0" w:color="000000"/>
            </w:tcBorders>
            <w:vAlign w:val="center"/>
          </w:tcPr>
          <w:p w14:paraId="46678EB9" w14:textId="77777777" w:rsidR="002B0F1B" w:rsidRPr="007B09D8" w:rsidRDefault="002B0F1B" w:rsidP="00C36CC6">
            <w:pPr>
              <w:pStyle w:val="TableText"/>
              <w:rPr>
                <w:rFonts w:eastAsia="Calibri"/>
              </w:rPr>
            </w:pPr>
            <w:r w:rsidRPr="007B09D8">
              <w:rPr>
                <w:rFonts w:eastAsia="Calibri"/>
              </w:rPr>
              <w:t>X</w:t>
            </w:r>
          </w:p>
        </w:tc>
        <w:tc>
          <w:tcPr>
            <w:tcW w:w="1546" w:type="dxa"/>
            <w:tcBorders>
              <w:top w:val="single" w:sz="6" w:space="0" w:color="000000"/>
              <w:left w:val="single" w:sz="6" w:space="0" w:color="000000"/>
              <w:bottom w:val="single" w:sz="6" w:space="0" w:color="000000"/>
              <w:right w:val="single" w:sz="6" w:space="0" w:color="000000"/>
            </w:tcBorders>
            <w:vAlign w:val="center"/>
          </w:tcPr>
          <w:p w14:paraId="0DDB27A0" w14:textId="77777777" w:rsidR="002B0F1B" w:rsidRPr="007B09D8" w:rsidRDefault="002B0F1B" w:rsidP="00C36CC6">
            <w:pPr>
              <w:pStyle w:val="TableText"/>
              <w:rPr>
                <w:rFonts w:eastAsia="Calibri"/>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2B8BE57D" w14:textId="77777777" w:rsidR="002B0F1B" w:rsidRPr="007B09D8" w:rsidRDefault="002B0F1B" w:rsidP="00C36CC6">
            <w:pPr>
              <w:pStyle w:val="TableText"/>
              <w:rPr>
                <w:rFonts w:eastAsia="Calibri"/>
              </w:rPr>
            </w:pPr>
          </w:p>
        </w:tc>
      </w:tr>
      <w:tr w:rsidR="002B0F1B" w:rsidRPr="007B09D8" w14:paraId="21B45281"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79C074FB" w14:textId="77777777" w:rsidR="002B0F1B" w:rsidRPr="007B09D8" w:rsidRDefault="002B0F1B" w:rsidP="00C36CC6">
            <w:pPr>
              <w:pStyle w:val="TableTextLeft"/>
              <w:rPr>
                <w:vertAlign w:val="superscript"/>
              </w:rPr>
            </w:pPr>
            <w:r w:rsidRPr="007B09D8">
              <w:t xml:space="preserve">Blood chemistry </w:t>
            </w:r>
            <w:r w:rsidRPr="007B09D8">
              <w:rPr>
                <w:rFonts w:eastAsia="Calibri"/>
              </w:rPr>
              <w:t>panel</w:t>
            </w:r>
            <w:r w:rsidRPr="007B09D8">
              <w:rPr>
                <w:rFonts w:eastAsia="Calibri"/>
                <w:vertAlign w:val="superscript"/>
              </w:rPr>
              <w:t>10</w:t>
            </w:r>
          </w:p>
        </w:tc>
        <w:tc>
          <w:tcPr>
            <w:tcW w:w="1415" w:type="dxa"/>
            <w:tcBorders>
              <w:top w:val="single" w:sz="6" w:space="0" w:color="000000"/>
              <w:left w:val="single" w:sz="6" w:space="0" w:color="000000"/>
              <w:bottom w:val="single" w:sz="6" w:space="0" w:color="000000"/>
              <w:right w:val="single" w:sz="6" w:space="0" w:color="000000"/>
            </w:tcBorders>
            <w:vAlign w:val="center"/>
          </w:tcPr>
          <w:p w14:paraId="6754A97B" w14:textId="77777777" w:rsidR="002B0F1B" w:rsidRPr="007B09D8" w:rsidRDefault="002B0F1B" w:rsidP="00C36CC6">
            <w:pPr>
              <w:pStyle w:val="TableText"/>
              <w:rPr>
                <w:rFonts w:eastAsia="Calibri"/>
              </w:rPr>
            </w:pPr>
            <w:r w:rsidRPr="007B09D8">
              <w:rPr>
                <w:rFonts w:eastAsia="Calibri"/>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35F6CDE4" w14:textId="77777777" w:rsidR="002B0F1B" w:rsidRPr="007B09D8" w:rsidRDefault="002B0F1B" w:rsidP="00C36CC6">
            <w:pPr>
              <w:pStyle w:val="TableText"/>
            </w:pPr>
          </w:p>
        </w:tc>
        <w:tc>
          <w:tcPr>
            <w:tcW w:w="985" w:type="dxa"/>
            <w:tcBorders>
              <w:top w:val="single" w:sz="6" w:space="0" w:color="000000"/>
              <w:left w:val="single" w:sz="6" w:space="0" w:color="000000"/>
              <w:bottom w:val="single" w:sz="6" w:space="0" w:color="000000"/>
              <w:right w:val="single" w:sz="6" w:space="0" w:color="000000"/>
            </w:tcBorders>
            <w:vAlign w:val="center"/>
          </w:tcPr>
          <w:p w14:paraId="5845877B"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7E6B69D9" w14:textId="77777777" w:rsidR="002B0F1B" w:rsidRPr="007B09D8" w:rsidRDefault="002B0F1B" w:rsidP="00C36CC6">
            <w:pPr>
              <w:pStyle w:val="TableText"/>
              <w:rPr>
                <w:sz w:val="13"/>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79C8A6CF" w14:textId="77777777" w:rsidR="002B0F1B" w:rsidRPr="007B09D8" w:rsidRDefault="002B0F1B" w:rsidP="00C36CC6">
            <w:pPr>
              <w:pStyle w:val="TableText"/>
              <w:rPr>
                <w:rFonts w:eastAsia="Calibri"/>
              </w:rPr>
            </w:pPr>
          </w:p>
        </w:tc>
      </w:tr>
      <w:tr w:rsidR="002B0F1B" w:rsidRPr="007B09D8" w14:paraId="6F9CC335"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1DCDE9B8" w14:textId="77777777" w:rsidR="002B0F1B" w:rsidRPr="007B09D8" w:rsidRDefault="002B0F1B" w:rsidP="00C36CC6">
            <w:pPr>
              <w:pStyle w:val="TableTextLeft"/>
            </w:pPr>
            <w:r w:rsidRPr="007B09D8">
              <w:lastRenderedPageBreak/>
              <w:t xml:space="preserve">Coagulation </w:t>
            </w:r>
            <w:r w:rsidRPr="007B09D8">
              <w:rPr>
                <w:rFonts w:eastAsia="Calibri"/>
              </w:rPr>
              <w:t>panel</w:t>
            </w:r>
            <w:r w:rsidRPr="007B09D8">
              <w:rPr>
                <w:rFonts w:eastAsia="Calibri"/>
                <w:vertAlign w:val="superscript"/>
              </w:rPr>
              <w:t>11</w:t>
            </w:r>
          </w:p>
        </w:tc>
        <w:tc>
          <w:tcPr>
            <w:tcW w:w="1415" w:type="dxa"/>
            <w:tcBorders>
              <w:top w:val="single" w:sz="6" w:space="0" w:color="000000"/>
              <w:left w:val="single" w:sz="6" w:space="0" w:color="000000"/>
              <w:bottom w:val="single" w:sz="6" w:space="0" w:color="000000"/>
              <w:right w:val="single" w:sz="6" w:space="0" w:color="000000"/>
            </w:tcBorders>
            <w:vAlign w:val="center"/>
          </w:tcPr>
          <w:p w14:paraId="7F8BFCED" w14:textId="77777777" w:rsidR="002B0F1B" w:rsidRPr="007B09D8" w:rsidRDefault="002B0F1B" w:rsidP="00C36CC6">
            <w:pPr>
              <w:pStyle w:val="TableText"/>
              <w:rPr>
                <w:vertAlign w:val="superscript"/>
              </w:rPr>
            </w:pPr>
            <w:r w:rsidRPr="007B09D8">
              <w:rPr>
                <w:rFonts w:eastAsia="Calibri"/>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3872FC12" w14:textId="77777777" w:rsidR="002B0F1B" w:rsidRPr="007B09D8" w:rsidRDefault="002B0F1B" w:rsidP="00C36CC6">
            <w:pPr>
              <w:pStyle w:val="TableText"/>
            </w:pPr>
            <w:r w:rsidRPr="007B09D8">
              <w:rPr>
                <w:rFonts w:eastAsia="Calibri"/>
                <w:szCs w:val="20"/>
              </w:rPr>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2E3D0EA4"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776763B8" w14:textId="77777777" w:rsidR="002B0F1B" w:rsidRPr="007B09D8" w:rsidRDefault="002B0F1B" w:rsidP="00C36CC6">
            <w:pPr>
              <w:pStyle w:val="TableText"/>
              <w:rPr>
                <w:rFonts w:eastAsia="Calibri"/>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5469883F" w14:textId="77777777" w:rsidR="002B0F1B" w:rsidRPr="007B09D8" w:rsidRDefault="002B0F1B" w:rsidP="00C36CC6">
            <w:pPr>
              <w:pStyle w:val="TableText"/>
              <w:rPr>
                <w:rFonts w:eastAsia="Calibri"/>
              </w:rPr>
            </w:pPr>
          </w:p>
        </w:tc>
      </w:tr>
      <w:tr w:rsidR="002B0F1B" w:rsidRPr="007B09D8" w14:paraId="1CDB14CD"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6BF9BECA" w14:textId="77777777" w:rsidR="002B0F1B" w:rsidRPr="007B09D8" w:rsidRDefault="002B0F1B" w:rsidP="00C36CC6">
            <w:pPr>
              <w:pStyle w:val="TableTextLeft"/>
            </w:pPr>
            <w:r w:rsidRPr="007B09D8">
              <w:t>S-300 and GSH (frozen plasma)</w:t>
            </w:r>
          </w:p>
        </w:tc>
        <w:tc>
          <w:tcPr>
            <w:tcW w:w="1415" w:type="dxa"/>
            <w:tcBorders>
              <w:top w:val="single" w:sz="6" w:space="0" w:color="000000"/>
              <w:left w:val="single" w:sz="6" w:space="0" w:color="000000"/>
              <w:bottom w:val="single" w:sz="6" w:space="0" w:color="000000"/>
              <w:right w:val="single" w:sz="6" w:space="0" w:color="000000"/>
            </w:tcBorders>
            <w:vAlign w:val="center"/>
          </w:tcPr>
          <w:p w14:paraId="67193302" w14:textId="77777777" w:rsidR="002B0F1B" w:rsidRPr="007B09D8" w:rsidRDefault="002B0F1B" w:rsidP="00C36CC6">
            <w:pPr>
              <w:pStyle w:val="TableText"/>
              <w:rPr>
                <w:rFonts w:eastAsia="Calibri"/>
                <w:szCs w:val="20"/>
              </w:rPr>
            </w:pPr>
            <w:r w:rsidRPr="007B09D8">
              <w:rPr>
                <w:rFonts w:eastAsia="Calibri"/>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4CC6B5A8" w14:textId="77777777" w:rsidR="002B0F1B" w:rsidRPr="007B09D8" w:rsidRDefault="002B0F1B" w:rsidP="00C36CC6">
            <w:pPr>
              <w:pStyle w:val="TableText"/>
              <w:rPr>
                <w:rFonts w:eastAsia="Calibri"/>
                <w:szCs w:val="20"/>
              </w:rPr>
            </w:pPr>
            <w:r w:rsidRPr="007B09D8">
              <w:rPr>
                <w:rFonts w:eastAsia="Calibri"/>
                <w:szCs w:val="20"/>
              </w:rPr>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7E33D761"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25DA8CEA" w14:textId="77777777" w:rsidR="002B0F1B" w:rsidRPr="007B09D8" w:rsidRDefault="002B0F1B" w:rsidP="00C36CC6">
            <w:pPr>
              <w:pStyle w:val="TableText"/>
              <w:rPr>
                <w:rFonts w:eastAsia="Calibri"/>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4C5CBD68" w14:textId="77777777" w:rsidR="002B0F1B" w:rsidRPr="007B09D8" w:rsidRDefault="002B0F1B" w:rsidP="00C36CC6">
            <w:pPr>
              <w:pStyle w:val="TableText"/>
              <w:rPr>
                <w:rFonts w:eastAsia="Calibri"/>
              </w:rPr>
            </w:pPr>
          </w:p>
        </w:tc>
      </w:tr>
      <w:tr w:rsidR="002B0F1B" w:rsidRPr="007B09D8" w14:paraId="26E2D05F"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1BB9C408" w14:textId="77777777" w:rsidR="002B0F1B" w:rsidRPr="007B09D8" w:rsidRDefault="002B0F1B" w:rsidP="00C36CC6">
            <w:pPr>
              <w:pStyle w:val="TableTextLeft"/>
            </w:pPr>
            <w:r w:rsidRPr="007B09D8">
              <w:t>Vital signs</w:t>
            </w:r>
          </w:p>
        </w:tc>
        <w:tc>
          <w:tcPr>
            <w:tcW w:w="1415" w:type="dxa"/>
            <w:tcBorders>
              <w:top w:val="single" w:sz="6" w:space="0" w:color="000000"/>
              <w:left w:val="single" w:sz="6" w:space="0" w:color="000000"/>
              <w:bottom w:val="single" w:sz="6" w:space="0" w:color="000000"/>
              <w:right w:val="single" w:sz="6" w:space="0" w:color="000000"/>
            </w:tcBorders>
            <w:vAlign w:val="center"/>
          </w:tcPr>
          <w:p w14:paraId="40A22C4A" w14:textId="77777777" w:rsidR="002B0F1B" w:rsidRPr="007B09D8" w:rsidRDefault="002B0F1B" w:rsidP="00C36CC6">
            <w:pPr>
              <w:pStyle w:val="TableText"/>
              <w:rPr>
                <w:vertAlign w:val="superscript"/>
              </w:rPr>
            </w:pPr>
            <w:r w:rsidRPr="007B09D8">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2889F45E" w14:textId="77777777" w:rsidR="002B0F1B" w:rsidRPr="007B09D8" w:rsidRDefault="002B0F1B" w:rsidP="00C36CC6">
            <w:pPr>
              <w:pStyle w:val="TableText"/>
            </w:pPr>
            <w:r w:rsidRPr="007B09D8">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4F7079B0"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28F92FFA" w14:textId="77777777" w:rsidR="002B0F1B" w:rsidRPr="007B09D8" w:rsidRDefault="002B0F1B" w:rsidP="00C36CC6">
            <w:pPr>
              <w:pStyle w:val="TableText"/>
              <w:rPr>
                <w:rFonts w:eastAsia="Calibri"/>
                <w:sz w:val="13"/>
              </w:rPr>
            </w:pPr>
            <w:r w:rsidRPr="007B09D8">
              <w:rPr>
                <w:rFonts w:eastAsia="Calibri"/>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7AB257E4" w14:textId="77777777" w:rsidR="002B0F1B" w:rsidRPr="007B09D8" w:rsidRDefault="002B0F1B" w:rsidP="00C36CC6">
            <w:pPr>
              <w:pStyle w:val="TableText"/>
              <w:rPr>
                <w:rFonts w:eastAsia="Calibri"/>
              </w:rPr>
            </w:pPr>
          </w:p>
        </w:tc>
      </w:tr>
      <w:tr w:rsidR="002B0F1B" w:rsidRPr="007B09D8" w14:paraId="77AB9C7A"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6660A0CE" w14:textId="77777777" w:rsidR="002B0F1B" w:rsidRPr="007B09D8" w:rsidRDefault="002B0F1B" w:rsidP="00C36CC6">
            <w:pPr>
              <w:pStyle w:val="TableTextLeft"/>
            </w:pPr>
            <w:r w:rsidRPr="007B09D8">
              <w:t xml:space="preserve">RBC transfusion data </w:t>
            </w:r>
          </w:p>
          <w:p w14:paraId="2405E5F0" w14:textId="77777777" w:rsidR="002B0F1B" w:rsidRPr="007B09D8" w:rsidRDefault="002B0F1B" w:rsidP="00C36CC6">
            <w:pPr>
              <w:pStyle w:val="TableTextLeft"/>
            </w:pPr>
            <w:r w:rsidRPr="007B09D8">
              <w:t>(study or non-study)</w:t>
            </w:r>
          </w:p>
        </w:tc>
        <w:tc>
          <w:tcPr>
            <w:tcW w:w="1415" w:type="dxa"/>
            <w:tcBorders>
              <w:top w:val="single" w:sz="6" w:space="0" w:color="000000"/>
              <w:left w:val="single" w:sz="6" w:space="0" w:color="000000"/>
              <w:bottom w:val="single" w:sz="6" w:space="0" w:color="000000"/>
              <w:right w:val="single" w:sz="6" w:space="0" w:color="000000"/>
            </w:tcBorders>
            <w:vAlign w:val="center"/>
          </w:tcPr>
          <w:p w14:paraId="1152FFA2" w14:textId="77777777" w:rsidR="002B0F1B" w:rsidRPr="007B09D8" w:rsidRDefault="002B0F1B" w:rsidP="00C36CC6">
            <w:pPr>
              <w:pStyle w:val="TableText"/>
              <w:rPr>
                <w:rFonts w:eastAsia="Calibri"/>
              </w:rPr>
            </w:pPr>
            <w:r w:rsidRPr="007B09D8">
              <w:rPr>
                <w:rFonts w:eastAsia="Calibri"/>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38259C5B" w14:textId="77777777" w:rsidR="002B0F1B" w:rsidRPr="007B09D8" w:rsidRDefault="002B0F1B" w:rsidP="00C36CC6">
            <w:pPr>
              <w:pStyle w:val="TableText"/>
              <w:rPr>
                <w:rFonts w:eastAsia="Calibri"/>
              </w:rPr>
            </w:pPr>
          </w:p>
        </w:tc>
        <w:tc>
          <w:tcPr>
            <w:tcW w:w="985" w:type="dxa"/>
            <w:tcBorders>
              <w:top w:val="single" w:sz="6" w:space="0" w:color="000000"/>
              <w:left w:val="single" w:sz="6" w:space="0" w:color="000000"/>
              <w:bottom w:val="single" w:sz="6" w:space="0" w:color="000000"/>
              <w:right w:val="single" w:sz="6" w:space="0" w:color="000000"/>
            </w:tcBorders>
            <w:vAlign w:val="center"/>
          </w:tcPr>
          <w:p w14:paraId="15EC12DF" w14:textId="77777777" w:rsidR="002B0F1B" w:rsidRPr="007B09D8" w:rsidRDefault="002B0F1B" w:rsidP="00C36CC6">
            <w:pPr>
              <w:pStyle w:val="TableText"/>
              <w:rPr>
                <w:rFonts w:eastAsia="Calibri"/>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1C9CB740" w14:textId="77777777" w:rsidR="002B0F1B" w:rsidRPr="007B09D8" w:rsidRDefault="002B0F1B" w:rsidP="00C36CC6">
            <w:pPr>
              <w:pStyle w:val="TableText"/>
              <w:rPr>
                <w:rFonts w:eastAsia="Calibri"/>
              </w:rPr>
            </w:pPr>
            <w:r w:rsidRPr="007B09D8">
              <w:rPr>
                <w:rFonts w:eastAsia="Calibri"/>
              </w:rPr>
              <w:t>X</w:t>
            </w:r>
            <w:r w:rsidRPr="007B09D8">
              <w:rPr>
                <w:rFonts w:eastAsia="Calibri"/>
                <w:vertAlign w:val="superscript"/>
              </w:rPr>
              <w:t>5</w:t>
            </w:r>
          </w:p>
        </w:tc>
        <w:tc>
          <w:tcPr>
            <w:tcW w:w="1408" w:type="dxa"/>
            <w:tcBorders>
              <w:top w:val="single" w:sz="6" w:space="0" w:color="000000"/>
              <w:left w:val="single" w:sz="6" w:space="0" w:color="000000"/>
              <w:bottom w:val="single" w:sz="6" w:space="0" w:color="000000"/>
              <w:right w:val="single" w:sz="6" w:space="0" w:color="000000"/>
            </w:tcBorders>
            <w:vAlign w:val="center"/>
          </w:tcPr>
          <w:p w14:paraId="432EDB9B" w14:textId="77777777" w:rsidR="002B0F1B" w:rsidRPr="007B09D8" w:rsidRDefault="002B0F1B" w:rsidP="00C36CC6">
            <w:pPr>
              <w:pStyle w:val="TableText"/>
              <w:rPr>
                <w:rFonts w:eastAsia="Calibri"/>
              </w:rPr>
            </w:pPr>
          </w:p>
        </w:tc>
      </w:tr>
      <w:tr w:rsidR="002B0F1B" w:rsidRPr="007B09D8" w14:paraId="7B506E45"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0D9EE5FD" w14:textId="77777777" w:rsidR="002B0F1B" w:rsidRPr="007B09D8" w:rsidRDefault="002B0F1B" w:rsidP="00C36CC6">
            <w:pPr>
              <w:pStyle w:val="TableTextLeft"/>
            </w:pPr>
            <w:r w:rsidRPr="007B09D8">
              <w:t>Concomitant medications</w:t>
            </w:r>
          </w:p>
        </w:tc>
        <w:tc>
          <w:tcPr>
            <w:tcW w:w="1415" w:type="dxa"/>
            <w:tcBorders>
              <w:top w:val="single" w:sz="6" w:space="0" w:color="000000"/>
              <w:left w:val="single" w:sz="6" w:space="0" w:color="000000"/>
              <w:bottom w:val="single" w:sz="6" w:space="0" w:color="000000"/>
              <w:right w:val="single" w:sz="6" w:space="0" w:color="000000"/>
            </w:tcBorders>
            <w:vAlign w:val="center"/>
          </w:tcPr>
          <w:p w14:paraId="23E9E385" w14:textId="77777777" w:rsidR="002B0F1B" w:rsidRPr="007B09D8" w:rsidRDefault="002B0F1B" w:rsidP="00C36CC6">
            <w:pPr>
              <w:pStyle w:val="TableText"/>
              <w:rPr>
                <w:rFonts w:eastAsia="Calibri"/>
                <w:szCs w:val="20"/>
              </w:rPr>
            </w:pPr>
            <w:r w:rsidRPr="007B09D8">
              <w:rPr>
                <w:rFonts w:eastAsia="Calibri"/>
                <w:szCs w:val="20"/>
              </w:rPr>
              <w:t>X</w:t>
            </w:r>
            <w:r w:rsidRPr="007B09D8">
              <w:rPr>
                <w:rFonts w:eastAsia="Calibri"/>
                <w:szCs w:val="20"/>
                <w:vertAlign w:val="superscript"/>
              </w:rPr>
              <w:t>4</w:t>
            </w:r>
          </w:p>
        </w:tc>
        <w:tc>
          <w:tcPr>
            <w:tcW w:w="1171" w:type="dxa"/>
            <w:tcBorders>
              <w:top w:val="single" w:sz="6" w:space="0" w:color="000000"/>
              <w:left w:val="single" w:sz="6" w:space="0" w:color="000000"/>
              <w:bottom w:val="single" w:sz="6" w:space="0" w:color="000000"/>
              <w:right w:val="single" w:sz="6" w:space="0" w:color="000000"/>
            </w:tcBorders>
            <w:vAlign w:val="center"/>
          </w:tcPr>
          <w:p w14:paraId="5ECA192A" w14:textId="77777777" w:rsidR="002B0F1B" w:rsidRPr="007B09D8" w:rsidRDefault="002B0F1B" w:rsidP="00C36CC6">
            <w:pPr>
              <w:pStyle w:val="TableText"/>
              <w:rPr>
                <w:rFonts w:eastAsia="Calibri"/>
                <w:szCs w:val="20"/>
                <w:vertAlign w:val="superscript"/>
              </w:rPr>
            </w:pPr>
          </w:p>
        </w:tc>
        <w:tc>
          <w:tcPr>
            <w:tcW w:w="985" w:type="dxa"/>
            <w:tcBorders>
              <w:top w:val="single" w:sz="6" w:space="0" w:color="000000"/>
              <w:left w:val="single" w:sz="6" w:space="0" w:color="000000"/>
              <w:bottom w:val="single" w:sz="6" w:space="0" w:color="000000"/>
              <w:right w:val="single" w:sz="6" w:space="0" w:color="000000"/>
            </w:tcBorders>
            <w:vAlign w:val="center"/>
          </w:tcPr>
          <w:p w14:paraId="0A3454C6" w14:textId="77777777" w:rsidR="002B0F1B" w:rsidRPr="007B09D8" w:rsidRDefault="002B0F1B" w:rsidP="00C36CC6">
            <w:pPr>
              <w:pStyle w:val="TableText"/>
              <w:rPr>
                <w:rFonts w:eastAsia="Calibri"/>
                <w:szCs w:val="20"/>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14A4F4B8" w14:textId="77777777" w:rsidR="002B0F1B" w:rsidRPr="007B09D8" w:rsidRDefault="002B0F1B" w:rsidP="00C36CC6">
            <w:pPr>
              <w:pStyle w:val="TableText"/>
              <w:rPr>
                <w:rFonts w:eastAsia="Calibri"/>
                <w:szCs w:val="20"/>
                <w:vertAlign w:val="superscript"/>
              </w:rPr>
            </w:pPr>
            <w:r w:rsidRPr="007B09D8">
              <w:rPr>
                <w:rFonts w:eastAsia="Calibri"/>
                <w:szCs w:val="20"/>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174CE095" w14:textId="77777777" w:rsidR="002B0F1B" w:rsidRPr="007B09D8" w:rsidRDefault="002B0F1B" w:rsidP="00C36CC6">
            <w:pPr>
              <w:pStyle w:val="TableText"/>
              <w:rPr>
                <w:rFonts w:eastAsia="Calibri"/>
                <w:szCs w:val="20"/>
                <w:vertAlign w:val="superscript"/>
              </w:rPr>
            </w:pPr>
          </w:p>
        </w:tc>
      </w:tr>
      <w:tr w:rsidR="002B0F1B" w:rsidRPr="007B09D8" w14:paraId="48DAE32F"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57A34B78" w14:textId="77777777" w:rsidR="002B0F1B" w:rsidRPr="007B09D8" w:rsidRDefault="002B0F1B" w:rsidP="00C36CC6">
            <w:pPr>
              <w:pStyle w:val="TableTextLeft"/>
            </w:pPr>
            <w:r w:rsidRPr="007B09D8">
              <w:t>Other blood components transfused</w:t>
            </w:r>
          </w:p>
        </w:tc>
        <w:tc>
          <w:tcPr>
            <w:tcW w:w="1415" w:type="dxa"/>
            <w:tcBorders>
              <w:top w:val="single" w:sz="6" w:space="0" w:color="000000"/>
              <w:left w:val="single" w:sz="6" w:space="0" w:color="000000"/>
              <w:bottom w:val="single" w:sz="6" w:space="0" w:color="000000"/>
              <w:right w:val="single" w:sz="6" w:space="0" w:color="000000"/>
            </w:tcBorders>
            <w:vAlign w:val="center"/>
          </w:tcPr>
          <w:p w14:paraId="2E9324EB" w14:textId="77777777" w:rsidR="002B0F1B" w:rsidRPr="007B09D8" w:rsidRDefault="002B0F1B" w:rsidP="00C36CC6">
            <w:pPr>
              <w:pStyle w:val="TableText"/>
              <w:rPr>
                <w:rFonts w:eastAsia="Calibri"/>
                <w:szCs w:val="20"/>
              </w:rPr>
            </w:pPr>
            <w:r w:rsidRPr="007B09D8">
              <w:rPr>
                <w:rFonts w:eastAsia="Calibri"/>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5DFC1B8B" w14:textId="77777777" w:rsidR="002B0F1B" w:rsidRPr="007B09D8" w:rsidRDefault="002B0F1B" w:rsidP="00C36CC6">
            <w:pPr>
              <w:pStyle w:val="TableText"/>
              <w:rPr>
                <w:rFonts w:eastAsia="Calibri"/>
                <w:szCs w:val="20"/>
              </w:rPr>
            </w:pPr>
          </w:p>
        </w:tc>
        <w:tc>
          <w:tcPr>
            <w:tcW w:w="985" w:type="dxa"/>
            <w:tcBorders>
              <w:top w:val="single" w:sz="6" w:space="0" w:color="000000"/>
              <w:left w:val="single" w:sz="6" w:space="0" w:color="000000"/>
              <w:bottom w:val="single" w:sz="6" w:space="0" w:color="000000"/>
              <w:right w:val="single" w:sz="6" w:space="0" w:color="000000"/>
            </w:tcBorders>
            <w:vAlign w:val="center"/>
          </w:tcPr>
          <w:p w14:paraId="2BB98AF9" w14:textId="77777777" w:rsidR="002B0F1B" w:rsidRPr="007B09D8" w:rsidRDefault="002B0F1B" w:rsidP="00C36CC6">
            <w:pPr>
              <w:pStyle w:val="TableText"/>
              <w:rPr>
                <w:rFonts w:eastAsia="Calibri"/>
                <w:szCs w:val="20"/>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08154661" w14:textId="77777777" w:rsidR="002B0F1B" w:rsidRPr="007B09D8" w:rsidRDefault="002B0F1B" w:rsidP="00C36CC6">
            <w:pPr>
              <w:pStyle w:val="TableText"/>
              <w:rPr>
                <w:rFonts w:eastAsia="Calibri"/>
                <w:szCs w:val="20"/>
              </w:rPr>
            </w:pPr>
            <w:r w:rsidRPr="007B09D8">
              <w:rPr>
                <w:rFonts w:eastAsia="Calibri"/>
                <w:szCs w:val="20"/>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3339BB80" w14:textId="77777777" w:rsidR="002B0F1B" w:rsidRPr="007B09D8" w:rsidRDefault="002B0F1B" w:rsidP="00C36CC6">
            <w:pPr>
              <w:pStyle w:val="TableText"/>
              <w:rPr>
                <w:rFonts w:eastAsia="Calibri"/>
                <w:szCs w:val="20"/>
              </w:rPr>
            </w:pPr>
          </w:p>
        </w:tc>
      </w:tr>
      <w:tr w:rsidR="002B0F1B" w:rsidRPr="007B09D8" w14:paraId="21447C1A"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104A5912" w14:textId="77777777" w:rsidR="002B0F1B" w:rsidRPr="007B09D8" w:rsidRDefault="002B0F1B" w:rsidP="00C36CC6">
            <w:pPr>
              <w:pStyle w:val="TableTextLeft"/>
            </w:pPr>
            <w:r w:rsidRPr="007B09D8">
              <w:t>RCE Procedure details</w:t>
            </w:r>
          </w:p>
        </w:tc>
        <w:tc>
          <w:tcPr>
            <w:tcW w:w="1415" w:type="dxa"/>
            <w:tcBorders>
              <w:top w:val="single" w:sz="6" w:space="0" w:color="000000"/>
              <w:left w:val="single" w:sz="6" w:space="0" w:color="000000"/>
              <w:bottom w:val="single" w:sz="6" w:space="0" w:color="000000"/>
              <w:right w:val="single" w:sz="6" w:space="0" w:color="000000"/>
            </w:tcBorders>
            <w:vAlign w:val="center"/>
          </w:tcPr>
          <w:p w14:paraId="0F47B699" w14:textId="77777777" w:rsidR="002B0F1B" w:rsidRPr="007B09D8" w:rsidRDefault="002B0F1B" w:rsidP="00C36CC6">
            <w:pPr>
              <w:pStyle w:val="TableText"/>
              <w:rPr>
                <w:rFonts w:eastAsia="Calibri"/>
                <w:szCs w:val="20"/>
              </w:rPr>
            </w:pPr>
          </w:p>
        </w:tc>
        <w:tc>
          <w:tcPr>
            <w:tcW w:w="1171" w:type="dxa"/>
            <w:tcBorders>
              <w:top w:val="single" w:sz="6" w:space="0" w:color="000000"/>
              <w:left w:val="single" w:sz="6" w:space="0" w:color="000000"/>
              <w:bottom w:val="single" w:sz="6" w:space="0" w:color="000000"/>
              <w:right w:val="single" w:sz="6" w:space="0" w:color="000000"/>
            </w:tcBorders>
            <w:vAlign w:val="center"/>
          </w:tcPr>
          <w:p w14:paraId="4D34C1C1" w14:textId="77777777" w:rsidR="002B0F1B" w:rsidRPr="007B09D8" w:rsidRDefault="002B0F1B" w:rsidP="00C36CC6">
            <w:pPr>
              <w:pStyle w:val="TableText"/>
              <w:rPr>
                <w:rFonts w:eastAsia="Calibri"/>
                <w:szCs w:val="20"/>
              </w:rPr>
            </w:pPr>
            <w:r w:rsidRPr="007B09D8">
              <w:rPr>
                <w:rFonts w:eastAsia="Calibri"/>
                <w:szCs w:val="20"/>
              </w:rPr>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7BF9EF76" w14:textId="77777777" w:rsidR="002B0F1B" w:rsidRPr="007B09D8" w:rsidRDefault="002B0F1B" w:rsidP="00C36CC6">
            <w:pPr>
              <w:pStyle w:val="TableText"/>
              <w:rPr>
                <w:rFonts w:eastAsia="Calibri"/>
                <w:szCs w:val="20"/>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3E6486B7" w14:textId="77777777" w:rsidR="002B0F1B" w:rsidRPr="007B09D8" w:rsidRDefault="002B0F1B" w:rsidP="00C36CC6">
            <w:pPr>
              <w:pStyle w:val="TableText"/>
              <w:rPr>
                <w:rFonts w:eastAsia="Calibri"/>
                <w:szCs w:val="20"/>
              </w:rPr>
            </w:pPr>
          </w:p>
        </w:tc>
        <w:tc>
          <w:tcPr>
            <w:tcW w:w="1408" w:type="dxa"/>
            <w:tcBorders>
              <w:top w:val="single" w:sz="6" w:space="0" w:color="000000"/>
              <w:left w:val="single" w:sz="6" w:space="0" w:color="000000"/>
              <w:bottom w:val="single" w:sz="6" w:space="0" w:color="000000"/>
              <w:right w:val="single" w:sz="6" w:space="0" w:color="000000"/>
            </w:tcBorders>
            <w:vAlign w:val="center"/>
          </w:tcPr>
          <w:p w14:paraId="3190F645" w14:textId="77777777" w:rsidR="002B0F1B" w:rsidRPr="007B09D8" w:rsidRDefault="002B0F1B" w:rsidP="00C36CC6">
            <w:pPr>
              <w:pStyle w:val="TableText"/>
              <w:rPr>
                <w:rFonts w:eastAsia="Calibri"/>
                <w:szCs w:val="20"/>
              </w:rPr>
            </w:pPr>
          </w:p>
        </w:tc>
      </w:tr>
      <w:tr w:rsidR="002B0F1B" w:rsidRPr="007B09D8" w14:paraId="404DD29C"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5B59AC6A" w14:textId="77777777" w:rsidR="002B0F1B" w:rsidRPr="007B09D8" w:rsidRDefault="002B0F1B" w:rsidP="00C36CC6">
            <w:pPr>
              <w:pStyle w:val="TableTextLeft"/>
            </w:pPr>
            <w:r w:rsidRPr="007B09D8">
              <w:t xml:space="preserve">Adverse events, AESI and transfusion reactions </w:t>
            </w:r>
          </w:p>
        </w:tc>
        <w:tc>
          <w:tcPr>
            <w:tcW w:w="1415" w:type="dxa"/>
            <w:tcBorders>
              <w:top w:val="single" w:sz="6" w:space="0" w:color="000000"/>
              <w:left w:val="single" w:sz="6" w:space="0" w:color="000000"/>
              <w:bottom w:val="single" w:sz="6" w:space="0" w:color="000000"/>
              <w:right w:val="single" w:sz="6" w:space="0" w:color="000000"/>
            </w:tcBorders>
            <w:vAlign w:val="center"/>
          </w:tcPr>
          <w:p w14:paraId="1A38367A" w14:textId="77777777" w:rsidR="002B0F1B" w:rsidRPr="007B09D8" w:rsidRDefault="002B0F1B" w:rsidP="00C36CC6">
            <w:pPr>
              <w:pStyle w:val="TableText"/>
              <w:rPr>
                <w:szCs w:val="20"/>
              </w:rPr>
            </w:pPr>
            <w:r w:rsidRPr="007B09D8">
              <w:rPr>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798EA33C" w14:textId="77777777" w:rsidR="002B0F1B" w:rsidRPr="007B09D8" w:rsidRDefault="002B0F1B" w:rsidP="00C36CC6">
            <w:pPr>
              <w:pStyle w:val="TableText"/>
              <w:rPr>
                <w:szCs w:val="20"/>
              </w:rPr>
            </w:pPr>
            <w:r w:rsidRPr="007B09D8">
              <w:rPr>
                <w:szCs w:val="20"/>
              </w:rPr>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7019287C" w14:textId="77777777" w:rsidR="002B0F1B" w:rsidRPr="007B09D8" w:rsidRDefault="002B0F1B" w:rsidP="00C36CC6">
            <w:pPr>
              <w:pStyle w:val="TableText"/>
              <w:rPr>
                <w:rFonts w:eastAsia="Calibri"/>
                <w:szCs w:val="20"/>
              </w:rPr>
            </w:pPr>
            <w:r w:rsidRPr="007B09D8">
              <w:rPr>
                <w:rFonts w:eastAsia="Calibri"/>
                <w:szCs w:val="20"/>
              </w:rPr>
              <w:t>X</w:t>
            </w:r>
          </w:p>
        </w:tc>
        <w:tc>
          <w:tcPr>
            <w:tcW w:w="1546" w:type="dxa"/>
            <w:tcBorders>
              <w:top w:val="single" w:sz="6" w:space="0" w:color="000000"/>
              <w:left w:val="single" w:sz="6" w:space="0" w:color="000000"/>
              <w:bottom w:val="single" w:sz="6" w:space="0" w:color="000000"/>
              <w:right w:val="single" w:sz="6" w:space="0" w:color="000000"/>
            </w:tcBorders>
            <w:vAlign w:val="center"/>
          </w:tcPr>
          <w:p w14:paraId="10330846" w14:textId="77777777" w:rsidR="002B0F1B" w:rsidRPr="007B09D8" w:rsidRDefault="002B0F1B" w:rsidP="00C36CC6">
            <w:pPr>
              <w:pStyle w:val="TableText"/>
              <w:rPr>
                <w:vertAlign w:val="superscript"/>
              </w:rPr>
            </w:pPr>
            <w:r w:rsidRPr="007B09D8">
              <w:rPr>
                <w:rFonts w:eastAsia="Calibri"/>
                <w:szCs w:val="20"/>
              </w:rPr>
              <w:t>X</w:t>
            </w:r>
            <w:r w:rsidRPr="007B09D8">
              <w:rPr>
                <w:rFonts w:eastAsia="Calibri"/>
                <w:szCs w:val="20"/>
                <w:vertAlign w:val="superscript"/>
              </w:rPr>
              <w:t>13</w:t>
            </w:r>
          </w:p>
        </w:tc>
        <w:tc>
          <w:tcPr>
            <w:tcW w:w="1408" w:type="dxa"/>
            <w:tcBorders>
              <w:top w:val="single" w:sz="6" w:space="0" w:color="000000"/>
              <w:left w:val="single" w:sz="6" w:space="0" w:color="000000"/>
              <w:bottom w:val="single" w:sz="6" w:space="0" w:color="000000"/>
              <w:right w:val="single" w:sz="6" w:space="0" w:color="000000"/>
            </w:tcBorders>
            <w:vAlign w:val="center"/>
          </w:tcPr>
          <w:p w14:paraId="10D11636" w14:textId="77777777" w:rsidR="002B0F1B" w:rsidRPr="007B09D8" w:rsidRDefault="002B0F1B" w:rsidP="00C36CC6">
            <w:pPr>
              <w:pStyle w:val="TableText"/>
              <w:rPr>
                <w:rFonts w:eastAsia="Calibri"/>
                <w:szCs w:val="20"/>
              </w:rPr>
            </w:pPr>
          </w:p>
        </w:tc>
      </w:tr>
      <w:tr w:rsidR="002B0F1B" w:rsidRPr="007B09D8" w14:paraId="45732DD0"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04957EF8" w14:textId="77777777" w:rsidR="002B0F1B" w:rsidRPr="007B09D8" w:rsidRDefault="002B0F1B" w:rsidP="00C36CC6">
            <w:pPr>
              <w:pStyle w:val="TableTextLeft"/>
            </w:pPr>
            <w:r w:rsidRPr="007B09D8">
              <w:t xml:space="preserve">SAEs </w:t>
            </w:r>
          </w:p>
        </w:tc>
        <w:tc>
          <w:tcPr>
            <w:tcW w:w="1415" w:type="dxa"/>
            <w:tcBorders>
              <w:top w:val="single" w:sz="6" w:space="0" w:color="000000"/>
              <w:left w:val="single" w:sz="6" w:space="0" w:color="000000"/>
              <w:bottom w:val="single" w:sz="6" w:space="0" w:color="000000"/>
              <w:right w:val="single" w:sz="6" w:space="0" w:color="000000"/>
            </w:tcBorders>
            <w:vAlign w:val="center"/>
          </w:tcPr>
          <w:p w14:paraId="7634B0D4" w14:textId="77777777" w:rsidR="002B0F1B" w:rsidRPr="007B09D8" w:rsidRDefault="002B0F1B" w:rsidP="00C36CC6">
            <w:pPr>
              <w:pStyle w:val="TableText"/>
              <w:rPr>
                <w:szCs w:val="20"/>
              </w:rPr>
            </w:pPr>
            <w:r w:rsidRPr="007B09D8">
              <w:rPr>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5E70B2D2" w14:textId="77777777" w:rsidR="002B0F1B" w:rsidRPr="007B09D8" w:rsidRDefault="002B0F1B" w:rsidP="00C36CC6">
            <w:pPr>
              <w:pStyle w:val="TableText"/>
              <w:rPr>
                <w:szCs w:val="20"/>
              </w:rPr>
            </w:pPr>
            <w:r w:rsidRPr="007B09D8">
              <w:rPr>
                <w:szCs w:val="20"/>
              </w:rPr>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2488FB3B" w14:textId="77777777" w:rsidR="002B0F1B" w:rsidRPr="007B09D8" w:rsidRDefault="002B0F1B" w:rsidP="00C36CC6">
            <w:pPr>
              <w:pStyle w:val="TableText"/>
              <w:rPr>
                <w:rFonts w:eastAsia="Calibri"/>
                <w:szCs w:val="20"/>
              </w:rPr>
            </w:pPr>
            <w:r w:rsidRPr="007B09D8">
              <w:rPr>
                <w:rFonts w:eastAsia="Calibri"/>
                <w:szCs w:val="20"/>
              </w:rPr>
              <w:t>X</w:t>
            </w:r>
          </w:p>
        </w:tc>
        <w:tc>
          <w:tcPr>
            <w:tcW w:w="1546" w:type="dxa"/>
            <w:tcBorders>
              <w:top w:val="single" w:sz="6" w:space="0" w:color="000000"/>
              <w:left w:val="single" w:sz="6" w:space="0" w:color="000000"/>
              <w:bottom w:val="single" w:sz="6" w:space="0" w:color="000000"/>
              <w:right w:val="single" w:sz="6" w:space="0" w:color="000000"/>
            </w:tcBorders>
            <w:vAlign w:val="center"/>
          </w:tcPr>
          <w:p w14:paraId="361AD137" w14:textId="77777777" w:rsidR="002B0F1B" w:rsidRPr="007B09D8" w:rsidRDefault="002B0F1B" w:rsidP="00C36CC6">
            <w:pPr>
              <w:pStyle w:val="TableText"/>
              <w:rPr>
                <w:vertAlign w:val="superscript"/>
              </w:rPr>
            </w:pPr>
            <w:r w:rsidRPr="007B09D8">
              <w:rPr>
                <w:rFonts w:eastAsia="Calibri"/>
                <w:szCs w:val="20"/>
              </w:rPr>
              <w:t>X</w:t>
            </w:r>
            <w:r w:rsidRPr="007B09D8">
              <w:rPr>
                <w:rFonts w:eastAsia="Calibri"/>
                <w:szCs w:val="20"/>
                <w:vertAlign w:val="superscript"/>
              </w:rPr>
              <w:t>13</w:t>
            </w:r>
          </w:p>
        </w:tc>
        <w:tc>
          <w:tcPr>
            <w:tcW w:w="1408" w:type="dxa"/>
            <w:tcBorders>
              <w:top w:val="single" w:sz="6" w:space="0" w:color="000000"/>
              <w:left w:val="single" w:sz="6" w:space="0" w:color="000000"/>
              <w:bottom w:val="single" w:sz="6" w:space="0" w:color="000000"/>
              <w:right w:val="single" w:sz="6" w:space="0" w:color="000000"/>
            </w:tcBorders>
            <w:vAlign w:val="center"/>
          </w:tcPr>
          <w:p w14:paraId="3DD8E919" w14:textId="77777777" w:rsidR="002B0F1B" w:rsidRPr="007B09D8" w:rsidRDefault="002B0F1B" w:rsidP="00C36CC6">
            <w:pPr>
              <w:pStyle w:val="TableText"/>
              <w:rPr>
                <w:rFonts w:eastAsia="Calibri"/>
                <w:szCs w:val="20"/>
              </w:rPr>
            </w:pPr>
          </w:p>
        </w:tc>
      </w:tr>
      <w:tr w:rsidR="002B0F1B" w:rsidRPr="007B09D8" w14:paraId="7A2B1390"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6EB15435" w14:textId="77777777" w:rsidR="002B0F1B" w:rsidRPr="007B09D8" w:rsidRDefault="002B0F1B" w:rsidP="00C36CC6">
            <w:pPr>
              <w:pStyle w:val="TableTextLeft"/>
              <w:rPr>
                <w:rFonts w:eastAsia="Calibri"/>
              </w:rPr>
            </w:pPr>
            <w:r w:rsidRPr="007B09D8">
              <w:rPr>
                <w:rFonts w:eastAsia="Calibri"/>
              </w:rPr>
              <w:t xml:space="preserve">Surveillance Calls </w:t>
            </w:r>
            <w:r w:rsidRPr="007B09D8">
              <w:rPr>
                <w:rFonts w:eastAsia="Calibri"/>
                <w:vertAlign w:val="superscript"/>
              </w:rPr>
              <w:t>12</w:t>
            </w:r>
          </w:p>
        </w:tc>
        <w:tc>
          <w:tcPr>
            <w:tcW w:w="2586" w:type="dxa"/>
            <w:gridSpan w:val="2"/>
            <w:tcBorders>
              <w:top w:val="single" w:sz="6" w:space="0" w:color="000000"/>
              <w:left w:val="single" w:sz="6" w:space="0" w:color="000000"/>
              <w:bottom w:val="single" w:sz="6" w:space="0" w:color="000000"/>
              <w:right w:val="single" w:sz="6" w:space="0" w:color="000000"/>
            </w:tcBorders>
            <w:vAlign w:val="center"/>
          </w:tcPr>
          <w:p w14:paraId="23F878AE" w14:textId="77777777" w:rsidR="002B0F1B" w:rsidRPr="007B09D8" w:rsidRDefault="002B0F1B" w:rsidP="00C36CC6">
            <w:pPr>
              <w:pStyle w:val="TableText"/>
              <w:rPr>
                <w:rFonts w:eastAsia="Calibri"/>
                <w:szCs w:val="20"/>
              </w:rPr>
            </w:pPr>
            <w:r w:rsidRPr="007B09D8">
              <w:rPr>
                <w:rFonts w:eastAsia="Calibri"/>
                <w:szCs w:val="20"/>
              </w:rPr>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0E3A75C5" w14:textId="77777777" w:rsidR="002B0F1B" w:rsidRPr="007B09D8" w:rsidRDefault="002B0F1B" w:rsidP="00C36CC6">
            <w:pPr>
              <w:pStyle w:val="TableText"/>
              <w:rPr>
                <w:rFonts w:eastAsia="Calibri"/>
                <w:szCs w:val="20"/>
              </w:rPr>
            </w:pPr>
            <w:r w:rsidRPr="007B09D8">
              <w:rPr>
                <w:rFonts w:eastAsia="Calibri"/>
                <w:szCs w:val="20"/>
              </w:rPr>
              <w:t>X</w:t>
            </w:r>
          </w:p>
        </w:tc>
        <w:tc>
          <w:tcPr>
            <w:tcW w:w="1546" w:type="dxa"/>
            <w:tcBorders>
              <w:top w:val="single" w:sz="6" w:space="0" w:color="000000"/>
              <w:left w:val="single" w:sz="6" w:space="0" w:color="000000"/>
              <w:bottom w:val="single" w:sz="6" w:space="0" w:color="000000"/>
              <w:right w:val="single" w:sz="6" w:space="0" w:color="000000"/>
            </w:tcBorders>
            <w:vAlign w:val="center"/>
          </w:tcPr>
          <w:p w14:paraId="73C4AFC6" w14:textId="77777777" w:rsidR="002B0F1B" w:rsidRPr="007B09D8" w:rsidRDefault="002B0F1B" w:rsidP="00C36CC6">
            <w:pPr>
              <w:pStyle w:val="TableText"/>
              <w:rPr>
                <w:rFonts w:eastAsia="Calibri"/>
                <w:szCs w:val="20"/>
              </w:rPr>
            </w:pPr>
            <w:r w:rsidRPr="007B09D8">
              <w:rPr>
                <w:rFonts w:eastAsia="Calibri"/>
                <w:szCs w:val="20"/>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5B983B62" w14:textId="77777777" w:rsidR="002B0F1B" w:rsidRPr="007B09D8" w:rsidRDefault="002B0F1B" w:rsidP="00C36CC6">
            <w:pPr>
              <w:pStyle w:val="TableText"/>
              <w:rPr>
                <w:rFonts w:eastAsia="Calibri"/>
                <w:szCs w:val="20"/>
              </w:rPr>
            </w:pPr>
          </w:p>
        </w:tc>
      </w:tr>
      <w:tr w:rsidR="002B0F1B" w:rsidRPr="007B09D8" w14:paraId="1E649452"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619A69E8" w14:textId="77777777" w:rsidR="002B0F1B" w:rsidRPr="007B09D8" w:rsidRDefault="002B0F1B" w:rsidP="00C36CC6">
            <w:pPr>
              <w:pStyle w:val="TableTextLeft"/>
            </w:pPr>
            <w:r w:rsidRPr="007B09D8">
              <w:t>Documentation of vital status</w:t>
            </w:r>
          </w:p>
        </w:tc>
        <w:tc>
          <w:tcPr>
            <w:tcW w:w="1415" w:type="dxa"/>
            <w:tcBorders>
              <w:top w:val="single" w:sz="6" w:space="0" w:color="000000"/>
              <w:left w:val="single" w:sz="6" w:space="0" w:color="000000"/>
              <w:bottom w:val="single" w:sz="6" w:space="0" w:color="000000"/>
              <w:right w:val="single" w:sz="6" w:space="0" w:color="000000"/>
            </w:tcBorders>
            <w:vAlign w:val="center"/>
          </w:tcPr>
          <w:p w14:paraId="7BDDC703" w14:textId="77777777" w:rsidR="002B0F1B" w:rsidRPr="007B09D8" w:rsidRDefault="002B0F1B" w:rsidP="00C36CC6">
            <w:pPr>
              <w:pStyle w:val="TableText"/>
              <w:rPr>
                <w:szCs w:val="20"/>
              </w:rPr>
            </w:pPr>
            <w:r w:rsidRPr="007B09D8">
              <w:rPr>
                <w:szCs w:val="20"/>
              </w:rPr>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0628C736" w14:textId="77777777" w:rsidR="002B0F1B" w:rsidRPr="007B09D8" w:rsidRDefault="002B0F1B" w:rsidP="00C36CC6">
            <w:pPr>
              <w:pStyle w:val="TableText"/>
              <w:rPr>
                <w:szCs w:val="20"/>
              </w:rPr>
            </w:pPr>
          </w:p>
        </w:tc>
        <w:tc>
          <w:tcPr>
            <w:tcW w:w="985" w:type="dxa"/>
            <w:tcBorders>
              <w:top w:val="single" w:sz="6" w:space="0" w:color="000000"/>
              <w:left w:val="single" w:sz="6" w:space="0" w:color="000000"/>
              <w:bottom w:val="single" w:sz="6" w:space="0" w:color="000000"/>
              <w:right w:val="single" w:sz="6" w:space="0" w:color="000000"/>
            </w:tcBorders>
            <w:vAlign w:val="center"/>
          </w:tcPr>
          <w:p w14:paraId="656F25AD" w14:textId="77777777" w:rsidR="002B0F1B" w:rsidRPr="007B09D8" w:rsidRDefault="002B0F1B" w:rsidP="00C36CC6">
            <w:pPr>
              <w:pStyle w:val="TableText"/>
              <w:rPr>
                <w:szCs w:val="20"/>
              </w:rPr>
            </w:pPr>
          </w:p>
        </w:tc>
        <w:tc>
          <w:tcPr>
            <w:tcW w:w="1546" w:type="dxa"/>
            <w:tcBorders>
              <w:top w:val="single" w:sz="6" w:space="0" w:color="000000"/>
              <w:left w:val="single" w:sz="6" w:space="0" w:color="000000"/>
              <w:bottom w:val="single" w:sz="6" w:space="0" w:color="000000"/>
              <w:right w:val="single" w:sz="6" w:space="0" w:color="000000"/>
            </w:tcBorders>
            <w:vAlign w:val="center"/>
          </w:tcPr>
          <w:p w14:paraId="74054D7D" w14:textId="77777777" w:rsidR="002B0F1B" w:rsidRPr="007B09D8" w:rsidRDefault="002B0F1B" w:rsidP="00C36CC6">
            <w:pPr>
              <w:pStyle w:val="TableText"/>
              <w:rPr>
                <w:szCs w:val="20"/>
              </w:rPr>
            </w:pPr>
            <w:r w:rsidRPr="007B09D8">
              <w:rPr>
                <w:szCs w:val="20"/>
              </w:rPr>
              <w:t>X</w:t>
            </w:r>
          </w:p>
        </w:tc>
        <w:tc>
          <w:tcPr>
            <w:tcW w:w="1408" w:type="dxa"/>
            <w:tcBorders>
              <w:top w:val="single" w:sz="6" w:space="0" w:color="000000"/>
              <w:left w:val="single" w:sz="6" w:space="0" w:color="000000"/>
              <w:bottom w:val="single" w:sz="6" w:space="0" w:color="000000"/>
              <w:right w:val="single" w:sz="6" w:space="0" w:color="000000"/>
            </w:tcBorders>
            <w:vAlign w:val="center"/>
          </w:tcPr>
          <w:p w14:paraId="0A7AA6FB" w14:textId="77777777" w:rsidR="002B0F1B" w:rsidRPr="007B09D8" w:rsidRDefault="002B0F1B" w:rsidP="00C36CC6">
            <w:pPr>
              <w:pStyle w:val="TableText"/>
              <w:rPr>
                <w:rFonts w:eastAsia="Calibri"/>
                <w:szCs w:val="20"/>
              </w:rPr>
            </w:pPr>
            <w:r w:rsidRPr="007B09D8">
              <w:rPr>
                <w:rFonts w:eastAsia="Calibri"/>
                <w:szCs w:val="20"/>
              </w:rPr>
              <w:t>X</w:t>
            </w:r>
          </w:p>
        </w:tc>
      </w:tr>
      <w:tr w:rsidR="002B0F1B" w:rsidRPr="007B09D8" w14:paraId="722A94CF"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139ADCEB" w14:textId="77777777" w:rsidR="002B0F1B" w:rsidRPr="007B09D8" w:rsidRDefault="002B0F1B" w:rsidP="00C36CC6">
            <w:pPr>
              <w:pStyle w:val="TableTextLeft"/>
              <w:rPr>
                <w:rFonts w:eastAsia="Calibri"/>
              </w:rPr>
            </w:pPr>
            <w:r w:rsidRPr="007B09D8">
              <w:rPr>
                <w:rFonts w:eastAsia="Calibri"/>
              </w:rPr>
              <w:t>Assess proportion of each RBC component transfused (e.g., 25%, 50%, 75% or 100%).</w:t>
            </w:r>
          </w:p>
          <w:p w14:paraId="3719CFA8" w14:textId="77777777" w:rsidR="002B0F1B" w:rsidRPr="007B09D8" w:rsidRDefault="002B0F1B" w:rsidP="00C36CC6">
            <w:pPr>
              <w:pStyle w:val="TableTextLeft"/>
            </w:pPr>
            <w:r w:rsidRPr="007B09D8">
              <w:t>For pediatric patients, the volume of the intended transfusion should be recorded.</w:t>
            </w:r>
          </w:p>
        </w:tc>
        <w:tc>
          <w:tcPr>
            <w:tcW w:w="1415" w:type="dxa"/>
            <w:tcBorders>
              <w:top w:val="single" w:sz="6" w:space="0" w:color="000000"/>
              <w:left w:val="single" w:sz="6" w:space="0" w:color="000000"/>
              <w:bottom w:val="single" w:sz="6" w:space="0" w:color="000000"/>
              <w:right w:val="single" w:sz="6" w:space="0" w:color="000000"/>
            </w:tcBorders>
            <w:vAlign w:val="center"/>
          </w:tcPr>
          <w:p w14:paraId="744020EB" w14:textId="77777777" w:rsidR="002B0F1B" w:rsidRPr="007B09D8" w:rsidRDefault="002B0F1B" w:rsidP="00C36CC6">
            <w:pPr>
              <w:pStyle w:val="TableText"/>
            </w:pPr>
          </w:p>
        </w:tc>
        <w:tc>
          <w:tcPr>
            <w:tcW w:w="1171" w:type="dxa"/>
            <w:tcBorders>
              <w:top w:val="single" w:sz="6" w:space="0" w:color="000000"/>
              <w:left w:val="single" w:sz="6" w:space="0" w:color="000000"/>
              <w:bottom w:val="single" w:sz="6" w:space="0" w:color="000000"/>
              <w:right w:val="single" w:sz="6" w:space="0" w:color="000000"/>
            </w:tcBorders>
            <w:vAlign w:val="center"/>
          </w:tcPr>
          <w:p w14:paraId="5B3BBCBF" w14:textId="77777777" w:rsidR="002B0F1B" w:rsidRPr="007B09D8" w:rsidRDefault="002B0F1B" w:rsidP="00C36CC6">
            <w:pPr>
              <w:pStyle w:val="TableText"/>
            </w:pPr>
            <w:r w:rsidRPr="007B09D8">
              <w:t>X</w:t>
            </w:r>
          </w:p>
        </w:tc>
        <w:tc>
          <w:tcPr>
            <w:tcW w:w="985" w:type="dxa"/>
            <w:tcBorders>
              <w:top w:val="single" w:sz="6" w:space="0" w:color="000000"/>
              <w:left w:val="single" w:sz="6" w:space="0" w:color="000000"/>
              <w:bottom w:val="single" w:sz="6" w:space="0" w:color="000000"/>
              <w:right w:val="single" w:sz="6" w:space="0" w:color="000000"/>
            </w:tcBorders>
            <w:vAlign w:val="center"/>
          </w:tcPr>
          <w:p w14:paraId="1DC4E273" w14:textId="77777777" w:rsidR="002B0F1B" w:rsidRPr="007B09D8" w:rsidRDefault="002B0F1B" w:rsidP="00C36CC6">
            <w:pPr>
              <w:pStyle w:val="TableText"/>
            </w:pPr>
          </w:p>
        </w:tc>
        <w:tc>
          <w:tcPr>
            <w:tcW w:w="1546" w:type="dxa"/>
            <w:tcBorders>
              <w:top w:val="single" w:sz="6" w:space="0" w:color="000000"/>
              <w:left w:val="single" w:sz="6" w:space="0" w:color="000000"/>
              <w:bottom w:val="single" w:sz="6" w:space="0" w:color="000000"/>
              <w:right w:val="single" w:sz="6" w:space="0" w:color="000000"/>
            </w:tcBorders>
            <w:vAlign w:val="center"/>
          </w:tcPr>
          <w:p w14:paraId="2530214F" w14:textId="77777777" w:rsidR="002B0F1B" w:rsidRPr="007B09D8" w:rsidRDefault="002B0F1B" w:rsidP="00C36CC6">
            <w:pPr>
              <w:pStyle w:val="TableText"/>
            </w:pPr>
          </w:p>
        </w:tc>
        <w:tc>
          <w:tcPr>
            <w:tcW w:w="1408" w:type="dxa"/>
            <w:tcBorders>
              <w:top w:val="single" w:sz="6" w:space="0" w:color="000000"/>
              <w:left w:val="single" w:sz="6" w:space="0" w:color="000000"/>
              <w:bottom w:val="single" w:sz="6" w:space="0" w:color="000000"/>
              <w:right w:val="single" w:sz="6" w:space="0" w:color="000000"/>
            </w:tcBorders>
            <w:vAlign w:val="center"/>
          </w:tcPr>
          <w:p w14:paraId="427A8AC6" w14:textId="77777777" w:rsidR="002B0F1B" w:rsidRPr="007B09D8" w:rsidRDefault="002B0F1B" w:rsidP="00C36CC6">
            <w:pPr>
              <w:pStyle w:val="TableText"/>
              <w:rPr>
                <w:rFonts w:eastAsia="Calibri"/>
              </w:rPr>
            </w:pPr>
          </w:p>
        </w:tc>
      </w:tr>
      <w:tr w:rsidR="002B0F1B" w:rsidRPr="007B09D8" w14:paraId="09D6972F" w14:textId="77777777" w:rsidTr="00C36CC6">
        <w:trPr>
          <w:jc w:val="center"/>
        </w:trPr>
        <w:tc>
          <w:tcPr>
            <w:tcW w:w="3107" w:type="dxa"/>
            <w:tcBorders>
              <w:top w:val="single" w:sz="6" w:space="0" w:color="000000"/>
              <w:left w:val="single" w:sz="6" w:space="0" w:color="000000"/>
              <w:bottom w:val="single" w:sz="6" w:space="0" w:color="000000"/>
              <w:right w:val="single" w:sz="6" w:space="0" w:color="000000"/>
            </w:tcBorders>
          </w:tcPr>
          <w:p w14:paraId="669BC2F5" w14:textId="77777777" w:rsidR="002B0F1B" w:rsidRPr="007B09D8" w:rsidRDefault="002B0F1B" w:rsidP="00C36CC6">
            <w:pPr>
              <w:pStyle w:val="TableTextLeft"/>
            </w:pPr>
            <w:r w:rsidRPr="007B09D8">
              <w:t xml:space="preserve">Assessment of bleeding </w:t>
            </w:r>
            <w:r w:rsidRPr="007B09D8">
              <w:rPr>
                <w:rFonts w:eastAsia="Calibri"/>
              </w:rPr>
              <w:t>status</w:t>
            </w:r>
            <w:r w:rsidRPr="007B09D8">
              <w:rPr>
                <w:rFonts w:eastAsia="Calibri"/>
                <w:vertAlign w:val="superscript"/>
              </w:rPr>
              <w:t>6</w:t>
            </w:r>
          </w:p>
        </w:tc>
        <w:tc>
          <w:tcPr>
            <w:tcW w:w="1415" w:type="dxa"/>
            <w:tcBorders>
              <w:top w:val="single" w:sz="6" w:space="0" w:color="000000"/>
              <w:left w:val="single" w:sz="6" w:space="0" w:color="000000"/>
              <w:bottom w:val="single" w:sz="6" w:space="0" w:color="000000"/>
              <w:right w:val="single" w:sz="6" w:space="0" w:color="000000"/>
            </w:tcBorders>
            <w:vAlign w:val="center"/>
          </w:tcPr>
          <w:p w14:paraId="0093114A" w14:textId="77777777" w:rsidR="002B0F1B" w:rsidRPr="007B09D8" w:rsidRDefault="002B0F1B" w:rsidP="00C36CC6">
            <w:pPr>
              <w:pStyle w:val="TableText"/>
            </w:pPr>
            <w:r w:rsidRPr="007B09D8">
              <w:t>X</w:t>
            </w:r>
          </w:p>
        </w:tc>
        <w:tc>
          <w:tcPr>
            <w:tcW w:w="1171" w:type="dxa"/>
            <w:tcBorders>
              <w:top w:val="single" w:sz="6" w:space="0" w:color="000000"/>
              <w:left w:val="single" w:sz="6" w:space="0" w:color="000000"/>
              <w:bottom w:val="single" w:sz="6" w:space="0" w:color="000000"/>
              <w:right w:val="single" w:sz="6" w:space="0" w:color="000000"/>
            </w:tcBorders>
            <w:vAlign w:val="center"/>
          </w:tcPr>
          <w:p w14:paraId="250B0705" w14:textId="77777777" w:rsidR="002B0F1B" w:rsidRPr="007B09D8" w:rsidRDefault="002B0F1B" w:rsidP="00C36CC6">
            <w:pPr>
              <w:pStyle w:val="TableText"/>
            </w:pPr>
          </w:p>
        </w:tc>
        <w:tc>
          <w:tcPr>
            <w:tcW w:w="985" w:type="dxa"/>
            <w:tcBorders>
              <w:top w:val="single" w:sz="6" w:space="0" w:color="000000"/>
              <w:left w:val="single" w:sz="6" w:space="0" w:color="000000"/>
              <w:bottom w:val="single" w:sz="6" w:space="0" w:color="000000"/>
              <w:right w:val="single" w:sz="6" w:space="0" w:color="000000"/>
            </w:tcBorders>
            <w:vAlign w:val="center"/>
          </w:tcPr>
          <w:p w14:paraId="33191B11" w14:textId="77777777" w:rsidR="002B0F1B" w:rsidRPr="007B09D8" w:rsidRDefault="002B0F1B" w:rsidP="00C36CC6">
            <w:pPr>
              <w:pStyle w:val="TableText"/>
            </w:pPr>
          </w:p>
        </w:tc>
        <w:tc>
          <w:tcPr>
            <w:tcW w:w="1546" w:type="dxa"/>
            <w:tcBorders>
              <w:top w:val="single" w:sz="6" w:space="0" w:color="000000"/>
              <w:left w:val="single" w:sz="6" w:space="0" w:color="000000"/>
              <w:bottom w:val="single" w:sz="6" w:space="0" w:color="000000"/>
              <w:right w:val="single" w:sz="6" w:space="0" w:color="000000"/>
            </w:tcBorders>
            <w:vAlign w:val="center"/>
          </w:tcPr>
          <w:p w14:paraId="65302EC2" w14:textId="77777777" w:rsidR="002B0F1B" w:rsidRPr="007B09D8" w:rsidRDefault="002B0F1B" w:rsidP="00C36CC6">
            <w:pPr>
              <w:pStyle w:val="TableText"/>
            </w:pPr>
          </w:p>
        </w:tc>
        <w:tc>
          <w:tcPr>
            <w:tcW w:w="1408" w:type="dxa"/>
            <w:tcBorders>
              <w:top w:val="single" w:sz="6" w:space="0" w:color="000000"/>
              <w:left w:val="single" w:sz="6" w:space="0" w:color="000000"/>
              <w:bottom w:val="single" w:sz="6" w:space="0" w:color="000000"/>
              <w:right w:val="single" w:sz="6" w:space="0" w:color="000000"/>
            </w:tcBorders>
            <w:vAlign w:val="center"/>
          </w:tcPr>
          <w:p w14:paraId="047EA6ED" w14:textId="77777777" w:rsidR="002B0F1B" w:rsidRPr="007B09D8" w:rsidRDefault="002B0F1B" w:rsidP="00C36CC6">
            <w:pPr>
              <w:pStyle w:val="TableText"/>
              <w:rPr>
                <w:rFonts w:eastAsia="Calibri"/>
              </w:rPr>
            </w:pPr>
          </w:p>
        </w:tc>
      </w:tr>
    </w:tbl>
    <w:p w14:paraId="0872ABB0" w14:textId="77777777" w:rsidR="002B0F1B" w:rsidRPr="007B09D8" w:rsidRDefault="002B0F1B" w:rsidP="002B0F1B">
      <w:pPr>
        <w:rPr>
          <w:rFonts w:cs="Times New Roman"/>
          <w:b/>
          <w:bCs/>
        </w:rPr>
      </w:pPr>
    </w:p>
    <w:p w14:paraId="32312899" w14:textId="77777777" w:rsidR="002B0F1B" w:rsidRPr="007B09D8" w:rsidRDefault="002B0F1B" w:rsidP="002B0F1B">
      <w:pPr>
        <w:pStyle w:val="Heading2a"/>
        <w:rPr>
          <w:rFonts w:eastAsia="Times New Roman"/>
          <w:i/>
          <w:iCs/>
        </w:rPr>
      </w:pPr>
      <w:r w:rsidRPr="007B09D8">
        <w:t>Table 2:</w:t>
      </w:r>
      <w:r w:rsidRPr="007B09D8">
        <w:rPr>
          <w:rFonts w:eastAsia="Times New Roman"/>
        </w:rPr>
        <w:t xml:space="preserve"> Exclusion Criteria</w:t>
      </w:r>
    </w:p>
    <w:tbl>
      <w:tblPr>
        <w:tblStyle w:val="TableGrid"/>
        <w:tblW w:w="0" w:type="auto"/>
        <w:tblLook w:val="04A0" w:firstRow="1" w:lastRow="0" w:firstColumn="1" w:lastColumn="0" w:noHBand="0" w:noVBand="1"/>
      </w:tblPr>
      <w:tblGrid>
        <w:gridCol w:w="9350"/>
      </w:tblGrid>
      <w:tr w:rsidR="002B0F1B" w:rsidRPr="007B09D8" w14:paraId="07BAEC53" w14:textId="77777777" w:rsidTr="00C36CC6">
        <w:tc>
          <w:tcPr>
            <w:tcW w:w="12950" w:type="dxa"/>
          </w:tcPr>
          <w:p w14:paraId="22EF4F20" w14:textId="77777777" w:rsidR="002B0F1B" w:rsidRPr="007B09D8" w:rsidRDefault="002B0F1B" w:rsidP="00C36CC6">
            <w:r w:rsidRPr="007B09D8">
              <w:t>Patients will be excluded if they meet any of the following criteria</w:t>
            </w:r>
            <w:r w:rsidRPr="007B09D8">
              <w:rPr>
                <w:bCs/>
              </w:rPr>
              <w:t xml:space="preserve"> prior to randomization</w:t>
            </w:r>
            <w:r w:rsidRPr="007B09D8">
              <w:t>:</w:t>
            </w:r>
          </w:p>
          <w:p w14:paraId="51BB346C" w14:textId="77777777" w:rsidR="002B0F1B" w:rsidRPr="007B09D8" w:rsidRDefault="002B0F1B" w:rsidP="002B0F1B">
            <w:pPr>
              <w:pStyle w:val="ListParagraph"/>
              <w:numPr>
                <w:ilvl w:val="3"/>
                <w:numId w:val="1"/>
              </w:numPr>
              <w:spacing w:line="480" w:lineRule="auto"/>
              <w:ind w:left="330"/>
            </w:pPr>
            <w:r w:rsidRPr="007B09D8">
              <w:t>Confirmed positive baseline serum/plasma antibody specific to amustaline/GSH RBCs</w:t>
            </w:r>
            <w:r w:rsidRPr="007B09D8" w:rsidDel="00A743FC">
              <w:t xml:space="preserve"> </w:t>
            </w:r>
            <w:r w:rsidRPr="007B09D8">
              <w:t>as determined by amustaline/GSH RBC</w:t>
            </w:r>
            <w:r w:rsidRPr="007B09D8" w:rsidDel="00A743FC">
              <w:t xml:space="preserve"> </w:t>
            </w:r>
            <w:r w:rsidRPr="007B09D8">
              <w:t>antibody screening panel prior to receiving the first study transfusion.</w:t>
            </w:r>
          </w:p>
          <w:p w14:paraId="15D6FD1C" w14:textId="77777777" w:rsidR="002B0F1B" w:rsidRPr="007B09D8" w:rsidRDefault="002B0F1B" w:rsidP="002B0F1B">
            <w:pPr>
              <w:pStyle w:val="ListParagraph"/>
              <w:numPr>
                <w:ilvl w:val="3"/>
                <w:numId w:val="1"/>
              </w:numPr>
              <w:spacing w:line="480" w:lineRule="auto"/>
              <w:ind w:left="330"/>
            </w:pPr>
            <w:r w:rsidRPr="007B09D8">
              <w:t>Pregnant or breast feeding.</w:t>
            </w:r>
          </w:p>
          <w:p w14:paraId="73B8E7E5" w14:textId="77777777" w:rsidR="002B0F1B" w:rsidRPr="007B09D8" w:rsidRDefault="002B0F1B" w:rsidP="002B0F1B">
            <w:pPr>
              <w:pStyle w:val="ListParagraph"/>
              <w:numPr>
                <w:ilvl w:val="3"/>
                <w:numId w:val="1"/>
              </w:numPr>
              <w:spacing w:line="480" w:lineRule="auto"/>
              <w:ind w:left="330"/>
            </w:pPr>
            <w:r w:rsidRPr="007B09D8">
              <w:t>Presence of an RBC warm autoantibody with evidence of active hemolysis.</w:t>
            </w:r>
          </w:p>
          <w:p w14:paraId="17A53C66" w14:textId="77777777" w:rsidR="002B0F1B" w:rsidRPr="007B09D8" w:rsidRDefault="002B0F1B" w:rsidP="002B0F1B">
            <w:pPr>
              <w:pStyle w:val="ListParagraph"/>
              <w:numPr>
                <w:ilvl w:val="3"/>
                <w:numId w:val="1"/>
              </w:numPr>
              <w:spacing w:line="480" w:lineRule="auto"/>
              <w:ind w:left="330"/>
            </w:pPr>
            <w:r w:rsidRPr="007B09D8">
              <w:t>Positive DAT as defined below:</w:t>
            </w:r>
          </w:p>
          <w:p w14:paraId="390AC070" w14:textId="77777777" w:rsidR="002B0F1B" w:rsidRPr="007B09D8" w:rsidRDefault="002B0F1B" w:rsidP="002B0F1B">
            <w:pPr>
              <w:pStyle w:val="ListParagraph"/>
              <w:numPr>
                <w:ilvl w:val="0"/>
                <w:numId w:val="3"/>
              </w:numPr>
              <w:spacing w:line="480" w:lineRule="auto"/>
            </w:pPr>
            <w:r w:rsidRPr="007B09D8">
              <w:lastRenderedPageBreak/>
              <w:t>A polyspecific DAT reaction strength &gt; 2+, or</w:t>
            </w:r>
          </w:p>
          <w:p w14:paraId="6C85690B" w14:textId="77777777" w:rsidR="002B0F1B" w:rsidRPr="007B09D8" w:rsidRDefault="002B0F1B" w:rsidP="002B0F1B">
            <w:pPr>
              <w:pStyle w:val="ListParagraph"/>
              <w:numPr>
                <w:ilvl w:val="0"/>
                <w:numId w:val="3"/>
              </w:numPr>
              <w:spacing w:line="480" w:lineRule="auto"/>
            </w:pPr>
            <w:r w:rsidRPr="007B09D8">
              <w:t>A polyspecific DAT (any strength) in conjunction with pan-reactivity with a commercial IAT antibody screening panel that precludes the identification of underlying alloantibodies or indicates the presence of autoantibody.</w:t>
            </w:r>
          </w:p>
          <w:p w14:paraId="551BBB76" w14:textId="77777777" w:rsidR="002B0F1B" w:rsidRPr="007B09D8" w:rsidRDefault="002B0F1B" w:rsidP="002B0F1B">
            <w:pPr>
              <w:pStyle w:val="ListParagraph"/>
              <w:numPr>
                <w:ilvl w:val="3"/>
                <w:numId w:val="1"/>
              </w:numPr>
              <w:spacing w:line="480" w:lineRule="auto"/>
              <w:ind w:left="330"/>
            </w:pPr>
            <w:r w:rsidRPr="007B09D8">
              <w:t>Have received investigational products, including investigational blood products, pharmacologic agents or imaging materials, within 28 days prior to randomization. Prior receipt of conventional blood products tested with an investigational NAT test is not considered ground for exclusion.</w:t>
            </w:r>
          </w:p>
          <w:p w14:paraId="23F3906F" w14:textId="77777777" w:rsidR="002B0F1B" w:rsidRPr="007B09D8" w:rsidRDefault="002B0F1B" w:rsidP="002B0F1B">
            <w:pPr>
              <w:pStyle w:val="ListParagraph"/>
              <w:numPr>
                <w:ilvl w:val="3"/>
                <w:numId w:val="1"/>
              </w:numPr>
              <w:spacing w:line="480" w:lineRule="auto"/>
              <w:ind w:left="330"/>
            </w:pPr>
            <w:r w:rsidRPr="007B09D8">
              <w:t>Patients presenting with or expected to have massive hemorrhage (≥10 RBC units within 24 hours) or expected to require massive transfusion protocols. Planned RCE does not apply.</w:t>
            </w:r>
          </w:p>
          <w:p w14:paraId="51F8C1BF" w14:textId="77777777" w:rsidR="002B0F1B" w:rsidRPr="007B09D8" w:rsidRDefault="002B0F1B" w:rsidP="002B0F1B">
            <w:pPr>
              <w:pStyle w:val="ListParagraph"/>
              <w:numPr>
                <w:ilvl w:val="3"/>
                <w:numId w:val="1"/>
              </w:numPr>
              <w:spacing w:line="480" w:lineRule="auto"/>
              <w:ind w:left="330"/>
            </w:pPr>
            <w:r w:rsidRPr="007B09D8">
              <w:t>Patients who require neonatal transfusions and intrauterine transfusions.</w:t>
            </w:r>
          </w:p>
          <w:p w14:paraId="4F2DAAE8" w14:textId="77777777" w:rsidR="002B0F1B" w:rsidRPr="007B09D8" w:rsidRDefault="002B0F1B" w:rsidP="002B0F1B">
            <w:pPr>
              <w:pStyle w:val="ListParagraph"/>
              <w:numPr>
                <w:ilvl w:val="3"/>
                <w:numId w:val="1"/>
              </w:numPr>
              <w:spacing w:line="480" w:lineRule="auto"/>
              <w:ind w:left="330"/>
            </w:pPr>
            <w:r w:rsidRPr="007B09D8">
              <w:t>Pre-existing antibody to RBC antigens that may make the provision of compatible study RBC components difficult.</w:t>
            </w:r>
          </w:p>
          <w:p w14:paraId="26025D0D" w14:textId="77777777" w:rsidR="002B0F1B" w:rsidRPr="007B09D8" w:rsidRDefault="002B0F1B" w:rsidP="002B0F1B">
            <w:pPr>
              <w:pStyle w:val="ListParagraph"/>
              <w:numPr>
                <w:ilvl w:val="3"/>
                <w:numId w:val="1"/>
              </w:numPr>
              <w:spacing w:line="480" w:lineRule="auto"/>
              <w:ind w:left="330"/>
            </w:pPr>
            <w:r w:rsidRPr="007B09D8">
              <w:t>History of transfusion reactions requiring washed RBCs, volume reduced RBC, or RBCs with additive solution removed.</w:t>
            </w:r>
          </w:p>
          <w:p w14:paraId="43B87C3C" w14:textId="77777777" w:rsidR="002B0F1B" w:rsidRPr="007B09D8" w:rsidRDefault="002B0F1B" w:rsidP="002B0F1B">
            <w:pPr>
              <w:pStyle w:val="ListParagraph"/>
              <w:numPr>
                <w:ilvl w:val="3"/>
                <w:numId w:val="1"/>
              </w:numPr>
              <w:spacing w:line="480" w:lineRule="auto"/>
              <w:ind w:left="330"/>
            </w:pPr>
            <w:r w:rsidRPr="007B09D8">
              <w:t>Patients with documented IgA deficiency or a history of severe allergic reactions to blood products.</w:t>
            </w:r>
          </w:p>
          <w:p w14:paraId="1782F2B3" w14:textId="77777777" w:rsidR="002B0F1B" w:rsidRPr="007B09D8" w:rsidRDefault="002B0F1B" w:rsidP="002B0F1B">
            <w:pPr>
              <w:pStyle w:val="ListParagraph"/>
              <w:numPr>
                <w:ilvl w:val="3"/>
                <w:numId w:val="1"/>
              </w:numPr>
              <w:spacing w:line="480" w:lineRule="auto"/>
              <w:ind w:left="330"/>
            </w:pPr>
            <w:r w:rsidRPr="007B09D8">
              <w:t>For SCD patients to be enrolled into the 28-day +6-month repeated RCE arm of the study:</w:t>
            </w:r>
          </w:p>
          <w:p w14:paraId="15A57BE5" w14:textId="77777777" w:rsidR="002B0F1B" w:rsidRPr="007B09D8" w:rsidRDefault="002B0F1B" w:rsidP="002B0F1B">
            <w:pPr>
              <w:pStyle w:val="ListParagraph"/>
              <w:numPr>
                <w:ilvl w:val="0"/>
                <w:numId w:val="2"/>
              </w:numPr>
              <w:spacing w:line="480" w:lineRule="auto"/>
            </w:pPr>
            <w:r w:rsidRPr="007B09D8">
              <w:t>A history of acute chest syndrome in the last 6 months, or hyperhemolysis syndrome at any time.</w:t>
            </w:r>
          </w:p>
          <w:p w14:paraId="088EC2E2" w14:textId="77777777" w:rsidR="002B0F1B" w:rsidRPr="007B09D8" w:rsidRDefault="002B0F1B" w:rsidP="002B0F1B">
            <w:pPr>
              <w:pStyle w:val="ListParagraph"/>
              <w:numPr>
                <w:ilvl w:val="0"/>
                <w:numId w:val="2"/>
              </w:numPr>
              <w:spacing w:line="480" w:lineRule="auto"/>
            </w:pPr>
            <w:r w:rsidRPr="007B09D8">
              <w:t>Clinical evidence of splenic hyperfunction or splenic enlargement: ≥18 cm in longitudinal diameter (diagnosed at the Investigator’s discretion according to the data available, with ultrasound data being preferable).</w:t>
            </w:r>
          </w:p>
          <w:p w14:paraId="67D6FE8A" w14:textId="77777777" w:rsidR="002B0F1B" w:rsidRPr="007B09D8" w:rsidRDefault="002B0F1B" w:rsidP="002B0F1B">
            <w:pPr>
              <w:pStyle w:val="ListParagraph"/>
              <w:numPr>
                <w:ilvl w:val="0"/>
                <w:numId w:val="2"/>
              </w:numPr>
              <w:spacing w:line="480" w:lineRule="auto"/>
            </w:pPr>
            <w:r w:rsidRPr="007B09D8">
              <w:t>Currently receiving chemotherapy for treatment of cancer. Hydroxyurea for SCD is acceptable if subject has been on stable therapy for 3 months and no changes to dosage are planned.</w:t>
            </w:r>
          </w:p>
          <w:p w14:paraId="3DEFD4F1" w14:textId="77777777" w:rsidR="002B0F1B" w:rsidRPr="007B09D8" w:rsidRDefault="002B0F1B" w:rsidP="002B0F1B">
            <w:pPr>
              <w:pStyle w:val="ListParagraph"/>
              <w:numPr>
                <w:ilvl w:val="0"/>
                <w:numId w:val="2"/>
              </w:numPr>
              <w:spacing w:line="480" w:lineRule="auto"/>
            </w:pPr>
            <w:r w:rsidRPr="007B09D8">
              <w:t>Subject is in active treatment with renal dialysis.</w:t>
            </w:r>
          </w:p>
          <w:p w14:paraId="34C8EF1A" w14:textId="77777777" w:rsidR="002B0F1B" w:rsidRPr="007B09D8" w:rsidRDefault="002B0F1B" w:rsidP="002B0F1B">
            <w:pPr>
              <w:pStyle w:val="ListParagraph"/>
              <w:numPr>
                <w:ilvl w:val="0"/>
                <w:numId w:val="2"/>
              </w:numPr>
              <w:spacing w:line="480" w:lineRule="auto"/>
            </w:pPr>
            <w:r w:rsidRPr="007B09D8">
              <w:lastRenderedPageBreak/>
              <w:t>Any subject for whom a substantial change in the number of RBC components transfused is anticipated due to anticipated splenectomy, bone marrow transplant, surgery or other change in clinical status.</w:t>
            </w:r>
          </w:p>
          <w:p w14:paraId="1B899236" w14:textId="77777777" w:rsidR="002B0F1B" w:rsidRPr="007B09D8" w:rsidRDefault="002B0F1B" w:rsidP="002B0F1B">
            <w:pPr>
              <w:pStyle w:val="ListParagraph"/>
              <w:numPr>
                <w:ilvl w:val="0"/>
                <w:numId w:val="2"/>
              </w:numPr>
              <w:spacing w:line="480" w:lineRule="auto"/>
              <w:rPr>
                <w:rFonts w:eastAsia="Times New Roman" w:cs="Times New Roman"/>
                <w:kern w:val="0"/>
                <w:szCs w:val="24"/>
                <w14:ligatures w14:val="none"/>
              </w:rPr>
            </w:pPr>
            <w:r w:rsidRPr="007B09D8">
              <w:t>Subject with known G6PD deficiency or requiring treatment with medications that are known to adversely affect RBC viability or bone marrow function.</w:t>
            </w:r>
          </w:p>
        </w:tc>
      </w:tr>
    </w:tbl>
    <w:p w14:paraId="2908E34D" w14:textId="77777777" w:rsidR="002B0F1B" w:rsidRPr="007B09D8" w:rsidRDefault="002B0F1B" w:rsidP="002B0F1B">
      <w:pPr>
        <w:rPr>
          <w:rFonts w:cs="Times New Roman"/>
          <w:b/>
          <w:bCs/>
        </w:rPr>
      </w:pPr>
    </w:p>
    <w:bookmarkEnd w:id="0"/>
    <w:p w14:paraId="5504CED2" w14:textId="77777777" w:rsidR="002B0F1B" w:rsidRPr="007B09D8" w:rsidRDefault="002B0F1B" w:rsidP="002B0F1B">
      <w:pPr>
        <w:pStyle w:val="Heading2a"/>
      </w:pPr>
      <w:r w:rsidRPr="007B09D8">
        <w:t>Table 3: Laboratory Assessments for SCD Subjects Enrolled in the RCE Arm</w:t>
      </w:r>
    </w:p>
    <w:tbl>
      <w:tblPr>
        <w:tblStyle w:val="TableGrid"/>
        <w:tblW w:w="0" w:type="auto"/>
        <w:tblLook w:val="04A0" w:firstRow="1" w:lastRow="0" w:firstColumn="1" w:lastColumn="0" w:noHBand="0" w:noVBand="1"/>
      </w:tblPr>
      <w:tblGrid>
        <w:gridCol w:w="9350"/>
      </w:tblGrid>
      <w:tr w:rsidR="002B0F1B" w:rsidRPr="007B09D8" w14:paraId="6C2D4DD8" w14:textId="77777777" w:rsidTr="00C36CC6">
        <w:tc>
          <w:tcPr>
            <w:tcW w:w="9350" w:type="dxa"/>
          </w:tcPr>
          <w:p w14:paraId="347F43ED" w14:textId="77777777" w:rsidR="002B0F1B" w:rsidRPr="007B09D8" w:rsidRDefault="002B0F1B" w:rsidP="002B0F1B">
            <w:pPr>
              <w:pStyle w:val="ListParagraph"/>
              <w:numPr>
                <w:ilvl w:val="0"/>
                <w:numId w:val="4"/>
              </w:numPr>
            </w:pPr>
            <w:r w:rsidRPr="007B09D8">
              <w:t>Hematology panel</w:t>
            </w:r>
          </w:p>
          <w:p w14:paraId="115DBBAF" w14:textId="77777777" w:rsidR="002B0F1B" w:rsidRPr="007B09D8" w:rsidRDefault="002B0F1B" w:rsidP="002B0F1B">
            <w:pPr>
              <w:pStyle w:val="ListParagraph"/>
              <w:numPr>
                <w:ilvl w:val="0"/>
                <w:numId w:val="4"/>
              </w:numPr>
            </w:pPr>
            <w:r w:rsidRPr="007B09D8">
              <w:t>Reticulocytes</w:t>
            </w:r>
          </w:p>
          <w:p w14:paraId="53F5E138" w14:textId="77777777" w:rsidR="002B0F1B" w:rsidRPr="007B09D8" w:rsidRDefault="002B0F1B" w:rsidP="002B0F1B">
            <w:pPr>
              <w:pStyle w:val="ListParagraph"/>
              <w:numPr>
                <w:ilvl w:val="0"/>
                <w:numId w:val="4"/>
              </w:numPr>
            </w:pPr>
            <w:r w:rsidRPr="007B09D8">
              <w:t>Proportion (%) of HbS, HbA, and HbF</w:t>
            </w:r>
          </w:p>
          <w:p w14:paraId="1ACE0779" w14:textId="77777777" w:rsidR="002B0F1B" w:rsidRPr="007B09D8" w:rsidRDefault="002B0F1B" w:rsidP="002B0F1B">
            <w:pPr>
              <w:pStyle w:val="ListParagraph"/>
              <w:numPr>
                <w:ilvl w:val="0"/>
                <w:numId w:val="4"/>
              </w:numPr>
            </w:pPr>
            <w:r w:rsidRPr="007B09D8">
              <w:t>Coagulation panel</w:t>
            </w:r>
          </w:p>
          <w:p w14:paraId="6D017689" w14:textId="77777777" w:rsidR="002B0F1B" w:rsidRPr="007B09D8" w:rsidRDefault="002B0F1B" w:rsidP="002B0F1B">
            <w:pPr>
              <w:pStyle w:val="ListParagraph"/>
              <w:numPr>
                <w:ilvl w:val="0"/>
                <w:numId w:val="4"/>
              </w:numPr>
            </w:pPr>
            <w:r w:rsidRPr="007B09D8">
              <w:t>Plasma frozen sample for determination of S-300 and GSH concentrations</w:t>
            </w:r>
          </w:p>
        </w:tc>
      </w:tr>
    </w:tbl>
    <w:p w14:paraId="21103CD9" w14:textId="77777777" w:rsidR="002B0F1B" w:rsidRPr="007B09D8" w:rsidRDefault="002B0F1B" w:rsidP="002B0F1B"/>
    <w:p w14:paraId="06FB2189" w14:textId="77777777" w:rsidR="002B0F1B" w:rsidRPr="007B09D8" w:rsidRDefault="002B0F1B" w:rsidP="002B0F1B"/>
    <w:p w14:paraId="2FD1BAE2"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417E0"/>
    <w:multiLevelType w:val="hybridMultilevel"/>
    <w:tmpl w:val="205E3F6A"/>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 w15:restartNumberingAfterBreak="0">
    <w:nsid w:val="09B76E8F"/>
    <w:multiLevelType w:val="hybridMultilevel"/>
    <w:tmpl w:val="62721F48"/>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2" w15:restartNumberingAfterBreak="0">
    <w:nsid w:val="25CA660B"/>
    <w:multiLevelType w:val="hybridMultilevel"/>
    <w:tmpl w:val="51AC8CB6"/>
    <w:lvl w:ilvl="0" w:tplc="94F87E6A">
      <w:start w:val="1"/>
      <w:numFmt w:val="decimal"/>
      <w:suff w:val="space"/>
      <w:lvlText w:val="%1."/>
      <w:lvlJc w:val="left"/>
      <w:pPr>
        <w:ind w:left="360" w:hanging="360"/>
      </w:pPr>
      <w:rPr>
        <w:rFonts w:ascii="Times New Roman" w:hAnsi="Times New Roman" w:cs="Times New Roman" w:hint="default"/>
        <w:b w:val="0"/>
        <w:i w:val="0"/>
        <w:sz w:val="20"/>
        <w:vertAlign w:val="superscrip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20823C9"/>
    <w:multiLevelType w:val="hybridMultilevel"/>
    <w:tmpl w:val="1ED0576E"/>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 w15:restartNumberingAfterBreak="0">
    <w:nsid w:val="4DFA28A6"/>
    <w:multiLevelType w:val="hybridMultilevel"/>
    <w:tmpl w:val="8182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856B38"/>
    <w:multiLevelType w:val="hybridMultilevel"/>
    <w:tmpl w:val="1C483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5375963">
    <w:abstractNumId w:val="4"/>
  </w:num>
  <w:num w:numId="2" w16cid:durableId="667295852">
    <w:abstractNumId w:val="0"/>
  </w:num>
  <w:num w:numId="3" w16cid:durableId="736821457">
    <w:abstractNumId w:val="1"/>
  </w:num>
  <w:num w:numId="4" w16cid:durableId="2135368338">
    <w:abstractNumId w:val="5"/>
  </w:num>
  <w:num w:numId="5" w16cid:durableId="2048724026">
    <w:abstractNumId w:val="3"/>
  </w:num>
  <w:num w:numId="6" w16cid:durableId="4636994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F1B"/>
    <w:rsid w:val="002978F5"/>
    <w:rsid w:val="002B0F1B"/>
    <w:rsid w:val="003852CF"/>
    <w:rsid w:val="004E780C"/>
    <w:rsid w:val="005D35B8"/>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30175"/>
  <w15:chartTrackingRefBased/>
  <w15:docId w15:val="{EDD4B9C1-CE5A-4AAC-8509-820FD1EE7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F1B"/>
    <w:pPr>
      <w:spacing w:before="120" w:after="120" w:line="360" w:lineRule="auto"/>
    </w:pPr>
    <w:rPr>
      <w:rFonts w:ascii="Times New Roman" w:hAnsi="Times New Roman"/>
      <w:szCs w:val="22"/>
    </w:rPr>
  </w:style>
  <w:style w:type="paragraph" w:styleId="Heading1">
    <w:name w:val="heading 1"/>
    <w:basedOn w:val="Normal"/>
    <w:next w:val="Normal"/>
    <w:link w:val="Heading1Char"/>
    <w:uiPriority w:val="9"/>
    <w:qFormat/>
    <w:rsid w:val="002B0F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0F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0F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0F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0F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0F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F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F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F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F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0F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0F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F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F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F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F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F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F1B"/>
    <w:rPr>
      <w:rFonts w:eastAsiaTheme="majorEastAsia" w:cstheme="majorBidi"/>
      <w:color w:val="272727" w:themeColor="text1" w:themeTint="D8"/>
    </w:rPr>
  </w:style>
  <w:style w:type="paragraph" w:styleId="Title">
    <w:name w:val="Title"/>
    <w:basedOn w:val="Normal"/>
    <w:next w:val="Normal"/>
    <w:link w:val="TitleChar"/>
    <w:uiPriority w:val="10"/>
    <w:qFormat/>
    <w:rsid w:val="002B0F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F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F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F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F1B"/>
    <w:pPr>
      <w:spacing w:before="160"/>
      <w:jc w:val="center"/>
    </w:pPr>
    <w:rPr>
      <w:i/>
      <w:iCs/>
      <w:color w:val="404040" w:themeColor="text1" w:themeTint="BF"/>
    </w:rPr>
  </w:style>
  <w:style w:type="character" w:customStyle="1" w:styleId="QuoteChar">
    <w:name w:val="Quote Char"/>
    <w:basedOn w:val="DefaultParagraphFont"/>
    <w:link w:val="Quote"/>
    <w:uiPriority w:val="29"/>
    <w:rsid w:val="002B0F1B"/>
    <w:rPr>
      <w:i/>
      <w:iCs/>
      <w:color w:val="404040" w:themeColor="text1" w:themeTint="BF"/>
    </w:rPr>
  </w:style>
  <w:style w:type="paragraph" w:styleId="ListParagraph">
    <w:name w:val="List Paragraph"/>
    <w:basedOn w:val="Normal"/>
    <w:uiPriority w:val="34"/>
    <w:qFormat/>
    <w:rsid w:val="002B0F1B"/>
    <w:pPr>
      <w:ind w:left="720"/>
      <w:contextualSpacing/>
    </w:pPr>
  </w:style>
  <w:style w:type="character" w:styleId="IntenseEmphasis">
    <w:name w:val="Intense Emphasis"/>
    <w:basedOn w:val="DefaultParagraphFont"/>
    <w:uiPriority w:val="21"/>
    <w:qFormat/>
    <w:rsid w:val="002B0F1B"/>
    <w:rPr>
      <w:i/>
      <w:iCs/>
      <w:color w:val="0F4761" w:themeColor="accent1" w:themeShade="BF"/>
    </w:rPr>
  </w:style>
  <w:style w:type="paragraph" w:styleId="IntenseQuote">
    <w:name w:val="Intense Quote"/>
    <w:basedOn w:val="Normal"/>
    <w:next w:val="Normal"/>
    <w:link w:val="IntenseQuoteChar"/>
    <w:uiPriority w:val="30"/>
    <w:qFormat/>
    <w:rsid w:val="002B0F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0F1B"/>
    <w:rPr>
      <w:i/>
      <w:iCs/>
      <w:color w:val="0F4761" w:themeColor="accent1" w:themeShade="BF"/>
    </w:rPr>
  </w:style>
  <w:style w:type="character" w:styleId="IntenseReference">
    <w:name w:val="Intense Reference"/>
    <w:basedOn w:val="DefaultParagraphFont"/>
    <w:uiPriority w:val="32"/>
    <w:qFormat/>
    <w:rsid w:val="002B0F1B"/>
    <w:rPr>
      <w:b/>
      <w:bCs/>
      <w:smallCaps/>
      <w:color w:val="0F4761" w:themeColor="accent1" w:themeShade="BF"/>
      <w:spacing w:val="5"/>
    </w:rPr>
  </w:style>
  <w:style w:type="table" w:styleId="TableGrid">
    <w:name w:val="Table Grid"/>
    <w:basedOn w:val="TableNormal"/>
    <w:uiPriority w:val="39"/>
    <w:rsid w:val="002B0F1B"/>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a">
    <w:name w:val="Heading 2a"/>
    <w:basedOn w:val="Normal"/>
    <w:link w:val="Heading2aChar"/>
    <w:qFormat/>
    <w:rsid w:val="002B0F1B"/>
    <w:pPr>
      <w:keepNext/>
      <w:keepLines/>
      <w:outlineLvl w:val="1"/>
    </w:pPr>
    <w:rPr>
      <w:rFonts w:eastAsiaTheme="majorEastAsia" w:cstheme="majorBidi"/>
      <w:b/>
      <w:color w:val="000000" w:themeColor="text1"/>
      <w:szCs w:val="32"/>
    </w:rPr>
  </w:style>
  <w:style w:type="character" w:customStyle="1" w:styleId="Heading2aChar">
    <w:name w:val="Heading 2a Char"/>
    <w:basedOn w:val="DefaultParagraphFont"/>
    <w:link w:val="Heading2a"/>
    <w:rsid w:val="002B0F1B"/>
    <w:rPr>
      <w:rFonts w:ascii="Times New Roman" w:eastAsiaTheme="majorEastAsia" w:hAnsi="Times New Roman" w:cstheme="majorBidi"/>
      <w:b/>
      <w:color w:val="000000" w:themeColor="text1"/>
      <w:szCs w:val="32"/>
    </w:rPr>
  </w:style>
  <w:style w:type="paragraph" w:customStyle="1" w:styleId="TableTextLeft">
    <w:name w:val="Table Text Left"/>
    <w:basedOn w:val="Normal"/>
    <w:qFormat/>
    <w:rsid w:val="002B0F1B"/>
    <w:pPr>
      <w:spacing w:before="20" w:after="20" w:line="240" w:lineRule="auto"/>
      <w:ind w:left="43" w:right="43"/>
    </w:pPr>
    <w:rPr>
      <w:rFonts w:eastAsia="Times New Roman"/>
      <w:kern w:val="0"/>
      <w:sz w:val="20"/>
      <w:szCs w:val="24"/>
      <w14:ligatures w14:val="none"/>
    </w:rPr>
  </w:style>
  <w:style w:type="paragraph" w:customStyle="1" w:styleId="TableText">
    <w:name w:val="Table Text"/>
    <w:link w:val="TableTextChar"/>
    <w:qFormat/>
    <w:rsid w:val="002B0F1B"/>
    <w:pPr>
      <w:keepNext/>
      <w:keepLines/>
      <w:spacing w:before="20" w:after="20" w:line="240" w:lineRule="auto"/>
      <w:ind w:left="43" w:right="43"/>
      <w:jc w:val="center"/>
    </w:pPr>
    <w:rPr>
      <w:rFonts w:ascii="Times New Roman" w:eastAsia="Times New Roman" w:hAnsi="Times New Roman" w:cs="Times New Roman"/>
      <w:kern w:val="0"/>
      <w:sz w:val="20"/>
      <w14:ligatures w14:val="none"/>
    </w:rPr>
  </w:style>
  <w:style w:type="paragraph" w:customStyle="1" w:styleId="TableHeading">
    <w:name w:val="Table Heading"/>
    <w:basedOn w:val="Normal"/>
    <w:qFormat/>
    <w:rsid w:val="002B0F1B"/>
    <w:pPr>
      <w:keepNext/>
      <w:keepLines/>
      <w:spacing w:before="40" w:after="0" w:line="240" w:lineRule="auto"/>
      <w:ind w:left="72" w:right="72"/>
      <w:jc w:val="center"/>
    </w:pPr>
    <w:rPr>
      <w:rFonts w:eastAsia="Times New Roman" w:cs="Times New Roman"/>
      <w:b/>
      <w:kern w:val="0"/>
      <w:sz w:val="20"/>
      <w:szCs w:val="24"/>
      <w14:ligatures w14:val="none"/>
    </w:rPr>
  </w:style>
  <w:style w:type="character" w:customStyle="1" w:styleId="TableTextChar">
    <w:name w:val="Table Text Char"/>
    <w:link w:val="TableText"/>
    <w:locked/>
    <w:rsid w:val="002B0F1B"/>
    <w:rPr>
      <w:rFonts w:ascii="Times New Roman" w:eastAsia="Times New Roman" w:hAnsi="Times New Roman" w:cs="Times New Roman"/>
      <w:kern w:val="0"/>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1368</Words>
  <Characters>7900</Characters>
  <Application>Microsoft Office Word</Application>
  <DocSecurity>0</DocSecurity>
  <Lines>171</Lines>
  <Paragraphs>74</Paragraphs>
  <ScaleCrop>false</ScaleCrop>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2025-12-30T10:04:00Z</dcterms:created>
  <dcterms:modified xsi:type="dcterms:W3CDTF">2025-12-30T10:04:00Z</dcterms:modified>
</cp:coreProperties>
</file>